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CCA09" w14:textId="01789B64" w:rsidR="00A007DB" w:rsidRPr="00A007DB" w:rsidRDefault="00A007DB" w:rsidP="00A007DB">
      <w:pPr>
        <w:spacing w:line="240" w:lineRule="auto"/>
        <w:rPr>
          <w:rFonts w:ascii="Times New Roman" w:hAnsi="Times New Roman" w:cs="Times New Roman"/>
          <w:b/>
          <w:bCs/>
          <w:sz w:val="24"/>
          <w:szCs w:val="24"/>
        </w:rPr>
      </w:pPr>
      <w:r w:rsidRPr="00A007DB">
        <w:rPr>
          <w:rFonts w:ascii="Times New Roman" w:hAnsi="Times New Roman" w:cs="Times New Roman"/>
          <w:b/>
          <w:bCs/>
          <w:sz w:val="24"/>
          <w:szCs w:val="24"/>
        </w:rPr>
        <w:t>Introduction</w:t>
      </w:r>
    </w:p>
    <w:p w14:paraId="551F8021" w14:textId="77777777" w:rsidR="00A007DB" w:rsidRPr="00A007DB" w:rsidRDefault="00A007DB" w:rsidP="00A007DB">
      <w:pPr>
        <w:spacing w:line="240" w:lineRule="auto"/>
        <w:rPr>
          <w:rFonts w:ascii="Times New Roman" w:hAnsi="Times New Roman" w:cs="Times New Roman"/>
          <w:sz w:val="24"/>
          <w:szCs w:val="24"/>
        </w:rPr>
      </w:pPr>
      <w:r w:rsidRPr="00A007DB">
        <w:rPr>
          <w:rFonts w:ascii="Times New Roman" w:hAnsi="Times New Roman" w:cs="Times New Roman"/>
          <w:sz w:val="24"/>
          <w:szCs w:val="24"/>
        </w:rPr>
        <w:t>The COVID-19 pandemic and the Russia-Ukraine conflict represent two of the most significant global events in recent history, each creating ripples across economies worldwide. While the pandemic disrupted supply chains and labor markets, the geopolitical tensions exacerbated these challenges, particularly through volatility in energy markets and inflationary pressures. Understanding how such events shape macroeconomic dynamics is essential for crafting informed policy responses.</w:t>
      </w:r>
    </w:p>
    <w:p w14:paraId="3483490E" w14:textId="77777777" w:rsidR="00A007DB" w:rsidRPr="00A007DB" w:rsidRDefault="00A007DB" w:rsidP="00A007DB">
      <w:pPr>
        <w:spacing w:line="240" w:lineRule="auto"/>
        <w:rPr>
          <w:rFonts w:ascii="Times New Roman" w:hAnsi="Times New Roman" w:cs="Times New Roman"/>
          <w:sz w:val="24"/>
          <w:szCs w:val="24"/>
        </w:rPr>
      </w:pPr>
      <w:r w:rsidRPr="00A007DB">
        <w:rPr>
          <w:rFonts w:ascii="Times New Roman" w:hAnsi="Times New Roman" w:cs="Times New Roman"/>
          <w:sz w:val="24"/>
          <w:szCs w:val="24"/>
        </w:rPr>
        <w:t>This paper investigates the economic repercussions of the Russia-Ukraine war and the COVID-19 pandemic on key U.S. economic indicators, employing a Vector Autoregression with Exogenous Variables (VARX) model. By analyzing monthly data from 2013 to 2024, sourced from reliable platforms such as the Bureau of Labor Statistics and Federal Reserve Economic Data, the study evaluates inflation rates, crude oil prices, unemployment, and financial market indices. The model results demonstrate correlations between geopolitical shocks and macroeconomic variables, highlighting the vulnerabilities in economic systems during crises. This research provides a nuanced understanding of the transmission mechanisms of geopolitical and pandemic-induced shocks, offering insights for policymakers to strengthen economic resilience in times of global uncertainty.</w:t>
      </w:r>
    </w:p>
    <w:p w14:paraId="2B967A79" w14:textId="77777777" w:rsidR="00A007DB" w:rsidRPr="00A007DB" w:rsidRDefault="00A007DB" w:rsidP="00A007DB">
      <w:pPr>
        <w:spacing w:line="240" w:lineRule="auto"/>
        <w:rPr>
          <w:rFonts w:ascii="Times New Roman" w:hAnsi="Times New Roman" w:cs="Times New Roman"/>
          <w:sz w:val="24"/>
          <w:szCs w:val="24"/>
        </w:rPr>
      </w:pPr>
      <w:r w:rsidRPr="00A007DB">
        <w:rPr>
          <w:rFonts w:ascii="Times New Roman" w:hAnsi="Times New Roman" w:cs="Times New Roman"/>
          <w:sz w:val="24"/>
          <w:szCs w:val="24"/>
        </w:rPr>
        <w:t>The significance of this research lies in its policy implications. Identifying the economic sectors most affected by global shocks enables policymakers to implement targeted interventions, enhancing the economy's resilience. By exploring these interdependencies, this paper contributes to the broader discourse on economic stability in an era of heightened uncertainty.</w:t>
      </w:r>
    </w:p>
    <w:p w14:paraId="46E54C5F" w14:textId="77777777" w:rsidR="00A007DB" w:rsidRPr="00A007DB" w:rsidRDefault="00A007DB" w:rsidP="00A007DB">
      <w:pPr>
        <w:spacing w:line="240" w:lineRule="auto"/>
        <w:rPr>
          <w:rFonts w:ascii="Times New Roman" w:hAnsi="Times New Roman" w:cs="Times New Roman"/>
          <w:sz w:val="24"/>
          <w:szCs w:val="24"/>
        </w:rPr>
      </w:pPr>
      <w:r w:rsidRPr="00A007DB">
        <w:rPr>
          <w:rFonts w:ascii="Times New Roman" w:hAnsi="Times New Roman" w:cs="Times New Roman"/>
          <w:sz w:val="24"/>
          <w:szCs w:val="24"/>
        </w:rPr>
        <w:pict w14:anchorId="5634A1A5">
          <v:rect id="_x0000_i1067" style="width:0;height:1.5pt" o:hralign="center" o:hrstd="t" o:hr="t" fillcolor="#a0a0a0" stroked="f"/>
        </w:pict>
      </w:r>
    </w:p>
    <w:p w14:paraId="65AFBF3D" w14:textId="77777777" w:rsidR="00A007DB" w:rsidRPr="00A007DB" w:rsidRDefault="00A007DB" w:rsidP="00A007DB">
      <w:pPr>
        <w:spacing w:line="240" w:lineRule="auto"/>
        <w:rPr>
          <w:rFonts w:ascii="Times New Roman" w:hAnsi="Times New Roman" w:cs="Times New Roman"/>
          <w:b/>
          <w:bCs/>
          <w:sz w:val="24"/>
          <w:szCs w:val="24"/>
        </w:rPr>
      </w:pPr>
      <w:r w:rsidRPr="00A007DB">
        <w:rPr>
          <w:rFonts w:ascii="Times New Roman" w:hAnsi="Times New Roman" w:cs="Times New Roman"/>
          <w:b/>
          <w:bCs/>
          <w:sz w:val="24"/>
          <w:szCs w:val="24"/>
        </w:rPr>
        <w:t>Literature Review:</w:t>
      </w:r>
    </w:p>
    <w:p w14:paraId="387E89E6" w14:textId="77777777" w:rsidR="00A007DB" w:rsidRPr="00A007DB" w:rsidRDefault="00A007DB" w:rsidP="00A007DB">
      <w:pPr>
        <w:spacing w:line="240" w:lineRule="auto"/>
        <w:rPr>
          <w:rFonts w:ascii="Times New Roman" w:hAnsi="Times New Roman" w:cs="Times New Roman"/>
          <w:sz w:val="24"/>
          <w:szCs w:val="24"/>
        </w:rPr>
      </w:pPr>
      <w:r w:rsidRPr="00A007DB">
        <w:rPr>
          <w:rFonts w:ascii="Times New Roman" w:hAnsi="Times New Roman" w:cs="Times New Roman"/>
          <w:sz w:val="24"/>
          <w:szCs w:val="24"/>
        </w:rPr>
        <w:t>Research by the International Monetary Fund (IMF) highlights significant disruptions to global supply chains due to the combined effects of the COVID-19 pandemic and the Russia-Ukraine conflict. The report notes that U.S. inflation surged to 9.1% in mid-2022, driven by soaring energy and food prices, exacerbated by geopolitical tensions disrupting resource exports.</w:t>
      </w:r>
    </w:p>
    <w:p w14:paraId="697D1AD0" w14:textId="77777777" w:rsidR="00A007DB" w:rsidRPr="00A007DB" w:rsidRDefault="00A007DB" w:rsidP="00A007DB">
      <w:pPr>
        <w:spacing w:line="240" w:lineRule="auto"/>
        <w:rPr>
          <w:rFonts w:ascii="Times New Roman" w:hAnsi="Times New Roman" w:cs="Times New Roman"/>
          <w:sz w:val="24"/>
          <w:szCs w:val="24"/>
        </w:rPr>
      </w:pPr>
      <w:r w:rsidRPr="00A007DB">
        <w:rPr>
          <w:rFonts w:ascii="Times New Roman" w:hAnsi="Times New Roman" w:cs="Times New Roman"/>
          <w:sz w:val="24"/>
          <w:szCs w:val="24"/>
        </w:rPr>
        <w:t>Studies conducted by the Congressional Research Service emphasize the influence of pandemic-induced fiscal policies and the Russia-Ukraine war on the U.S. trade deficit. U.S. imports from conflict-affected regions decreased by 22% in 2022, reflecting the broader challenges of maintaining trade balances amidst rising defense expenditures and disrupted trade networks.</w:t>
      </w:r>
    </w:p>
    <w:p w14:paraId="0565EA3D" w14:textId="007F8E30" w:rsidR="00A007DB" w:rsidRPr="00A007DB" w:rsidRDefault="00A007DB" w:rsidP="00A007DB">
      <w:pPr>
        <w:spacing w:line="240" w:lineRule="auto"/>
        <w:rPr>
          <w:rFonts w:ascii="Times New Roman" w:hAnsi="Times New Roman" w:cs="Times New Roman"/>
          <w:sz w:val="24"/>
          <w:szCs w:val="24"/>
        </w:rPr>
      </w:pPr>
      <w:r w:rsidRPr="00A007DB">
        <w:rPr>
          <w:rFonts w:ascii="Times New Roman" w:hAnsi="Times New Roman" w:cs="Times New Roman"/>
          <w:sz w:val="24"/>
          <w:szCs w:val="24"/>
        </w:rPr>
        <w:t>Ukraine conflict has compounded these issues, particularly in energy-dependent industries, further highlighting the structural fragilities exposed by these global crises.</w:t>
      </w:r>
    </w:p>
    <w:p w14:paraId="31D7D3A5" w14:textId="77777777" w:rsidR="00A007DB" w:rsidRPr="00A007DB" w:rsidRDefault="00A007DB" w:rsidP="00A007DB">
      <w:pPr>
        <w:spacing w:line="240" w:lineRule="auto"/>
        <w:rPr>
          <w:rFonts w:ascii="Times New Roman" w:hAnsi="Times New Roman" w:cs="Times New Roman"/>
          <w:sz w:val="24"/>
          <w:szCs w:val="24"/>
        </w:rPr>
      </w:pPr>
      <w:r w:rsidRPr="00A007DB">
        <w:rPr>
          <w:rFonts w:ascii="Times New Roman" w:hAnsi="Times New Roman" w:cs="Times New Roman"/>
          <w:sz w:val="24"/>
          <w:szCs w:val="24"/>
        </w:rPr>
        <w:pict w14:anchorId="3C2A1A39">
          <v:rect id="_x0000_i1062" style="width:0;height:1.5pt" o:hralign="center" o:hrstd="t" o:hr="t" fillcolor="#a0a0a0" stroked="f"/>
        </w:pict>
      </w:r>
    </w:p>
    <w:p w14:paraId="3FDF1E3C" w14:textId="77777777" w:rsidR="00A007DB" w:rsidRPr="00A007DB" w:rsidRDefault="00A007DB" w:rsidP="00A007DB">
      <w:pPr>
        <w:spacing w:line="240" w:lineRule="auto"/>
        <w:rPr>
          <w:rFonts w:ascii="Times New Roman" w:hAnsi="Times New Roman" w:cs="Times New Roman"/>
          <w:b/>
          <w:bCs/>
          <w:sz w:val="24"/>
          <w:szCs w:val="24"/>
        </w:rPr>
      </w:pPr>
      <w:r w:rsidRPr="00A007DB">
        <w:rPr>
          <w:rFonts w:ascii="Times New Roman" w:hAnsi="Times New Roman" w:cs="Times New Roman"/>
          <w:b/>
          <w:bCs/>
          <w:sz w:val="24"/>
          <w:szCs w:val="24"/>
        </w:rPr>
        <w:t>References:</w:t>
      </w:r>
    </w:p>
    <w:p w14:paraId="6D97AD99" w14:textId="77777777" w:rsidR="00A007DB" w:rsidRPr="00A007DB" w:rsidRDefault="00A007DB" w:rsidP="00A007DB">
      <w:pPr>
        <w:numPr>
          <w:ilvl w:val="0"/>
          <w:numId w:val="2"/>
        </w:numPr>
        <w:spacing w:line="240" w:lineRule="auto"/>
        <w:rPr>
          <w:rFonts w:ascii="Times New Roman" w:hAnsi="Times New Roman" w:cs="Times New Roman"/>
          <w:sz w:val="24"/>
          <w:szCs w:val="24"/>
        </w:rPr>
      </w:pPr>
      <w:r w:rsidRPr="00A007DB">
        <w:rPr>
          <w:rFonts w:ascii="Times New Roman" w:hAnsi="Times New Roman" w:cs="Times New Roman"/>
          <w:sz w:val="24"/>
          <w:szCs w:val="24"/>
        </w:rPr>
        <w:t xml:space="preserve">International Monetary Fund. (2023). </w:t>
      </w:r>
      <w:r w:rsidRPr="00A007DB">
        <w:rPr>
          <w:rFonts w:ascii="Times New Roman" w:hAnsi="Times New Roman" w:cs="Times New Roman"/>
          <w:i/>
          <w:iCs/>
          <w:sz w:val="24"/>
          <w:szCs w:val="24"/>
        </w:rPr>
        <w:t>Global Economic Impact of Supply Chain Disruptions</w:t>
      </w:r>
      <w:r w:rsidRPr="00A007DB">
        <w:rPr>
          <w:rFonts w:ascii="Times New Roman" w:hAnsi="Times New Roman" w:cs="Times New Roman"/>
          <w:sz w:val="24"/>
          <w:szCs w:val="24"/>
        </w:rPr>
        <w:t>. IMF Economic Outlook. https://www.imf.org/en/Publications/WEO</w:t>
      </w:r>
    </w:p>
    <w:p w14:paraId="6EEBC38F" w14:textId="77777777" w:rsidR="00A007DB" w:rsidRPr="00A007DB" w:rsidRDefault="00A007DB" w:rsidP="00A007DB">
      <w:pPr>
        <w:numPr>
          <w:ilvl w:val="0"/>
          <w:numId w:val="2"/>
        </w:numPr>
        <w:spacing w:line="240" w:lineRule="auto"/>
        <w:rPr>
          <w:rFonts w:ascii="Times New Roman" w:hAnsi="Times New Roman" w:cs="Times New Roman"/>
          <w:sz w:val="24"/>
          <w:szCs w:val="24"/>
        </w:rPr>
      </w:pPr>
      <w:r w:rsidRPr="00A007DB">
        <w:rPr>
          <w:rFonts w:ascii="Times New Roman" w:hAnsi="Times New Roman" w:cs="Times New Roman"/>
          <w:sz w:val="24"/>
          <w:szCs w:val="24"/>
        </w:rPr>
        <w:t xml:space="preserve">Congressional Research Service. (2023). </w:t>
      </w:r>
      <w:r w:rsidRPr="00A007DB">
        <w:rPr>
          <w:rFonts w:ascii="Times New Roman" w:hAnsi="Times New Roman" w:cs="Times New Roman"/>
          <w:i/>
          <w:iCs/>
          <w:sz w:val="24"/>
          <w:szCs w:val="24"/>
        </w:rPr>
        <w:t>U.S. Trade Patterns Amid Global Geopolitical Shifts</w:t>
      </w:r>
      <w:r w:rsidRPr="00A007DB">
        <w:rPr>
          <w:rFonts w:ascii="Times New Roman" w:hAnsi="Times New Roman" w:cs="Times New Roman"/>
          <w:sz w:val="24"/>
          <w:szCs w:val="24"/>
        </w:rPr>
        <w:t>. CRS Report IF11789.</w:t>
      </w:r>
      <w:hyperlink r:id="rId8" w:history="1">
        <w:r w:rsidRPr="00A007DB">
          <w:rPr>
            <w:rStyle w:val="Hyperlink"/>
            <w:rFonts w:ascii="Times New Roman" w:hAnsi="Times New Roman" w:cs="Times New Roman"/>
            <w:sz w:val="24"/>
            <w:szCs w:val="24"/>
          </w:rPr>
          <w:t xml:space="preserve"> https://crsreports.congress.gov</w:t>
        </w:r>
      </w:hyperlink>
    </w:p>
    <w:p w14:paraId="65BA4440" w14:textId="77777777" w:rsidR="00A007DB" w:rsidRPr="00A007DB" w:rsidRDefault="00A007DB" w:rsidP="00A007DB">
      <w:pPr>
        <w:numPr>
          <w:ilvl w:val="0"/>
          <w:numId w:val="2"/>
        </w:numPr>
        <w:spacing w:line="240" w:lineRule="auto"/>
        <w:rPr>
          <w:rFonts w:ascii="Times New Roman" w:hAnsi="Times New Roman" w:cs="Times New Roman"/>
          <w:sz w:val="24"/>
          <w:szCs w:val="24"/>
        </w:rPr>
      </w:pPr>
      <w:r w:rsidRPr="00A007DB">
        <w:rPr>
          <w:rFonts w:ascii="Times New Roman" w:hAnsi="Times New Roman" w:cs="Times New Roman"/>
          <w:sz w:val="24"/>
          <w:szCs w:val="24"/>
        </w:rPr>
        <w:lastRenderedPageBreak/>
        <w:t xml:space="preserve">World Bank. (2023). </w:t>
      </w:r>
      <w:r w:rsidRPr="00A007DB">
        <w:rPr>
          <w:rFonts w:ascii="Times New Roman" w:hAnsi="Times New Roman" w:cs="Times New Roman"/>
          <w:i/>
          <w:iCs/>
          <w:sz w:val="24"/>
          <w:szCs w:val="24"/>
        </w:rPr>
        <w:t>Energy Price Shocks and Their Impact on Global Economies</w:t>
      </w:r>
      <w:r w:rsidRPr="00A007DB">
        <w:rPr>
          <w:rFonts w:ascii="Times New Roman" w:hAnsi="Times New Roman" w:cs="Times New Roman"/>
          <w:sz w:val="24"/>
          <w:szCs w:val="24"/>
        </w:rPr>
        <w:t>. World Development Report.</w:t>
      </w:r>
      <w:hyperlink r:id="rId9" w:history="1">
        <w:r w:rsidRPr="00A007DB">
          <w:rPr>
            <w:rStyle w:val="Hyperlink"/>
            <w:rFonts w:ascii="Times New Roman" w:hAnsi="Times New Roman" w:cs="Times New Roman"/>
            <w:sz w:val="24"/>
            <w:szCs w:val="24"/>
          </w:rPr>
          <w:t xml:space="preserve"> https://www.worldbank.org</w:t>
        </w:r>
      </w:hyperlink>
    </w:p>
    <w:p w14:paraId="35D93C78" w14:textId="77777777" w:rsidR="00A007DB" w:rsidRPr="00A007DB" w:rsidRDefault="00A007DB" w:rsidP="00A007DB">
      <w:pPr>
        <w:numPr>
          <w:ilvl w:val="0"/>
          <w:numId w:val="2"/>
        </w:numPr>
        <w:spacing w:line="240" w:lineRule="auto"/>
        <w:rPr>
          <w:rFonts w:ascii="Times New Roman" w:hAnsi="Times New Roman" w:cs="Times New Roman"/>
          <w:sz w:val="24"/>
          <w:szCs w:val="24"/>
        </w:rPr>
      </w:pPr>
      <w:r w:rsidRPr="00A007DB">
        <w:rPr>
          <w:rFonts w:ascii="Times New Roman" w:hAnsi="Times New Roman" w:cs="Times New Roman"/>
          <w:sz w:val="24"/>
          <w:szCs w:val="24"/>
        </w:rPr>
        <w:t xml:space="preserve">Deloitte. (2022). </w:t>
      </w:r>
      <w:r w:rsidRPr="00A007DB">
        <w:rPr>
          <w:rFonts w:ascii="Times New Roman" w:hAnsi="Times New Roman" w:cs="Times New Roman"/>
          <w:i/>
          <w:iCs/>
          <w:sz w:val="24"/>
          <w:szCs w:val="24"/>
        </w:rPr>
        <w:t xml:space="preserve">Tracking Consumer Sentiment: Economic Uncertainty in the </w:t>
      </w:r>
      <w:proofErr w:type="gramStart"/>
      <w:r w:rsidRPr="00A007DB">
        <w:rPr>
          <w:rFonts w:ascii="Times New Roman" w:hAnsi="Times New Roman" w:cs="Times New Roman"/>
          <w:i/>
          <w:iCs/>
          <w:sz w:val="24"/>
          <w:szCs w:val="24"/>
        </w:rPr>
        <w:t>U.S.</w:t>
      </w:r>
      <w:r w:rsidRPr="00A007DB">
        <w:rPr>
          <w:rFonts w:ascii="Times New Roman" w:hAnsi="Times New Roman" w:cs="Times New Roman"/>
          <w:sz w:val="24"/>
          <w:szCs w:val="24"/>
        </w:rPr>
        <w:t>.</w:t>
      </w:r>
      <w:proofErr w:type="gramEnd"/>
      <w:r w:rsidRPr="00A007DB">
        <w:rPr>
          <w:rFonts w:ascii="Times New Roman" w:hAnsi="Times New Roman" w:cs="Times New Roman"/>
          <w:sz w:val="24"/>
          <w:szCs w:val="24"/>
        </w:rPr>
        <w:t xml:space="preserve"> Deloitte Insights.</w:t>
      </w:r>
      <w:hyperlink r:id="rId10" w:history="1">
        <w:r w:rsidRPr="00A007DB">
          <w:rPr>
            <w:rStyle w:val="Hyperlink"/>
            <w:rFonts w:ascii="Times New Roman" w:hAnsi="Times New Roman" w:cs="Times New Roman"/>
            <w:sz w:val="24"/>
            <w:szCs w:val="24"/>
          </w:rPr>
          <w:t xml:space="preserve"> https://www.deloitte.com</w:t>
        </w:r>
      </w:hyperlink>
    </w:p>
    <w:p w14:paraId="35A4E0F7" w14:textId="0CB16B42" w:rsidR="000F0C31" w:rsidRDefault="00A007DB" w:rsidP="00A007DB">
      <w:pPr>
        <w:numPr>
          <w:ilvl w:val="0"/>
          <w:numId w:val="2"/>
        </w:numPr>
        <w:spacing w:line="240" w:lineRule="auto"/>
        <w:rPr>
          <w:rFonts w:ascii="Times New Roman" w:hAnsi="Times New Roman" w:cs="Times New Roman"/>
          <w:sz w:val="24"/>
          <w:szCs w:val="24"/>
        </w:rPr>
      </w:pPr>
      <w:r w:rsidRPr="00A007DB">
        <w:rPr>
          <w:rFonts w:ascii="Times New Roman" w:hAnsi="Times New Roman" w:cs="Times New Roman"/>
          <w:sz w:val="24"/>
          <w:szCs w:val="24"/>
        </w:rPr>
        <w:t xml:space="preserve">Federal Reserve Bank of New York. (2023). </w:t>
      </w:r>
      <w:r w:rsidRPr="00A007DB">
        <w:rPr>
          <w:rFonts w:ascii="Times New Roman" w:hAnsi="Times New Roman" w:cs="Times New Roman"/>
          <w:i/>
          <w:iCs/>
          <w:sz w:val="24"/>
          <w:szCs w:val="24"/>
        </w:rPr>
        <w:t>U.S. Monetary Policy in Response to Geopolitical and Pandemic Challenges</w:t>
      </w:r>
      <w:r w:rsidRPr="00A007DB">
        <w:rPr>
          <w:rFonts w:ascii="Times New Roman" w:hAnsi="Times New Roman" w:cs="Times New Roman"/>
          <w:sz w:val="24"/>
          <w:szCs w:val="24"/>
        </w:rPr>
        <w:t>. Economic Policy Review.</w:t>
      </w:r>
      <w:hyperlink r:id="rId11" w:history="1">
        <w:r w:rsidRPr="00A007DB">
          <w:rPr>
            <w:rStyle w:val="Hyperlink"/>
            <w:rFonts w:ascii="Times New Roman" w:hAnsi="Times New Roman" w:cs="Times New Roman"/>
            <w:sz w:val="24"/>
            <w:szCs w:val="24"/>
          </w:rPr>
          <w:t xml:space="preserve"> https://www.newyorkfed.org</w:t>
        </w:r>
      </w:hyperlink>
    </w:p>
    <w:p w14:paraId="15792CC6" w14:textId="0B5A53D2" w:rsidR="0042225A" w:rsidRDefault="0042225A" w:rsidP="0042225A">
      <w:pPr>
        <w:spacing w:line="240" w:lineRule="auto"/>
        <w:rPr>
          <w:rFonts w:ascii="Times New Roman" w:hAnsi="Times New Roman" w:cs="Times New Roman"/>
          <w:sz w:val="24"/>
          <w:szCs w:val="24"/>
        </w:rPr>
      </w:pPr>
      <w:r w:rsidRPr="00A007DB">
        <w:rPr>
          <w:rFonts w:ascii="Times New Roman" w:hAnsi="Times New Roman" w:cs="Times New Roman"/>
          <w:sz w:val="24"/>
          <w:szCs w:val="24"/>
        </w:rPr>
        <w:pict w14:anchorId="63C80450">
          <v:rect id="_x0000_i1068" style="width:0;height:1.5pt" o:hralign="center" o:hrstd="t" o:hr="t" fillcolor="#a0a0a0" stroked="f"/>
        </w:pict>
      </w:r>
    </w:p>
    <w:p w14:paraId="4D0B3DA5" w14:textId="77777777" w:rsidR="0042225A" w:rsidRPr="0042225A" w:rsidRDefault="0042225A" w:rsidP="0042225A">
      <w:pPr>
        <w:spacing w:line="240" w:lineRule="auto"/>
        <w:rPr>
          <w:rFonts w:ascii="Times New Roman" w:hAnsi="Times New Roman" w:cs="Times New Roman"/>
          <w:b/>
          <w:bCs/>
          <w:sz w:val="24"/>
          <w:szCs w:val="24"/>
        </w:rPr>
      </w:pPr>
      <w:r w:rsidRPr="0042225A">
        <w:rPr>
          <w:rFonts w:ascii="Times New Roman" w:hAnsi="Times New Roman" w:cs="Times New Roman"/>
          <w:b/>
          <w:bCs/>
          <w:sz w:val="24"/>
          <w:szCs w:val="24"/>
        </w:rPr>
        <w:t>Data and Methodology</w:t>
      </w:r>
    </w:p>
    <w:p w14:paraId="4348D475" w14:textId="77777777" w:rsidR="0042225A" w:rsidRPr="0042225A" w:rsidRDefault="0042225A" w:rsidP="0042225A">
      <w:pPr>
        <w:spacing w:line="240" w:lineRule="auto"/>
        <w:rPr>
          <w:rFonts w:ascii="Times New Roman" w:hAnsi="Times New Roman" w:cs="Times New Roman"/>
          <w:b/>
          <w:bCs/>
          <w:sz w:val="24"/>
          <w:szCs w:val="24"/>
        </w:rPr>
      </w:pPr>
      <w:r w:rsidRPr="0042225A">
        <w:rPr>
          <w:rFonts w:ascii="Times New Roman" w:hAnsi="Times New Roman" w:cs="Times New Roman"/>
          <w:b/>
          <w:bCs/>
          <w:sz w:val="24"/>
          <w:szCs w:val="24"/>
        </w:rPr>
        <w:t>Data Ingestion</w:t>
      </w:r>
    </w:p>
    <w:p w14:paraId="5C0B6D76" w14:textId="77777777" w:rsidR="0042225A" w:rsidRPr="0042225A" w:rsidRDefault="0042225A" w:rsidP="0042225A">
      <w:pPr>
        <w:spacing w:line="240" w:lineRule="auto"/>
        <w:rPr>
          <w:rFonts w:ascii="Times New Roman" w:hAnsi="Times New Roman" w:cs="Times New Roman"/>
          <w:sz w:val="24"/>
          <w:szCs w:val="24"/>
        </w:rPr>
      </w:pPr>
      <w:r w:rsidRPr="0042225A">
        <w:rPr>
          <w:rFonts w:ascii="Times New Roman" w:hAnsi="Times New Roman" w:cs="Times New Roman"/>
          <w:sz w:val="24"/>
          <w:szCs w:val="24"/>
        </w:rPr>
        <w:t>This study utilizes a consolidated dataset spanning January 2013 to August 2024, drawn from reputable sources such as the Bureau of Labor Statistics (BLS), Federal Reserve Economic Data (FRED), U.S. Energy Information Administration (EIA), and Yahoo Finance. The dataset encompasses 15 key economic variables, including Consumer Price Index (CPI), Crude Oil Prices, Producer Price Index (PPI), Unemployment Rate, Federal Funds Rate, S&amp;P 500 Index, Volatility Index (VIX), USD/Ruble Exchange Rate, and other macroeconomic indicators essential for understanding the dynamics of the U.S. economy. These variables were selected to provide a comprehensive view of economic trends and to evaluate the impact of the COVID-19 pandemic and the Russia-Ukraine conflict.</w:t>
      </w:r>
    </w:p>
    <w:p w14:paraId="3D73235B" w14:textId="77777777" w:rsidR="0042225A" w:rsidRPr="0042225A" w:rsidRDefault="0042225A" w:rsidP="0042225A">
      <w:pPr>
        <w:spacing w:line="240" w:lineRule="auto"/>
        <w:rPr>
          <w:rFonts w:ascii="Times New Roman" w:hAnsi="Times New Roman" w:cs="Times New Roman"/>
          <w:b/>
          <w:bCs/>
          <w:sz w:val="24"/>
          <w:szCs w:val="24"/>
        </w:rPr>
      </w:pPr>
      <w:r w:rsidRPr="0042225A">
        <w:rPr>
          <w:rFonts w:ascii="Times New Roman" w:hAnsi="Times New Roman" w:cs="Times New Roman"/>
          <w:b/>
          <w:bCs/>
          <w:sz w:val="24"/>
          <w:szCs w:val="24"/>
        </w:rPr>
        <w:t>Data Preprocessing</w:t>
      </w:r>
    </w:p>
    <w:p w14:paraId="673328A1" w14:textId="520AC6F1" w:rsidR="0042225A" w:rsidRPr="0042225A" w:rsidRDefault="0042225A" w:rsidP="0042225A">
      <w:pPr>
        <w:spacing w:line="240" w:lineRule="auto"/>
        <w:rPr>
          <w:rFonts w:ascii="Times New Roman" w:hAnsi="Times New Roman" w:cs="Times New Roman"/>
          <w:sz w:val="24"/>
          <w:szCs w:val="24"/>
        </w:rPr>
      </w:pPr>
      <w:r w:rsidRPr="0042225A">
        <w:rPr>
          <w:rFonts w:ascii="Times New Roman" w:hAnsi="Times New Roman" w:cs="Times New Roman"/>
          <w:sz w:val="24"/>
          <w:szCs w:val="24"/>
        </w:rPr>
        <w:t>To prepare the data for analysis, preprocessing steps included temporal alignment and aggregation. Daily data was converted into monthly averages to reduce noise and ensure consistency across variables. Two event flags were constructed to capture the temporal scope of the crises: the COVID-19 flag, spanning from January 2020 to May 2023, and the Russia-Ukraine conflict flag, beginning in February 2022. These binary indicators were incorporated into the dataset to model the exogenous shocks from these events. After merging all variables, the dataset comprised 140 monthly observations across 15 economic indicators, representing a robust framework for the econometric analysis.</w:t>
      </w:r>
      <w:r w:rsidRPr="00A007DB">
        <w:rPr>
          <w:rFonts w:ascii="Times New Roman" w:hAnsi="Times New Roman" w:cs="Times New Roman"/>
          <w:sz w:val="24"/>
          <w:szCs w:val="24"/>
        </w:rPr>
        <w:pict w14:anchorId="234E6234">
          <v:rect id="_x0000_i1069" style="width:0;height:1.5pt" o:hralign="center" o:hrstd="t" o:hr="t" fillcolor="#a0a0a0" stroked="f"/>
        </w:pict>
      </w:r>
      <w:r>
        <w:rPr>
          <w:rFonts w:ascii="Times New Roman" w:hAnsi="Times New Roman" w:cs="Times New Roman"/>
          <w:b/>
          <w:bCs/>
          <w:sz w:val="24"/>
          <w:szCs w:val="24"/>
        </w:rPr>
        <w:t xml:space="preserve">Exploratory Data </w:t>
      </w:r>
      <w:proofErr w:type="spellStart"/>
      <w:r>
        <w:rPr>
          <w:rFonts w:ascii="Times New Roman" w:hAnsi="Times New Roman" w:cs="Times New Roman"/>
          <w:b/>
          <w:bCs/>
          <w:sz w:val="24"/>
          <w:szCs w:val="24"/>
        </w:rPr>
        <w:t>Analaysis</w:t>
      </w:r>
      <w:proofErr w:type="spellEnd"/>
    </w:p>
    <w:p w14:paraId="6114F0B2" w14:textId="3F66D62C" w:rsidR="0042225A" w:rsidRPr="0042225A" w:rsidRDefault="0042225A" w:rsidP="0042225A">
      <w:pPr>
        <w:spacing w:line="240" w:lineRule="auto"/>
        <w:jc w:val="center"/>
        <w:rPr>
          <w:rFonts w:ascii="Times New Roman" w:hAnsi="Times New Roman" w:cs="Times New Roman"/>
          <w:b/>
          <w:bCs/>
          <w:sz w:val="24"/>
          <w:szCs w:val="24"/>
        </w:rPr>
      </w:pPr>
      <w:r w:rsidRPr="0042225A">
        <w:rPr>
          <w:rFonts w:ascii="Times New Roman" w:hAnsi="Times New Roman" w:cs="Times New Roman"/>
          <w:b/>
          <w:bCs/>
          <w:sz w:val="24"/>
          <w:szCs w:val="24"/>
        </w:rPr>
        <w:drawing>
          <wp:inline distT="0" distB="0" distL="0" distR="0" wp14:anchorId="03EE9991" wp14:editId="2689D5E5">
            <wp:extent cx="5707379" cy="2032000"/>
            <wp:effectExtent l="0" t="0" r="8255" b="6350"/>
            <wp:docPr id="134749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97799" name=""/>
                    <pic:cNvPicPr/>
                  </pic:nvPicPr>
                  <pic:blipFill rotWithShape="1">
                    <a:blip r:embed="rId12"/>
                    <a:srcRect l="900" t="3155" r="2093"/>
                    <a:stretch/>
                  </pic:blipFill>
                  <pic:spPr bwMode="auto">
                    <a:xfrm>
                      <a:off x="0" y="0"/>
                      <a:ext cx="5878006" cy="2092748"/>
                    </a:xfrm>
                    <a:prstGeom prst="rect">
                      <a:avLst/>
                    </a:prstGeom>
                    <a:ln>
                      <a:noFill/>
                    </a:ln>
                    <a:extLst>
                      <a:ext uri="{53640926-AAD7-44D8-BBD7-CCE9431645EC}">
                        <a14:shadowObscured xmlns:a14="http://schemas.microsoft.com/office/drawing/2010/main"/>
                      </a:ext>
                    </a:extLst>
                  </pic:spPr>
                </pic:pic>
              </a:graphicData>
            </a:graphic>
          </wp:inline>
        </w:drawing>
      </w:r>
    </w:p>
    <w:p w14:paraId="579FBDF9" w14:textId="2647EF2C" w:rsidR="0042225A" w:rsidRDefault="0042225A" w:rsidP="0042225A">
      <w:pPr>
        <w:spacing w:line="240" w:lineRule="auto"/>
        <w:rPr>
          <w:rFonts w:ascii="Times New Roman" w:hAnsi="Times New Roman" w:cs="Times New Roman"/>
          <w:sz w:val="24"/>
          <w:szCs w:val="24"/>
        </w:rPr>
      </w:pPr>
      <w:r w:rsidRPr="0042225A">
        <w:rPr>
          <w:rFonts w:ascii="Times New Roman" w:hAnsi="Times New Roman" w:cs="Times New Roman"/>
          <w:sz w:val="24"/>
          <w:szCs w:val="24"/>
        </w:rPr>
        <w:lastRenderedPageBreak/>
        <w:drawing>
          <wp:inline distT="0" distB="0" distL="0" distR="0" wp14:anchorId="754267A4" wp14:editId="4208C50A">
            <wp:extent cx="5943600" cy="3065780"/>
            <wp:effectExtent l="0" t="0" r="0" b="1270"/>
            <wp:docPr id="25451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18187" name=""/>
                    <pic:cNvPicPr/>
                  </pic:nvPicPr>
                  <pic:blipFill>
                    <a:blip r:embed="rId13"/>
                    <a:stretch>
                      <a:fillRect/>
                    </a:stretch>
                  </pic:blipFill>
                  <pic:spPr>
                    <a:xfrm>
                      <a:off x="0" y="0"/>
                      <a:ext cx="5943600" cy="3065780"/>
                    </a:xfrm>
                    <a:prstGeom prst="rect">
                      <a:avLst/>
                    </a:prstGeom>
                  </pic:spPr>
                </pic:pic>
              </a:graphicData>
            </a:graphic>
          </wp:inline>
        </w:drawing>
      </w:r>
    </w:p>
    <w:p w14:paraId="55097E45" w14:textId="77777777" w:rsidR="005E1ADD" w:rsidRDefault="005E1ADD" w:rsidP="0042225A">
      <w:pPr>
        <w:spacing w:line="240" w:lineRule="auto"/>
        <w:rPr>
          <w:rFonts w:ascii="Times New Roman" w:hAnsi="Times New Roman" w:cs="Times New Roman"/>
          <w:sz w:val="24"/>
          <w:szCs w:val="24"/>
        </w:rPr>
      </w:pPr>
    </w:p>
    <w:p w14:paraId="2EEAB4C9" w14:textId="77777777" w:rsidR="005E1ADD" w:rsidRDefault="005E1ADD" w:rsidP="0042225A">
      <w:pPr>
        <w:spacing w:line="240" w:lineRule="auto"/>
        <w:rPr>
          <w:rFonts w:ascii="Times New Roman" w:hAnsi="Times New Roman" w:cs="Times New Roman"/>
          <w:sz w:val="24"/>
          <w:szCs w:val="24"/>
        </w:rPr>
      </w:pPr>
    </w:p>
    <w:p w14:paraId="5ADC9849" w14:textId="765567C3" w:rsidR="0042225A" w:rsidRDefault="005E1ADD" w:rsidP="0042225A">
      <w:pPr>
        <w:spacing w:line="240" w:lineRule="auto"/>
        <w:rPr>
          <w:noProof/>
        </w:rPr>
      </w:pPr>
      <w:r w:rsidRPr="005E1ADD">
        <w:rPr>
          <w:rFonts w:ascii="Times New Roman" w:hAnsi="Times New Roman" w:cs="Times New Roman"/>
          <w:sz w:val="24"/>
          <w:szCs w:val="24"/>
        </w:rPr>
        <w:drawing>
          <wp:inline distT="0" distB="0" distL="0" distR="0" wp14:anchorId="5ACD8C2C" wp14:editId="6B3E47DB">
            <wp:extent cx="2787650" cy="1775916"/>
            <wp:effectExtent l="19050" t="19050" r="12700" b="15240"/>
            <wp:docPr id="9" name="Picture 8">
              <a:extLst xmlns:a="http://schemas.openxmlformats.org/drawingml/2006/main">
                <a:ext uri="{FF2B5EF4-FFF2-40B4-BE49-F238E27FC236}">
                  <a16:creationId xmlns:a16="http://schemas.microsoft.com/office/drawing/2014/main" id="{0F7E2E7D-4B3E-7476-E48D-A14A181A3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F7E2E7D-4B3E-7476-E48D-A14A181A31F7}"/>
                        </a:ext>
                      </a:extLst>
                    </pic:cNvPr>
                    <pic:cNvPicPr>
                      <a:picLocks noChangeAspect="1"/>
                    </pic:cNvPicPr>
                  </pic:nvPicPr>
                  <pic:blipFill>
                    <a:blip r:embed="rId14"/>
                    <a:stretch>
                      <a:fillRect/>
                    </a:stretch>
                  </pic:blipFill>
                  <pic:spPr>
                    <a:xfrm>
                      <a:off x="0" y="0"/>
                      <a:ext cx="2808736" cy="1789349"/>
                    </a:xfrm>
                    <a:prstGeom prst="rect">
                      <a:avLst/>
                    </a:prstGeom>
                    <a:ln w="9525">
                      <a:solidFill>
                        <a:schemeClr val="tx1"/>
                      </a:solidFill>
                    </a:ln>
                  </pic:spPr>
                </pic:pic>
              </a:graphicData>
            </a:graphic>
          </wp:inline>
        </w:drawing>
      </w:r>
      <w:r w:rsidRPr="005E1ADD">
        <w:rPr>
          <w:noProof/>
        </w:rPr>
        <w:t xml:space="preserve"> </w:t>
      </w:r>
      <w:r>
        <w:rPr>
          <w:noProof/>
        </w:rPr>
        <w:t xml:space="preserve">        </w:t>
      </w:r>
      <w:r w:rsidRPr="005E1ADD">
        <w:rPr>
          <w:rFonts w:ascii="Times New Roman" w:hAnsi="Times New Roman" w:cs="Times New Roman"/>
          <w:sz w:val="24"/>
          <w:szCs w:val="24"/>
        </w:rPr>
        <w:drawing>
          <wp:inline distT="0" distB="0" distL="0" distR="0" wp14:anchorId="234A884E" wp14:editId="2ED1B8B8">
            <wp:extent cx="2787169" cy="1765300"/>
            <wp:effectExtent l="19050" t="19050" r="13335" b="25400"/>
            <wp:docPr id="11" name="Picture 10">
              <a:extLst xmlns:a="http://schemas.openxmlformats.org/drawingml/2006/main">
                <a:ext uri="{FF2B5EF4-FFF2-40B4-BE49-F238E27FC236}">
                  <a16:creationId xmlns:a16="http://schemas.microsoft.com/office/drawing/2014/main" id="{EE84580B-8347-79AE-59B4-CD78FA285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E84580B-8347-79AE-59B4-CD78FA285A91}"/>
                        </a:ext>
                      </a:extLst>
                    </pic:cNvPr>
                    <pic:cNvPicPr>
                      <a:picLocks noChangeAspect="1"/>
                    </pic:cNvPicPr>
                  </pic:nvPicPr>
                  <pic:blipFill>
                    <a:blip r:embed="rId15"/>
                    <a:stretch>
                      <a:fillRect/>
                    </a:stretch>
                  </pic:blipFill>
                  <pic:spPr>
                    <a:xfrm>
                      <a:off x="0" y="0"/>
                      <a:ext cx="2818492" cy="1785139"/>
                    </a:xfrm>
                    <a:prstGeom prst="rect">
                      <a:avLst/>
                    </a:prstGeom>
                    <a:ln w="9525">
                      <a:solidFill>
                        <a:schemeClr val="tx1"/>
                      </a:solidFill>
                    </a:ln>
                  </pic:spPr>
                </pic:pic>
              </a:graphicData>
            </a:graphic>
          </wp:inline>
        </w:drawing>
      </w:r>
    </w:p>
    <w:p w14:paraId="32C37C8A" w14:textId="109A8D4A" w:rsidR="005E1ADD" w:rsidRDefault="005E1ADD" w:rsidP="0042225A">
      <w:pPr>
        <w:spacing w:line="240" w:lineRule="auto"/>
        <w:rPr>
          <w:rFonts w:ascii="Times New Roman" w:hAnsi="Times New Roman" w:cs="Times New Roman"/>
          <w:sz w:val="24"/>
          <w:szCs w:val="24"/>
        </w:rPr>
      </w:pPr>
      <w:r w:rsidRPr="005E1ADD">
        <w:rPr>
          <w:rFonts w:ascii="Times New Roman" w:hAnsi="Times New Roman" w:cs="Times New Roman"/>
          <w:sz w:val="24"/>
          <w:szCs w:val="24"/>
        </w:rPr>
        <w:drawing>
          <wp:inline distT="0" distB="0" distL="0" distR="0" wp14:anchorId="1758AEA0" wp14:editId="00A5D2F9">
            <wp:extent cx="2800350" cy="1788521"/>
            <wp:effectExtent l="19050" t="19050" r="19050" b="21590"/>
            <wp:docPr id="13" name="Picture 12">
              <a:extLst xmlns:a="http://schemas.openxmlformats.org/drawingml/2006/main">
                <a:ext uri="{FF2B5EF4-FFF2-40B4-BE49-F238E27FC236}">
                  <a16:creationId xmlns:a16="http://schemas.microsoft.com/office/drawing/2014/main" id="{E182EF84-1298-976D-1002-7DE297EBB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182EF84-1298-976D-1002-7DE297EBB755}"/>
                        </a:ext>
                      </a:extLst>
                    </pic:cNvPr>
                    <pic:cNvPicPr>
                      <a:picLocks noChangeAspect="1"/>
                    </pic:cNvPicPr>
                  </pic:nvPicPr>
                  <pic:blipFill>
                    <a:blip r:embed="rId16"/>
                    <a:stretch>
                      <a:fillRect/>
                    </a:stretch>
                  </pic:blipFill>
                  <pic:spPr>
                    <a:xfrm>
                      <a:off x="0" y="0"/>
                      <a:ext cx="2816336" cy="1798731"/>
                    </a:xfrm>
                    <a:prstGeom prst="rect">
                      <a:avLst/>
                    </a:prstGeom>
                    <a:ln w="9525">
                      <a:solidFill>
                        <a:schemeClr val="tx1"/>
                      </a:solidFill>
                    </a:ln>
                  </pic:spPr>
                </pic:pic>
              </a:graphicData>
            </a:graphic>
          </wp:inline>
        </w:drawing>
      </w:r>
      <w:r>
        <w:rPr>
          <w:rFonts w:ascii="Times New Roman" w:hAnsi="Times New Roman" w:cs="Times New Roman"/>
          <w:sz w:val="24"/>
          <w:szCs w:val="24"/>
        </w:rPr>
        <w:t xml:space="preserve">       </w:t>
      </w:r>
      <w:r w:rsidRPr="005E1ADD">
        <w:rPr>
          <w:rFonts w:ascii="Times New Roman" w:hAnsi="Times New Roman" w:cs="Times New Roman"/>
          <w:sz w:val="24"/>
          <w:szCs w:val="24"/>
        </w:rPr>
        <w:drawing>
          <wp:inline distT="0" distB="0" distL="0" distR="0" wp14:anchorId="5D20D248" wp14:editId="52B584FD">
            <wp:extent cx="2787484" cy="1778000"/>
            <wp:effectExtent l="19050" t="19050" r="13335" b="12700"/>
            <wp:docPr id="17" name="Picture 16">
              <a:extLst xmlns:a="http://schemas.openxmlformats.org/drawingml/2006/main">
                <a:ext uri="{FF2B5EF4-FFF2-40B4-BE49-F238E27FC236}">
                  <a16:creationId xmlns:a16="http://schemas.microsoft.com/office/drawing/2014/main" id="{D9359F99-5561-3B94-6834-8C68D47DB5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9359F99-5561-3B94-6834-8C68D47DB5DC}"/>
                        </a:ext>
                      </a:extLst>
                    </pic:cNvPr>
                    <pic:cNvPicPr>
                      <a:picLocks noChangeAspect="1"/>
                    </pic:cNvPicPr>
                  </pic:nvPicPr>
                  <pic:blipFill>
                    <a:blip r:embed="rId17"/>
                    <a:stretch>
                      <a:fillRect/>
                    </a:stretch>
                  </pic:blipFill>
                  <pic:spPr>
                    <a:xfrm>
                      <a:off x="0" y="0"/>
                      <a:ext cx="2820060" cy="1798779"/>
                    </a:xfrm>
                    <a:prstGeom prst="rect">
                      <a:avLst/>
                    </a:prstGeom>
                    <a:ln w="9525">
                      <a:solidFill>
                        <a:schemeClr val="tx1"/>
                      </a:solidFill>
                    </a:ln>
                  </pic:spPr>
                </pic:pic>
              </a:graphicData>
            </a:graphic>
          </wp:inline>
        </w:drawing>
      </w:r>
    </w:p>
    <w:p w14:paraId="5A2B7E93" w14:textId="77777777" w:rsidR="005E1ADD" w:rsidRDefault="005E1ADD" w:rsidP="0042225A">
      <w:pPr>
        <w:spacing w:line="240" w:lineRule="auto"/>
        <w:rPr>
          <w:rFonts w:ascii="Times New Roman" w:hAnsi="Times New Roman" w:cs="Times New Roman"/>
          <w:sz w:val="24"/>
          <w:szCs w:val="24"/>
        </w:rPr>
      </w:pPr>
    </w:p>
    <w:p w14:paraId="2FD007A3" w14:textId="77777777" w:rsidR="005E1ADD" w:rsidRDefault="005E1ADD" w:rsidP="0042225A">
      <w:pPr>
        <w:spacing w:line="240" w:lineRule="auto"/>
        <w:rPr>
          <w:rFonts w:ascii="Times New Roman" w:hAnsi="Times New Roman" w:cs="Times New Roman"/>
          <w:sz w:val="24"/>
          <w:szCs w:val="24"/>
        </w:rPr>
      </w:pPr>
    </w:p>
    <w:p w14:paraId="310F375C" w14:textId="2FD8D3ED" w:rsidR="005E1ADD" w:rsidRDefault="005E1ADD" w:rsidP="005E1ADD">
      <w:pPr>
        <w:spacing w:line="240" w:lineRule="auto"/>
        <w:jc w:val="center"/>
        <w:rPr>
          <w:rFonts w:ascii="Times New Roman" w:hAnsi="Times New Roman" w:cs="Times New Roman"/>
          <w:sz w:val="24"/>
          <w:szCs w:val="24"/>
        </w:rPr>
      </w:pPr>
      <w:r w:rsidRPr="005E1ADD">
        <w:rPr>
          <w:rFonts w:ascii="Times New Roman" w:hAnsi="Times New Roman" w:cs="Times New Roman"/>
          <w:sz w:val="24"/>
          <w:szCs w:val="24"/>
        </w:rPr>
        <w:lastRenderedPageBreak/>
        <w:drawing>
          <wp:inline distT="0" distB="0" distL="0" distR="0" wp14:anchorId="2C46EE3C" wp14:editId="3CA67F4E">
            <wp:extent cx="4419600" cy="4654550"/>
            <wp:effectExtent l="0" t="0" r="0" b="0"/>
            <wp:docPr id="4" name="Picture 3">
              <a:extLst xmlns:a="http://schemas.openxmlformats.org/drawingml/2006/main">
                <a:ext uri="{FF2B5EF4-FFF2-40B4-BE49-F238E27FC236}">
                  <a16:creationId xmlns:a16="http://schemas.microsoft.com/office/drawing/2014/main" id="{AC34B05C-19B2-BE6E-A630-29E7E716D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34B05C-19B2-BE6E-A630-29E7E716D25C}"/>
                        </a:ext>
                      </a:extLst>
                    </pic:cNvPr>
                    <pic:cNvPicPr>
                      <a:picLocks noChangeAspect="1"/>
                    </pic:cNvPicPr>
                  </pic:nvPicPr>
                  <pic:blipFill>
                    <a:blip r:embed="rId18" cstate="print">
                      <a:extLst>
                        <a:ext uri="{28A0092B-C50C-407E-A947-70E740481C1C}">
                          <a14:useLocalDpi xmlns:a14="http://schemas.microsoft.com/office/drawing/2010/main" val="0"/>
                        </a:ext>
                      </a:extLst>
                    </a:blip>
                    <a:srcRect t="9618" r="14180"/>
                    <a:stretch/>
                  </pic:blipFill>
                  <pic:spPr>
                    <a:xfrm>
                      <a:off x="0" y="0"/>
                      <a:ext cx="4419600" cy="4654550"/>
                    </a:xfrm>
                    <a:prstGeom prst="rect">
                      <a:avLst/>
                    </a:prstGeom>
                  </pic:spPr>
                </pic:pic>
              </a:graphicData>
            </a:graphic>
          </wp:inline>
        </w:drawing>
      </w:r>
    </w:p>
    <w:p w14:paraId="03C2CA10" w14:textId="1B66EAF0" w:rsidR="005E1ADD" w:rsidRDefault="005E1ADD" w:rsidP="005E1ADD">
      <w:pPr>
        <w:spacing w:line="240" w:lineRule="auto"/>
        <w:rPr>
          <w:rFonts w:ascii="Times New Roman" w:hAnsi="Times New Roman" w:cs="Times New Roman"/>
          <w:b/>
          <w:bCs/>
          <w:sz w:val="24"/>
          <w:szCs w:val="24"/>
        </w:rPr>
      </w:pPr>
      <w:r w:rsidRPr="00A007DB">
        <w:rPr>
          <w:rFonts w:ascii="Times New Roman" w:hAnsi="Times New Roman" w:cs="Times New Roman"/>
          <w:sz w:val="24"/>
          <w:szCs w:val="24"/>
        </w:rPr>
        <w:pict w14:anchorId="083604E8">
          <v:rect id="_x0000_i1071" style="width:0;height:1.5pt" o:hralign="center" o:hrstd="t" o:hr="t" fillcolor="#a0a0a0" stroked="f"/>
        </w:pict>
      </w:r>
    </w:p>
    <w:p w14:paraId="78B1148E" w14:textId="2BD41F55" w:rsidR="005E1ADD" w:rsidRDefault="005E1ADD" w:rsidP="005E1ADD">
      <w:pPr>
        <w:spacing w:line="240" w:lineRule="auto"/>
        <w:rPr>
          <w:rFonts w:ascii="Times New Roman" w:hAnsi="Times New Roman" w:cs="Times New Roman"/>
          <w:b/>
          <w:bCs/>
          <w:sz w:val="24"/>
          <w:szCs w:val="24"/>
        </w:rPr>
      </w:pPr>
      <w:r w:rsidRPr="0042225A">
        <w:rPr>
          <w:rFonts w:ascii="Times New Roman" w:hAnsi="Times New Roman" w:cs="Times New Roman"/>
          <w:b/>
          <w:bCs/>
          <w:sz w:val="24"/>
          <w:szCs w:val="24"/>
        </w:rPr>
        <w:t xml:space="preserve">Data </w:t>
      </w:r>
      <w:r>
        <w:rPr>
          <w:rFonts w:ascii="Times New Roman" w:hAnsi="Times New Roman" w:cs="Times New Roman"/>
          <w:b/>
          <w:bCs/>
          <w:sz w:val="24"/>
          <w:szCs w:val="24"/>
        </w:rPr>
        <w:t>Stationarity</w:t>
      </w:r>
    </w:p>
    <w:p w14:paraId="2EB747CF" w14:textId="77777777" w:rsidR="00CC4E87" w:rsidRPr="00CC4E87" w:rsidRDefault="00CC4E87" w:rsidP="00CC4E87">
      <w:pPr>
        <w:spacing w:line="240" w:lineRule="auto"/>
        <w:rPr>
          <w:rFonts w:ascii="Times New Roman" w:hAnsi="Times New Roman" w:cs="Times New Roman"/>
          <w:sz w:val="24"/>
          <w:szCs w:val="24"/>
        </w:rPr>
      </w:pPr>
      <w:r w:rsidRPr="00CC4E87">
        <w:rPr>
          <w:rFonts w:ascii="Times New Roman" w:hAnsi="Times New Roman" w:cs="Times New Roman"/>
          <w:sz w:val="24"/>
          <w:szCs w:val="24"/>
        </w:rPr>
        <w:t>Stationarity is essential for Vector Autoregression with Exogenous Variables (VARX) modeling to ensure reliable and interpretable results. To assess stationarity, the Augmented Dickey-Fuller (ADF) and Kwiatkowski-Phillips-Schmidt-Shin (KPSS) tests were applied. These tests respectively check for unit roots (non-stationarity) and stationarity through trend analysis. The dataset consisted of variables that exhibited varying levels of stationarity, requiring a combination of approaches to address non-stationarity effectively.</w:t>
      </w:r>
    </w:p>
    <w:p w14:paraId="484A93C9" w14:textId="77777777" w:rsidR="00CC4E87" w:rsidRPr="00CC4E87" w:rsidRDefault="00CC4E87" w:rsidP="00CC4E87">
      <w:pPr>
        <w:spacing w:line="240" w:lineRule="auto"/>
        <w:rPr>
          <w:rFonts w:ascii="Times New Roman" w:hAnsi="Times New Roman" w:cs="Times New Roman"/>
          <w:sz w:val="24"/>
          <w:szCs w:val="24"/>
        </w:rPr>
      </w:pPr>
      <w:r w:rsidRPr="00CC4E87">
        <w:rPr>
          <w:rFonts w:ascii="Times New Roman" w:hAnsi="Times New Roman" w:cs="Times New Roman"/>
          <w:sz w:val="24"/>
          <w:szCs w:val="24"/>
        </w:rPr>
        <w:t>Three variables—Trade Volume Percentage Change Index Value, U.S. Unemployment Rate, and U.S. Mean Monthly Market Volatility—were inherently stationary. No transformations were necessary for these variables as both the ADF and KPSS tests confirmed their stationarity.</w:t>
      </w:r>
    </w:p>
    <w:p w14:paraId="701459B6" w14:textId="77777777" w:rsidR="00CC4E87" w:rsidRPr="00CC4E87" w:rsidRDefault="00CC4E87" w:rsidP="00CC4E87">
      <w:pPr>
        <w:spacing w:line="240" w:lineRule="auto"/>
        <w:rPr>
          <w:rFonts w:ascii="Times New Roman" w:hAnsi="Times New Roman" w:cs="Times New Roman"/>
          <w:sz w:val="24"/>
          <w:szCs w:val="24"/>
        </w:rPr>
      </w:pPr>
      <w:r w:rsidRPr="00CC4E87">
        <w:rPr>
          <w:rFonts w:ascii="Times New Roman" w:hAnsi="Times New Roman" w:cs="Times New Roman"/>
          <w:sz w:val="24"/>
          <w:szCs w:val="24"/>
        </w:rPr>
        <w:t>For variables that showed trends or seasonality, transformations were performed. First-order differencing was applied to eliminate non-stationarity for most variables. Specifically, variables such as Average Hourly Earnings, Federal Rates Monthly, CPI Value Inflation, Nominal Broad U.S. Dollar Index, and Producer Price Index (PPI) achieved stationarity after first-order differencing. The results of the ADF and KPSS tests on these transformed variables confirmed the absence of trends or unit roots, making them suitable for VARX modeling.</w:t>
      </w:r>
    </w:p>
    <w:p w14:paraId="57C29733" w14:textId="77777777" w:rsidR="00CC4E87" w:rsidRPr="00CC4E87" w:rsidRDefault="00CC4E87" w:rsidP="00CC4E87">
      <w:pPr>
        <w:spacing w:line="240" w:lineRule="auto"/>
        <w:rPr>
          <w:rFonts w:ascii="Times New Roman" w:hAnsi="Times New Roman" w:cs="Times New Roman"/>
          <w:sz w:val="24"/>
          <w:szCs w:val="24"/>
        </w:rPr>
      </w:pPr>
      <w:r w:rsidRPr="00CC4E87">
        <w:rPr>
          <w:rFonts w:ascii="Times New Roman" w:hAnsi="Times New Roman" w:cs="Times New Roman"/>
          <w:sz w:val="24"/>
          <w:szCs w:val="24"/>
        </w:rPr>
        <w:lastRenderedPageBreak/>
        <w:t>However, some variables required second-order differencing to achieve stationarity, particularly those with persistent trends or structural shifts. These included Average Hourly Earnings, CPI Value Inflation, and Producer Price Index (PPI). The transformations ensured that the dataset adhered to the stationarity requirements for econometric analysis.</w:t>
      </w:r>
    </w:p>
    <w:p w14:paraId="29EFFFC2" w14:textId="5F2F5192" w:rsidR="005E1ADD" w:rsidRPr="0042225A" w:rsidRDefault="00CC4E87" w:rsidP="00CC4E87">
      <w:pPr>
        <w:spacing w:line="240" w:lineRule="auto"/>
        <w:rPr>
          <w:rFonts w:ascii="Times New Roman" w:hAnsi="Times New Roman" w:cs="Times New Roman"/>
          <w:b/>
          <w:bCs/>
          <w:sz w:val="24"/>
          <w:szCs w:val="24"/>
        </w:rPr>
      </w:pPr>
      <w:r w:rsidRPr="00CC4E87">
        <w:rPr>
          <w:rFonts w:ascii="Times New Roman" w:hAnsi="Times New Roman" w:cs="Times New Roman"/>
          <w:sz w:val="24"/>
          <w:szCs w:val="24"/>
        </w:rPr>
        <w:t>To further validate the results, rolling mean and standard deviation plots were generated. These visualizations confirmed that the data series exhibited constant mean and variance post-transformation. This rigorous approach to stationarity testing and transformation ensures that the dataset is robust and compliant with the assumptions of VARX modeling.</w:t>
      </w:r>
    </w:p>
    <w:p w14:paraId="7E44F21E" w14:textId="0578047C" w:rsidR="005E1ADD" w:rsidRDefault="00CC4E87" w:rsidP="005E1ADD">
      <w:pPr>
        <w:spacing w:line="240" w:lineRule="auto"/>
        <w:rPr>
          <w:rFonts w:ascii="Times New Roman" w:hAnsi="Times New Roman" w:cs="Times New Roman"/>
          <w:sz w:val="24"/>
          <w:szCs w:val="24"/>
        </w:rPr>
      </w:pPr>
      <w:r w:rsidRPr="00CC4E87">
        <w:rPr>
          <w:rFonts w:ascii="Times New Roman" w:hAnsi="Times New Roman" w:cs="Times New Roman"/>
          <w:sz w:val="24"/>
          <w:szCs w:val="24"/>
        </w:rPr>
        <w:drawing>
          <wp:inline distT="0" distB="0" distL="0" distR="0" wp14:anchorId="6850BBD9" wp14:editId="4B8B32A8">
            <wp:extent cx="5943600" cy="1729740"/>
            <wp:effectExtent l="0" t="0" r="0" b="3810"/>
            <wp:docPr id="5" name="Picture 4">
              <a:extLst xmlns:a="http://schemas.openxmlformats.org/drawingml/2006/main">
                <a:ext uri="{FF2B5EF4-FFF2-40B4-BE49-F238E27FC236}">
                  <a16:creationId xmlns:a16="http://schemas.microsoft.com/office/drawing/2014/main" id="{D7BD9D0D-19F9-9E89-1CE0-3B8902DBB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7BD9D0D-19F9-9E89-1CE0-3B8902DBB786}"/>
                        </a:ext>
                      </a:extLst>
                    </pic:cNvPr>
                    <pic:cNvPicPr>
                      <a:picLocks noChangeAspect="1"/>
                    </pic:cNvPicPr>
                  </pic:nvPicPr>
                  <pic:blipFill>
                    <a:blip r:embed="rId19"/>
                    <a:stretch>
                      <a:fillRect/>
                    </a:stretch>
                  </pic:blipFill>
                  <pic:spPr>
                    <a:xfrm>
                      <a:off x="0" y="0"/>
                      <a:ext cx="5943600" cy="1729740"/>
                    </a:xfrm>
                    <a:prstGeom prst="rect">
                      <a:avLst/>
                    </a:prstGeom>
                  </pic:spPr>
                </pic:pic>
              </a:graphicData>
            </a:graphic>
          </wp:inline>
        </w:drawing>
      </w:r>
    </w:p>
    <w:p w14:paraId="24173316" w14:textId="7921286B" w:rsidR="00CC4E87" w:rsidRDefault="00CC4E87" w:rsidP="00CC4E87">
      <w:pPr>
        <w:spacing w:line="240" w:lineRule="auto"/>
        <w:jc w:val="center"/>
        <w:rPr>
          <w:rFonts w:ascii="Times New Roman" w:hAnsi="Times New Roman" w:cs="Times New Roman"/>
          <w:sz w:val="24"/>
          <w:szCs w:val="24"/>
        </w:rPr>
      </w:pPr>
      <w:r w:rsidRPr="00CC4E87">
        <w:rPr>
          <w:rFonts w:ascii="Times New Roman" w:hAnsi="Times New Roman" w:cs="Times New Roman"/>
          <w:sz w:val="24"/>
          <w:szCs w:val="24"/>
        </w:rPr>
        <w:drawing>
          <wp:inline distT="0" distB="0" distL="0" distR="0" wp14:anchorId="18CEE649" wp14:editId="5AD69BE5">
            <wp:extent cx="5016500" cy="2431794"/>
            <wp:effectExtent l="0" t="0" r="0" b="6985"/>
            <wp:docPr id="8" name="Picture 7">
              <a:extLst xmlns:a="http://schemas.openxmlformats.org/drawingml/2006/main">
                <a:ext uri="{FF2B5EF4-FFF2-40B4-BE49-F238E27FC236}">
                  <a16:creationId xmlns:a16="http://schemas.microsoft.com/office/drawing/2014/main" id="{60D70312-09D4-2B5F-06F2-A1CFEB0B0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0D70312-09D4-2B5F-06F2-A1CFEB0B09CA}"/>
                        </a:ext>
                      </a:extLst>
                    </pic:cNvPr>
                    <pic:cNvPicPr>
                      <a:picLocks noChangeAspect="1"/>
                    </pic:cNvPicPr>
                  </pic:nvPicPr>
                  <pic:blipFill>
                    <a:blip r:embed="rId20"/>
                    <a:stretch>
                      <a:fillRect/>
                    </a:stretch>
                  </pic:blipFill>
                  <pic:spPr>
                    <a:xfrm>
                      <a:off x="0" y="0"/>
                      <a:ext cx="5069233" cy="2457357"/>
                    </a:xfrm>
                    <a:prstGeom prst="rect">
                      <a:avLst/>
                    </a:prstGeom>
                  </pic:spPr>
                </pic:pic>
              </a:graphicData>
            </a:graphic>
          </wp:inline>
        </w:drawing>
      </w:r>
      <w:r w:rsidRPr="00A007DB">
        <w:rPr>
          <w:rFonts w:ascii="Times New Roman" w:hAnsi="Times New Roman" w:cs="Times New Roman"/>
          <w:sz w:val="24"/>
          <w:szCs w:val="24"/>
        </w:rPr>
        <w:pict w14:anchorId="290F85B8">
          <v:rect id="_x0000_i1074" style="width:0;height:1.5pt" o:hralign="center" o:hrstd="t" o:hr="t" fillcolor="#a0a0a0" stroked="f"/>
        </w:pict>
      </w:r>
    </w:p>
    <w:p w14:paraId="7421505F" w14:textId="424973FD" w:rsidR="00246928" w:rsidRDefault="00246928" w:rsidP="00246928">
      <w:pPr>
        <w:spacing w:line="240" w:lineRule="auto"/>
        <w:rPr>
          <w:rFonts w:ascii="Times New Roman" w:hAnsi="Times New Roman" w:cs="Times New Roman"/>
          <w:b/>
          <w:bCs/>
          <w:sz w:val="24"/>
          <w:szCs w:val="24"/>
        </w:rPr>
      </w:pPr>
      <w:r>
        <w:rPr>
          <w:rFonts w:ascii="Times New Roman" w:hAnsi="Times New Roman" w:cs="Times New Roman"/>
          <w:b/>
          <w:bCs/>
          <w:sz w:val="24"/>
          <w:szCs w:val="24"/>
        </w:rPr>
        <w:t>Modelling</w:t>
      </w:r>
      <w:r w:rsidR="009B5F08">
        <w:rPr>
          <w:rFonts w:ascii="Times New Roman" w:hAnsi="Times New Roman" w:cs="Times New Roman"/>
          <w:b/>
          <w:bCs/>
          <w:sz w:val="24"/>
          <w:szCs w:val="24"/>
        </w:rPr>
        <w:t xml:space="preserve"> Methodology:</w:t>
      </w:r>
    </w:p>
    <w:p w14:paraId="4B2BC848" w14:textId="77777777" w:rsidR="00246928" w:rsidRDefault="00246928" w:rsidP="00246928">
      <w:pPr>
        <w:spacing w:line="240" w:lineRule="auto"/>
        <w:rPr>
          <w:rFonts w:ascii="Times New Roman" w:hAnsi="Times New Roman" w:cs="Times New Roman"/>
          <w:sz w:val="24"/>
          <w:szCs w:val="24"/>
        </w:rPr>
      </w:pPr>
      <w:r w:rsidRPr="00246928">
        <w:rPr>
          <w:rFonts w:ascii="Times New Roman" w:hAnsi="Times New Roman" w:cs="Times New Roman"/>
          <w:sz w:val="24"/>
          <w:szCs w:val="24"/>
        </w:rPr>
        <w:t>A Vector Autoregression with Exogenous Variables (VARX) model is an econometric tool used to analyze the dynamic relationships among multiple interdependent time series while incorporating the influence of external factors or events. Unlike simple regression models, which assume unidirectional relationships between dependent and independent variables, a VARX model captures bidirectional interactions and feedback mechanisms among endogenous variables. Additionally, the inclusion of exogenous variables allows the model to account for external shocks, such as geopolitical conflicts or global pandemics, that can influence the system without being affected by it.</w:t>
      </w:r>
    </w:p>
    <w:p w14:paraId="72D3C872" w14:textId="0B66D7EB" w:rsidR="00246928" w:rsidRPr="00246928" w:rsidRDefault="00246928" w:rsidP="00246928">
      <w:pPr>
        <w:spacing w:line="240" w:lineRule="auto"/>
        <w:rPr>
          <w:rFonts w:ascii="Times New Roman" w:hAnsi="Times New Roman" w:cs="Times New Roman"/>
          <w:sz w:val="24"/>
          <w:szCs w:val="24"/>
        </w:rPr>
      </w:pPr>
      <w:r w:rsidRPr="00246928">
        <w:rPr>
          <w:rFonts w:ascii="Times New Roman" w:hAnsi="Times New Roman" w:cs="Times New Roman"/>
          <w:sz w:val="24"/>
          <w:szCs w:val="24"/>
        </w:rPr>
        <w:lastRenderedPageBreak/>
        <w:t>The VARX model was chosen for this project because it provides a robust framework to analyze how key U.S. economic indicators respond dynamically to external shocks like the COVID-19 pandemic and the Russia-Ukraine conflict. By explicitly incorporating event flags as exogenous variables, the model enables us to quantify the impact of these disruptions on inflation, unemployment, and financial market indices. Unlike univariate models like ARIMA, which only handle single time series, the VARX model accommodates the multivariate nature of our data, capturing the complex interdependencies among economic indicators while considering external influences.</w:t>
      </w:r>
    </w:p>
    <w:p w14:paraId="41BDABEF" w14:textId="77777777" w:rsidR="00246928" w:rsidRPr="00246928" w:rsidRDefault="00246928" w:rsidP="00246928">
      <w:pPr>
        <w:spacing w:line="240" w:lineRule="auto"/>
        <w:rPr>
          <w:rFonts w:ascii="Times New Roman" w:hAnsi="Times New Roman" w:cs="Times New Roman"/>
          <w:sz w:val="24"/>
          <w:szCs w:val="24"/>
        </w:rPr>
      </w:pPr>
      <w:r w:rsidRPr="00246928">
        <w:rPr>
          <w:rFonts w:ascii="Times New Roman" w:hAnsi="Times New Roman" w:cs="Times New Roman"/>
          <w:sz w:val="24"/>
          <w:szCs w:val="24"/>
        </w:rPr>
        <w:t>To guide the analysis, we formulated the following hypotheses:</w:t>
      </w:r>
    </w:p>
    <w:p w14:paraId="2479C6AB" w14:textId="77777777" w:rsidR="00246928" w:rsidRPr="00246928" w:rsidRDefault="00246928" w:rsidP="00246928">
      <w:pPr>
        <w:numPr>
          <w:ilvl w:val="0"/>
          <w:numId w:val="3"/>
        </w:numPr>
        <w:spacing w:line="240" w:lineRule="auto"/>
        <w:rPr>
          <w:rFonts w:ascii="Times New Roman" w:hAnsi="Times New Roman" w:cs="Times New Roman"/>
          <w:sz w:val="24"/>
          <w:szCs w:val="24"/>
        </w:rPr>
      </w:pPr>
      <w:r w:rsidRPr="00246928">
        <w:rPr>
          <w:rFonts w:ascii="Times New Roman" w:hAnsi="Times New Roman" w:cs="Times New Roman"/>
          <w:sz w:val="24"/>
          <w:szCs w:val="24"/>
        </w:rPr>
        <w:t>Russia-Ukraine Conflict Hypothesis:</w:t>
      </w:r>
    </w:p>
    <w:p w14:paraId="6EC7559A" w14:textId="77777777" w:rsidR="00246928" w:rsidRPr="00246928" w:rsidRDefault="00246928" w:rsidP="00246928">
      <w:pPr>
        <w:numPr>
          <w:ilvl w:val="1"/>
          <w:numId w:val="3"/>
        </w:numPr>
        <w:spacing w:line="240" w:lineRule="auto"/>
        <w:rPr>
          <w:rFonts w:ascii="Times New Roman" w:hAnsi="Times New Roman" w:cs="Times New Roman"/>
          <w:sz w:val="24"/>
          <w:szCs w:val="24"/>
        </w:rPr>
      </w:pPr>
      <w:r w:rsidRPr="00246928">
        <w:rPr>
          <w:rFonts w:ascii="Times New Roman" w:hAnsi="Times New Roman" w:cs="Times New Roman"/>
          <w:sz w:val="24"/>
          <w:szCs w:val="24"/>
        </w:rPr>
        <w:t xml:space="preserve">Null Hypothesis (H₀): The Russia-Ukraine conflict, as represented by the exogenous variable </w:t>
      </w:r>
      <w:proofErr w:type="spellStart"/>
      <w:r w:rsidRPr="00246928">
        <w:rPr>
          <w:rFonts w:ascii="Times New Roman" w:hAnsi="Times New Roman" w:cs="Times New Roman"/>
          <w:sz w:val="24"/>
          <w:szCs w:val="24"/>
        </w:rPr>
        <w:t>Russia_Ukraine_Date_Flag</w:t>
      </w:r>
      <w:proofErr w:type="spellEnd"/>
      <w:r w:rsidRPr="00246928">
        <w:rPr>
          <w:rFonts w:ascii="Times New Roman" w:hAnsi="Times New Roman" w:cs="Times New Roman"/>
          <w:sz w:val="24"/>
          <w:szCs w:val="24"/>
        </w:rPr>
        <w:t>, has no significant impact on key U.S. economic indicators.</w:t>
      </w:r>
    </w:p>
    <w:p w14:paraId="702BD9B9" w14:textId="77777777" w:rsidR="00246928" w:rsidRPr="00246928" w:rsidRDefault="00246928" w:rsidP="00246928">
      <w:pPr>
        <w:numPr>
          <w:ilvl w:val="1"/>
          <w:numId w:val="3"/>
        </w:numPr>
        <w:spacing w:line="240" w:lineRule="auto"/>
        <w:rPr>
          <w:rFonts w:ascii="Times New Roman" w:hAnsi="Times New Roman" w:cs="Times New Roman"/>
          <w:sz w:val="24"/>
          <w:szCs w:val="24"/>
        </w:rPr>
      </w:pPr>
      <w:r w:rsidRPr="00246928">
        <w:rPr>
          <w:rFonts w:ascii="Times New Roman" w:hAnsi="Times New Roman" w:cs="Times New Roman"/>
          <w:sz w:val="24"/>
          <w:szCs w:val="24"/>
        </w:rPr>
        <w:t>Alternative Hypothesis (H₁): The Russia-Ukraine conflict has a significant impact on key U.S. economic indicators.</w:t>
      </w:r>
    </w:p>
    <w:p w14:paraId="5D4C73E2" w14:textId="77777777" w:rsidR="00246928" w:rsidRPr="00246928" w:rsidRDefault="00246928" w:rsidP="00246928">
      <w:pPr>
        <w:numPr>
          <w:ilvl w:val="0"/>
          <w:numId w:val="3"/>
        </w:numPr>
        <w:spacing w:line="240" w:lineRule="auto"/>
        <w:rPr>
          <w:rFonts w:ascii="Times New Roman" w:hAnsi="Times New Roman" w:cs="Times New Roman"/>
          <w:sz w:val="24"/>
          <w:szCs w:val="24"/>
        </w:rPr>
      </w:pPr>
      <w:r w:rsidRPr="00246928">
        <w:rPr>
          <w:rFonts w:ascii="Times New Roman" w:hAnsi="Times New Roman" w:cs="Times New Roman"/>
          <w:sz w:val="24"/>
          <w:szCs w:val="24"/>
        </w:rPr>
        <w:t>COVID-19 Pandemic Hypothesis:</w:t>
      </w:r>
    </w:p>
    <w:p w14:paraId="590691AC" w14:textId="77777777" w:rsidR="00246928" w:rsidRPr="00246928" w:rsidRDefault="00246928" w:rsidP="00246928">
      <w:pPr>
        <w:numPr>
          <w:ilvl w:val="1"/>
          <w:numId w:val="3"/>
        </w:numPr>
        <w:spacing w:line="240" w:lineRule="auto"/>
        <w:rPr>
          <w:rFonts w:ascii="Times New Roman" w:hAnsi="Times New Roman" w:cs="Times New Roman"/>
          <w:sz w:val="24"/>
          <w:szCs w:val="24"/>
        </w:rPr>
      </w:pPr>
      <w:r w:rsidRPr="00246928">
        <w:rPr>
          <w:rFonts w:ascii="Times New Roman" w:hAnsi="Times New Roman" w:cs="Times New Roman"/>
          <w:sz w:val="24"/>
          <w:szCs w:val="24"/>
        </w:rPr>
        <w:t xml:space="preserve">Null Hypothesis (H₀): The COVID-19 pandemic, represented by the exogenous variable </w:t>
      </w:r>
      <w:proofErr w:type="spellStart"/>
      <w:r w:rsidRPr="00246928">
        <w:rPr>
          <w:rFonts w:ascii="Times New Roman" w:hAnsi="Times New Roman" w:cs="Times New Roman"/>
          <w:sz w:val="24"/>
          <w:szCs w:val="24"/>
        </w:rPr>
        <w:t>Covid_Flag</w:t>
      </w:r>
      <w:proofErr w:type="spellEnd"/>
      <w:r w:rsidRPr="00246928">
        <w:rPr>
          <w:rFonts w:ascii="Times New Roman" w:hAnsi="Times New Roman" w:cs="Times New Roman"/>
          <w:sz w:val="24"/>
          <w:szCs w:val="24"/>
        </w:rPr>
        <w:t>, has no additional impact on U.S. economic indicators, independent of the Russia-Ukraine conflict.</w:t>
      </w:r>
    </w:p>
    <w:p w14:paraId="6C0F54E4" w14:textId="77777777" w:rsidR="00246928" w:rsidRPr="00246928" w:rsidRDefault="00246928" w:rsidP="00246928">
      <w:pPr>
        <w:numPr>
          <w:ilvl w:val="1"/>
          <w:numId w:val="3"/>
        </w:numPr>
        <w:spacing w:line="240" w:lineRule="auto"/>
        <w:rPr>
          <w:rFonts w:ascii="Times New Roman" w:hAnsi="Times New Roman" w:cs="Times New Roman"/>
          <w:sz w:val="24"/>
          <w:szCs w:val="24"/>
        </w:rPr>
      </w:pPr>
      <w:r w:rsidRPr="00246928">
        <w:rPr>
          <w:rFonts w:ascii="Times New Roman" w:hAnsi="Times New Roman" w:cs="Times New Roman"/>
          <w:sz w:val="24"/>
          <w:szCs w:val="24"/>
        </w:rPr>
        <w:t>Alternative Hypothesis (H₁): The COVID-19 pandemic has a significant additional impact on U.S. economic indicators, independent of the Russia-Ukraine conflict.</w:t>
      </w:r>
    </w:p>
    <w:p w14:paraId="23388DC4" w14:textId="77777777" w:rsidR="00246928" w:rsidRPr="00246928" w:rsidRDefault="00246928" w:rsidP="00246928">
      <w:pPr>
        <w:spacing w:line="240" w:lineRule="auto"/>
        <w:rPr>
          <w:rFonts w:ascii="Times New Roman" w:hAnsi="Times New Roman" w:cs="Times New Roman"/>
          <w:sz w:val="24"/>
          <w:szCs w:val="24"/>
        </w:rPr>
      </w:pPr>
      <w:r w:rsidRPr="00246928">
        <w:rPr>
          <w:rFonts w:ascii="Times New Roman" w:hAnsi="Times New Roman" w:cs="Times New Roman"/>
          <w:sz w:val="24"/>
          <w:szCs w:val="24"/>
        </w:rPr>
        <w:t>These hypotheses allow us to evaluate whether the modeled external events have a measurable and distinct influence on macroeconomic dynamics.</w:t>
      </w:r>
    </w:p>
    <w:p w14:paraId="288A369F" w14:textId="23D8B952" w:rsidR="00246928" w:rsidRPr="00246928" w:rsidRDefault="00246928" w:rsidP="00246928">
      <w:pPr>
        <w:spacing w:line="240" w:lineRule="auto"/>
        <w:rPr>
          <w:rFonts w:ascii="Times New Roman" w:hAnsi="Times New Roman" w:cs="Times New Roman"/>
          <w:sz w:val="24"/>
          <w:szCs w:val="24"/>
        </w:rPr>
      </w:pPr>
      <w:r w:rsidRPr="00246928">
        <w:rPr>
          <w:rFonts w:ascii="Times New Roman" w:hAnsi="Times New Roman" w:cs="Times New Roman"/>
          <w:sz w:val="24"/>
          <w:szCs w:val="24"/>
        </w:rPr>
        <w:t xml:space="preserve">Determining the optimal lag order is critical for capturing the temporal relationships among variables while avoiding overfitting. Using the Bayesian Information Criterion (BIC), the optimal lag order for the VAR model was determined to be 1. The BIC, favored for its conservative approach to model selection, suggests that a simpler model with a </w:t>
      </w:r>
      <w:proofErr w:type="gramStart"/>
      <w:r w:rsidRPr="00246928">
        <w:rPr>
          <w:rFonts w:ascii="Times New Roman" w:hAnsi="Times New Roman" w:cs="Times New Roman"/>
          <w:sz w:val="24"/>
          <w:szCs w:val="24"/>
        </w:rPr>
        <w:t>single lag balances</w:t>
      </w:r>
      <w:proofErr w:type="gramEnd"/>
      <w:r w:rsidRPr="00246928">
        <w:rPr>
          <w:rFonts w:ascii="Times New Roman" w:hAnsi="Times New Roman" w:cs="Times New Roman"/>
          <w:sz w:val="24"/>
          <w:szCs w:val="24"/>
        </w:rPr>
        <w:t xml:space="preserve"> fit and complexity. The consistency between the BIC and HQIC criteria reinforces this choice, confirming that a lag order of 1 is sufficient to capture the relationships between the variables in our dataset. </w:t>
      </w:r>
    </w:p>
    <w:p w14:paraId="7A1DDC6F" w14:textId="5D7A155E" w:rsidR="00246928" w:rsidRPr="00E44E8E" w:rsidRDefault="009B5F08" w:rsidP="00246928">
      <w:pPr>
        <w:spacing w:line="240" w:lineRule="auto"/>
        <w:rPr>
          <w:rFonts w:ascii="Times New Roman" w:hAnsi="Times New Roman" w:cs="Times New Roman"/>
          <w:sz w:val="24"/>
          <w:szCs w:val="24"/>
        </w:rPr>
      </w:pPr>
      <w:r w:rsidRPr="009B5F08">
        <w:rPr>
          <w:rFonts w:ascii="Times New Roman" w:hAnsi="Times New Roman" w:cs="Times New Roman"/>
          <w:sz w:val="24"/>
          <w:szCs w:val="24"/>
        </w:rPr>
        <w:t xml:space="preserve">Incorporating the exogenous variables </w:t>
      </w:r>
      <w:r>
        <w:rPr>
          <w:rFonts w:ascii="Times New Roman" w:hAnsi="Times New Roman" w:cs="Times New Roman"/>
          <w:sz w:val="24"/>
          <w:szCs w:val="24"/>
        </w:rPr>
        <w:t>‘</w:t>
      </w:r>
      <w:proofErr w:type="spellStart"/>
      <w:r w:rsidRPr="009B5F08">
        <w:rPr>
          <w:rFonts w:ascii="Times New Roman" w:hAnsi="Times New Roman" w:cs="Times New Roman"/>
          <w:sz w:val="24"/>
          <w:szCs w:val="24"/>
        </w:rPr>
        <w:t>Russia_Ukraine_Date_Flag</w:t>
      </w:r>
      <w:proofErr w:type="spellEnd"/>
      <w:r>
        <w:rPr>
          <w:rFonts w:ascii="Times New Roman" w:hAnsi="Times New Roman" w:cs="Times New Roman"/>
          <w:sz w:val="24"/>
          <w:szCs w:val="24"/>
        </w:rPr>
        <w:t>’</w:t>
      </w:r>
      <w:r w:rsidRPr="009B5F08">
        <w:rPr>
          <w:rFonts w:ascii="Times New Roman" w:hAnsi="Times New Roman" w:cs="Times New Roman"/>
          <w:sz w:val="24"/>
          <w:szCs w:val="24"/>
        </w:rPr>
        <w:t xml:space="preserve"> and </w:t>
      </w:r>
      <w:r>
        <w:rPr>
          <w:rFonts w:ascii="Times New Roman" w:hAnsi="Times New Roman" w:cs="Times New Roman"/>
          <w:sz w:val="24"/>
          <w:szCs w:val="24"/>
        </w:rPr>
        <w:t>‘</w:t>
      </w:r>
      <w:proofErr w:type="spellStart"/>
      <w:r w:rsidRPr="009B5F08">
        <w:rPr>
          <w:rFonts w:ascii="Times New Roman" w:hAnsi="Times New Roman" w:cs="Times New Roman"/>
          <w:sz w:val="24"/>
          <w:szCs w:val="24"/>
        </w:rPr>
        <w:t>Covid_Flag</w:t>
      </w:r>
      <w:proofErr w:type="spellEnd"/>
      <w:r>
        <w:rPr>
          <w:rFonts w:ascii="Times New Roman" w:hAnsi="Times New Roman" w:cs="Times New Roman"/>
          <w:sz w:val="24"/>
          <w:szCs w:val="24"/>
        </w:rPr>
        <w:t>’</w:t>
      </w:r>
      <w:r w:rsidRPr="009B5F08">
        <w:rPr>
          <w:rFonts w:ascii="Times New Roman" w:hAnsi="Times New Roman" w:cs="Times New Roman"/>
          <w:sz w:val="24"/>
          <w:szCs w:val="24"/>
        </w:rPr>
        <w:t xml:space="preserve"> transformed the VAR model into a VARX model, enabling an evaluation of their influence on key economic indicators. The model utilized stationary data for endogenous variables while including the event flags as exogenous variables. Python's </w:t>
      </w:r>
      <w:proofErr w:type="spellStart"/>
      <w:r w:rsidRPr="009B5F08">
        <w:rPr>
          <w:rFonts w:ascii="Times New Roman" w:hAnsi="Times New Roman" w:cs="Times New Roman"/>
          <w:sz w:val="24"/>
          <w:szCs w:val="24"/>
        </w:rPr>
        <w:t>statsmodels</w:t>
      </w:r>
      <w:proofErr w:type="spellEnd"/>
      <w:r w:rsidRPr="009B5F08">
        <w:rPr>
          <w:rFonts w:ascii="Times New Roman" w:hAnsi="Times New Roman" w:cs="Times New Roman"/>
          <w:sz w:val="24"/>
          <w:szCs w:val="24"/>
        </w:rPr>
        <w:t xml:space="preserve"> library was employed to estimate the parameters of the VARX model using the VARMAX implementation, with the optimal lag order set to 1 based on BIC. An iterative optimization method ensured reliable parameter estimates. This setup facilitates the analysis of causal and dynamic relationships between economic indicators and external shocks, offering valuable insights for policymakers and researchers.</w:t>
      </w:r>
    </w:p>
    <w:p w14:paraId="528EFDFA" w14:textId="52B23E4E" w:rsidR="006847D3" w:rsidRDefault="00E44E8E" w:rsidP="00246928">
      <w:pPr>
        <w:spacing w:line="240" w:lineRule="auto"/>
        <w:rPr>
          <w:rFonts w:ascii="Times New Roman" w:hAnsi="Times New Roman" w:cs="Times New Roman"/>
          <w:b/>
          <w:bCs/>
          <w:sz w:val="24"/>
          <w:szCs w:val="24"/>
        </w:rPr>
      </w:pPr>
      <w:r w:rsidRPr="00E44E8E">
        <w:rPr>
          <w:rFonts w:ascii="Times New Roman" w:hAnsi="Times New Roman" w:cs="Times New Roman"/>
          <w:b/>
          <w:bCs/>
          <w:sz w:val="24"/>
          <w:szCs w:val="24"/>
        </w:rPr>
        <w:lastRenderedPageBreak/>
        <w:drawing>
          <wp:inline distT="0" distB="0" distL="0" distR="0" wp14:anchorId="5CD420B3" wp14:editId="0A3F7C80">
            <wp:extent cx="4813300" cy="2035008"/>
            <wp:effectExtent l="0" t="0" r="6350" b="3810"/>
            <wp:docPr id="23" name="Picture 22">
              <a:extLst xmlns:a="http://schemas.openxmlformats.org/drawingml/2006/main">
                <a:ext uri="{FF2B5EF4-FFF2-40B4-BE49-F238E27FC236}">
                  <a16:creationId xmlns:a16="http://schemas.microsoft.com/office/drawing/2014/main" id="{4CF96B31-8916-1A12-D06E-70DD9F525B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4CF96B31-8916-1A12-D06E-70DD9F525B4B}"/>
                        </a:ext>
                      </a:extLst>
                    </pic:cNvPr>
                    <pic:cNvPicPr>
                      <a:picLocks noChangeAspect="1"/>
                    </pic:cNvPicPr>
                  </pic:nvPicPr>
                  <pic:blipFill>
                    <a:blip r:embed="rId21"/>
                    <a:stretch>
                      <a:fillRect/>
                    </a:stretch>
                  </pic:blipFill>
                  <pic:spPr>
                    <a:xfrm>
                      <a:off x="0" y="0"/>
                      <a:ext cx="4823610" cy="2039367"/>
                    </a:xfrm>
                    <a:prstGeom prst="rect">
                      <a:avLst/>
                    </a:prstGeom>
                  </pic:spPr>
                </pic:pic>
              </a:graphicData>
            </a:graphic>
          </wp:inline>
        </w:drawing>
      </w:r>
    </w:p>
    <w:p w14:paraId="780F7ABF" w14:textId="296B968F" w:rsidR="00E44E8E" w:rsidRDefault="006847D3" w:rsidP="00246928">
      <w:pPr>
        <w:spacing w:line="240" w:lineRule="auto"/>
        <w:rPr>
          <w:rFonts w:ascii="Times New Roman" w:hAnsi="Times New Roman" w:cs="Times New Roman"/>
          <w:b/>
          <w:bCs/>
          <w:sz w:val="24"/>
          <w:szCs w:val="24"/>
        </w:rPr>
      </w:pPr>
      <w:r>
        <w:rPr>
          <w:rFonts w:ascii="Times New Roman" w:hAnsi="Times New Roman" w:cs="Times New Roman"/>
          <w:b/>
          <w:bCs/>
          <w:sz w:val="24"/>
          <w:szCs w:val="24"/>
        </w:rPr>
        <w:t>Model Equations for Variable that were Affected by the Events (According to the Model)</w:t>
      </w:r>
    </w:p>
    <w:p w14:paraId="5EED0673" w14:textId="3E07ACCA" w:rsidR="006847D3" w:rsidRDefault="006847D3" w:rsidP="00246928">
      <w:pPr>
        <w:spacing w:line="240" w:lineRule="auto"/>
        <w:rPr>
          <w:rFonts w:ascii="Times New Roman" w:hAnsi="Times New Roman" w:cs="Times New Roman"/>
          <w:b/>
          <w:bCs/>
          <w:sz w:val="24"/>
          <w:szCs w:val="24"/>
        </w:rPr>
      </w:pPr>
      <w:r w:rsidRPr="006847D3">
        <w:rPr>
          <w:rFonts w:ascii="Times New Roman" w:hAnsi="Times New Roman" w:cs="Times New Roman"/>
          <w:b/>
          <w:bCs/>
          <w:sz w:val="24"/>
          <w:szCs w:val="24"/>
        </w:rPr>
        <w:drawing>
          <wp:inline distT="0" distB="0" distL="0" distR="0" wp14:anchorId="477C84E5" wp14:editId="4069A2A8">
            <wp:extent cx="5943600" cy="1448435"/>
            <wp:effectExtent l="0" t="0" r="0" b="0"/>
            <wp:docPr id="131704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45242" name=""/>
                    <pic:cNvPicPr/>
                  </pic:nvPicPr>
                  <pic:blipFill>
                    <a:blip r:embed="rId22"/>
                    <a:stretch>
                      <a:fillRect/>
                    </a:stretch>
                  </pic:blipFill>
                  <pic:spPr>
                    <a:xfrm>
                      <a:off x="0" y="0"/>
                      <a:ext cx="5943600" cy="1448435"/>
                    </a:xfrm>
                    <a:prstGeom prst="rect">
                      <a:avLst/>
                    </a:prstGeom>
                  </pic:spPr>
                </pic:pic>
              </a:graphicData>
            </a:graphic>
          </wp:inline>
        </w:drawing>
      </w:r>
    </w:p>
    <w:p w14:paraId="1B76F1D7" w14:textId="178A38F0" w:rsidR="006847D3" w:rsidRDefault="006847D3" w:rsidP="00246928">
      <w:pPr>
        <w:spacing w:line="240" w:lineRule="auto"/>
        <w:rPr>
          <w:rFonts w:ascii="Times New Roman" w:hAnsi="Times New Roman" w:cs="Times New Roman"/>
          <w:b/>
          <w:bCs/>
          <w:sz w:val="24"/>
          <w:szCs w:val="24"/>
        </w:rPr>
      </w:pPr>
      <w:r w:rsidRPr="006847D3">
        <w:rPr>
          <w:rFonts w:ascii="Times New Roman" w:hAnsi="Times New Roman" w:cs="Times New Roman"/>
          <w:b/>
          <w:bCs/>
          <w:sz w:val="24"/>
          <w:szCs w:val="24"/>
        </w:rPr>
        <w:drawing>
          <wp:inline distT="0" distB="0" distL="0" distR="0" wp14:anchorId="2CB70D74" wp14:editId="5BCFE6EA">
            <wp:extent cx="5943600" cy="1436370"/>
            <wp:effectExtent l="0" t="0" r="0" b="0"/>
            <wp:docPr id="100757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7912" name=""/>
                    <pic:cNvPicPr/>
                  </pic:nvPicPr>
                  <pic:blipFill>
                    <a:blip r:embed="rId23"/>
                    <a:stretch>
                      <a:fillRect/>
                    </a:stretch>
                  </pic:blipFill>
                  <pic:spPr>
                    <a:xfrm>
                      <a:off x="0" y="0"/>
                      <a:ext cx="5943600" cy="1436370"/>
                    </a:xfrm>
                    <a:prstGeom prst="rect">
                      <a:avLst/>
                    </a:prstGeom>
                  </pic:spPr>
                </pic:pic>
              </a:graphicData>
            </a:graphic>
          </wp:inline>
        </w:drawing>
      </w:r>
    </w:p>
    <w:p w14:paraId="46972047" w14:textId="0B2965B9" w:rsidR="006847D3" w:rsidRDefault="006847D3" w:rsidP="00246928">
      <w:pPr>
        <w:spacing w:line="240" w:lineRule="auto"/>
        <w:rPr>
          <w:rFonts w:ascii="Times New Roman" w:hAnsi="Times New Roman" w:cs="Times New Roman"/>
          <w:b/>
          <w:bCs/>
          <w:sz w:val="24"/>
          <w:szCs w:val="24"/>
        </w:rPr>
      </w:pPr>
      <w:r w:rsidRPr="006847D3">
        <w:rPr>
          <w:rFonts w:ascii="Times New Roman" w:hAnsi="Times New Roman" w:cs="Times New Roman"/>
          <w:b/>
          <w:bCs/>
          <w:sz w:val="24"/>
          <w:szCs w:val="24"/>
        </w:rPr>
        <w:drawing>
          <wp:inline distT="0" distB="0" distL="0" distR="0" wp14:anchorId="4E302972" wp14:editId="185FDC33">
            <wp:extent cx="5943600" cy="1343025"/>
            <wp:effectExtent l="0" t="0" r="0" b="9525"/>
            <wp:docPr id="208066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66761" name=""/>
                    <pic:cNvPicPr/>
                  </pic:nvPicPr>
                  <pic:blipFill>
                    <a:blip r:embed="rId24"/>
                    <a:stretch>
                      <a:fillRect/>
                    </a:stretch>
                  </pic:blipFill>
                  <pic:spPr>
                    <a:xfrm>
                      <a:off x="0" y="0"/>
                      <a:ext cx="5943600" cy="1343025"/>
                    </a:xfrm>
                    <a:prstGeom prst="rect">
                      <a:avLst/>
                    </a:prstGeom>
                  </pic:spPr>
                </pic:pic>
              </a:graphicData>
            </a:graphic>
          </wp:inline>
        </w:drawing>
      </w:r>
    </w:p>
    <w:p w14:paraId="26C5FF1F" w14:textId="7A65FCA5" w:rsidR="006847D3" w:rsidRDefault="006847D3" w:rsidP="006847D3">
      <w:pPr>
        <w:spacing w:line="240" w:lineRule="auto"/>
        <w:jc w:val="center"/>
        <w:rPr>
          <w:rFonts w:ascii="Times New Roman" w:hAnsi="Times New Roman" w:cs="Times New Roman"/>
          <w:sz w:val="24"/>
          <w:szCs w:val="24"/>
        </w:rPr>
      </w:pPr>
      <w:r w:rsidRPr="006847D3">
        <w:rPr>
          <w:rFonts w:ascii="Times New Roman" w:hAnsi="Times New Roman" w:cs="Times New Roman"/>
          <w:sz w:val="24"/>
          <w:szCs w:val="24"/>
        </w:rPr>
        <w:drawing>
          <wp:inline distT="0" distB="0" distL="0" distR="0" wp14:anchorId="156249E9" wp14:editId="115C36E5">
            <wp:extent cx="5943600" cy="1030605"/>
            <wp:effectExtent l="0" t="0" r="0" b="0"/>
            <wp:docPr id="116535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51861" name=""/>
                    <pic:cNvPicPr/>
                  </pic:nvPicPr>
                  <pic:blipFill>
                    <a:blip r:embed="rId25"/>
                    <a:stretch>
                      <a:fillRect/>
                    </a:stretch>
                  </pic:blipFill>
                  <pic:spPr>
                    <a:xfrm>
                      <a:off x="0" y="0"/>
                      <a:ext cx="5943600" cy="1030605"/>
                    </a:xfrm>
                    <a:prstGeom prst="rect">
                      <a:avLst/>
                    </a:prstGeom>
                  </pic:spPr>
                </pic:pic>
              </a:graphicData>
            </a:graphic>
          </wp:inline>
        </w:drawing>
      </w:r>
      <w:r w:rsidRPr="00A007DB">
        <w:rPr>
          <w:rFonts w:ascii="Times New Roman" w:hAnsi="Times New Roman" w:cs="Times New Roman"/>
          <w:sz w:val="24"/>
          <w:szCs w:val="24"/>
        </w:rPr>
        <w:pict w14:anchorId="66B3AB7F">
          <v:rect id="_x0000_i1076" style="width:0;height:1.5pt" o:hralign="center" o:hrstd="t" o:hr="t" fillcolor="#a0a0a0" stroked="f"/>
        </w:pict>
      </w:r>
    </w:p>
    <w:p w14:paraId="64394E4D" w14:textId="7C547C95" w:rsidR="00CC4E87" w:rsidRPr="006847D3" w:rsidRDefault="00EB23BE" w:rsidP="00CC4E87">
      <w:pPr>
        <w:spacing w:line="240" w:lineRule="auto"/>
        <w:rPr>
          <w:rFonts w:ascii="Times New Roman" w:hAnsi="Times New Roman" w:cs="Times New Roman"/>
          <w:b/>
          <w:bCs/>
          <w:sz w:val="24"/>
          <w:szCs w:val="24"/>
        </w:rPr>
      </w:pPr>
      <w:r w:rsidRPr="006847D3">
        <w:rPr>
          <w:rFonts w:ascii="Times New Roman" w:hAnsi="Times New Roman" w:cs="Times New Roman"/>
          <w:sz w:val="24"/>
          <w:szCs w:val="24"/>
        </w:rPr>
        <w:lastRenderedPageBreak/>
        <w:drawing>
          <wp:anchor distT="0" distB="0" distL="114300" distR="114300" simplePos="0" relativeHeight="251659264" behindDoc="1" locked="0" layoutInCell="1" allowOverlap="1" wp14:anchorId="38462D10" wp14:editId="503C5F35">
            <wp:simplePos x="0" y="0"/>
            <wp:positionH relativeFrom="margin">
              <wp:align>left</wp:align>
            </wp:positionH>
            <wp:positionV relativeFrom="paragraph">
              <wp:posOffset>279400</wp:posOffset>
            </wp:positionV>
            <wp:extent cx="2984500" cy="2360295"/>
            <wp:effectExtent l="0" t="0" r="6350" b="1905"/>
            <wp:wrapTight wrapText="bothSides">
              <wp:wrapPolygon edited="0">
                <wp:start x="0" y="0"/>
                <wp:lineTo x="0" y="21443"/>
                <wp:lineTo x="21508" y="21443"/>
                <wp:lineTo x="21508" y="0"/>
                <wp:lineTo x="0" y="0"/>
              </wp:wrapPolygon>
            </wp:wrapTight>
            <wp:docPr id="30" name="Picture 29">
              <a:extLst xmlns:a="http://schemas.openxmlformats.org/drawingml/2006/main">
                <a:ext uri="{FF2B5EF4-FFF2-40B4-BE49-F238E27FC236}">
                  <a16:creationId xmlns:a16="http://schemas.microsoft.com/office/drawing/2014/main" id="{736EAAA7-AB94-7939-4C9A-95F9CCC0B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736EAAA7-AB94-7939-4C9A-95F9CCC0B894}"/>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4500" cy="2360295"/>
                    </a:xfrm>
                    <a:prstGeom prst="rect">
                      <a:avLst/>
                    </a:prstGeom>
                  </pic:spPr>
                </pic:pic>
              </a:graphicData>
            </a:graphic>
            <wp14:sizeRelH relativeFrom="margin">
              <wp14:pctWidth>0</wp14:pctWidth>
            </wp14:sizeRelH>
            <wp14:sizeRelV relativeFrom="margin">
              <wp14:pctHeight>0</wp14:pctHeight>
            </wp14:sizeRelV>
          </wp:anchor>
        </w:drawing>
      </w:r>
      <w:r w:rsidR="006847D3" w:rsidRPr="006847D3">
        <w:rPr>
          <w:rFonts w:ascii="Times New Roman" w:hAnsi="Times New Roman" w:cs="Times New Roman"/>
          <w:b/>
          <w:bCs/>
          <w:sz w:val="24"/>
          <w:szCs w:val="24"/>
        </w:rPr>
        <w:t>Results and Conclusions</w:t>
      </w:r>
      <w:r w:rsidR="006847D3">
        <w:rPr>
          <w:rFonts w:ascii="Times New Roman" w:hAnsi="Times New Roman" w:cs="Times New Roman"/>
          <w:b/>
          <w:bCs/>
          <w:sz w:val="24"/>
          <w:szCs w:val="24"/>
        </w:rPr>
        <w:t>:</w:t>
      </w:r>
    </w:p>
    <w:p w14:paraId="694A1ABB" w14:textId="77777777" w:rsidR="00EB23BE" w:rsidRDefault="00EB23BE" w:rsidP="00EB23BE">
      <w:pPr>
        <w:spacing w:line="240" w:lineRule="auto"/>
        <w:rPr>
          <w:rFonts w:ascii="Times New Roman" w:hAnsi="Times New Roman" w:cs="Times New Roman"/>
          <w:sz w:val="24"/>
          <w:szCs w:val="24"/>
        </w:rPr>
      </w:pPr>
      <w:r w:rsidRPr="00EB23BE">
        <w:rPr>
          <w:rFonts w:ascii="Times New Roman" w:hAnsi="Times New Roman" w:cs="Times New Roman"/>
          <w:sz w:val="24"/>
          <w:szCs w:val="24"/>
        </w:rPr>
        <w:t>The VARX model provides valuable insights into the dynamic impacts of the COVID-19 pandemic and the Russia-Ukraine conflict on key U.S. economic indicators. By comparing the model results with real-world observations, we categorize the findings into three groups: correctly captured, partially captured, and not captured variables.</w:t>
      </w:r>
    </w:p>
    <w:p w14:paraId="57E3314B" w14:textId="77777777" w:rsidR="00EB23BE" w:rsidRPr="00EB23BE" w:rsidRDefault="00EB23BE" w:rsidP="00EB23BE">
      <w:pPr>
        <w:spacing w:line="240" w:lineRule="auto"/>
        <w:rPr>
          <w:rFonts w:ascii="Times New Roman" w:hAnsi="Times New Roman" w:cs="Times New Roman"/>
          <w:sz w:val="24"/>
          <w:szCs w:val="24"/>
        </w:rPr>
      </w:pPr>
    </w:p>
    <w:p w14:paraId="68D6E88A" w14:textId="3620FB90" w:rsidR="001E13FC" w:rsidRPr="001E13FC" w:rsidRDefault="00EB23BE" w:rsidP="001E13FC">
      <w:pPr>
        <w:spacing w:after="0" w:line="240" w:lineRule="auto"/>
        <w:rPr>
          <w:rFonts w:ascii="Times New Roman" w:hAnsi="Times New Roman" w:cs="Times New Roman"/>
          <w:i/>
          <w:iCs/>
          <w:sz w:val="24"/>
          <w:szCs w:val="24"/>
          <w:u w:val="single"/>
        </w:rPr>
      </w:pPr>
      <w:r w:rsidRPr="00EB23BE">
        <w:rPr>
          <w:rFonts w:ascii="Times New Roman" w:hAnsi="Times New Roman" w:cs="Times New Roman"/>
          <w:i/>
          <w:iCs/>
          <w:sz w:val="24"/>
          <w:szCs w:val="24"/>
          <w:u w:val="single"/>
        </w:rPr>
        <w:t>Correctly Captured Variables</w:t>
      </w:r>
      <w:r w:rsidR="001E13FC" w:rsidRPr="001E13FC">
        <w:rPr>
          <w:rFonts w:ascii="Times New Roman" w:hAnsi="Times New Roman" w:cs="Times New Roman"/>
          <w:i/>
          <w:iCs/>
          <w:sz w:val="24"/>
          <w:szCs w:val="24"/>
          <w:u w:val="single"/>
        </w:rPr>
        <w:t xml:space="preserve">: </w:t>
      </w:r>
    </w:p>
    <w:p w14:paraId="541B80F5" w14:textId="78477816" w:rsidR="00EB23BE" w:rsidRPr="001E13FC" w:rsidRDefault="00EB23BE" w:rsidP="001E13FC">
      <w:pPr>
        <w:spacing w:line="240" w:lineRule="auto"/>
        <w:rPr>
          <w:rFonts w:ascii="Times New Roman" w:hAnsi="Times New Roman" w:cs="Times New Roman"/>
          <w:b/>
          <w:bCs/>
          <w:sz w:val="24"/>
          <w:szCs w:val="24"/>
        </w:rPr>
      </w:pPr>
      <w:r w:rsidRPr="00EB23BE">
        <w:rPr>
          <w:rFonts w:ascii="Times New Roman" w:hAnsi="Times New Roman" w:cs="Times New Roman"/>
          <w:sz w:val="24"/>
          <w:szCs w:val="24"/>
        </w:rPr>
        <w:t xml:space="preserve">The model effectively captures the dynamics of </w:t>
      </w:r>
      <w:r w:rsidRPr="00EB23BE">
        <w:rPr>
          <w:rFonts w:ascii="Times New Roman" w:hAnsi="Times New Roman" w:cs="Times New Roman"/>
          <w:b/>
          <w:bCs/>
          <w:sz w:val="24"/>
          <w:szCs w:val="24"/>
        </w:rPr>
        <w:t>Nominal Broad U.S. Dollar Index</w:t>
      </w:r>
      <w:r w:rsidRPr="00EB23BE">
        <w:rPr>
          <w:rFonts w:ascii="Times New Roman" w:hAnsi="Times New Roman" w:cs="Times New Roman"/>
          <w:sz w:val="24"/>
          <w:szCs w:val="24"/>
        </w:rPr>
        <w:t xml:space="preserve">, </w:t>
      </w:r>
      <w:r w:rsidRPr="00EB23BE">
        <w:rPr>
          <w:rFonts w:ascii="Times New Roman" w:hAnsi="Times New Roman" w:cs="Times New Roman"/>
          <w:b/>
          <w:bCs/>
          <w:sz w:val="24"/>
          <w:szCs w:val="24"/>
        </w:rPr>
        <w:t>Adjusted Closing Price</w:t>
      </w:r>
      <w:r w:rsidRPr="00EB23BE">
        <w:rPr>
          <w:rFonts w:ascii="Times New Roman" w:hAnsi="Times New Roman" w:cs="Times New Roman"/>
          <w:sz w:val="24"/>
          <w:szCs w:val="24"/>
        </w:rPr>
        <w:t xml:space="preserve">, and </w:t>
      </w:r>
      <w:r w:rsidRPr="00EB23BE">
        <w:rPr>
          <w:rFonts w:ascii="Times New Roman" w:hAnsi="Times New Roman" w:cs="Times New Roman"/>
          <w:b/>
          <w:bCs/>
          <w:sz w:val="24"/>
          <w:szCs w:val="24"/>
        </w:rPr>
        <w:t>U.S. Mean Monthly Market Volatility</w:t>
      </w:r>
      <w:r w:rsidRPr="00EB23BE">
        <w:rPr>
          <w:rFonts w:ascii="Times New Roman" w:hAnsi="Times New Roman" w:cs="Times New Roman"/>
          <w:sz w:val="24"/>
          <w:szCs w:val="24"/>
        </w:rPr>
        <w:t>, accurately reflecting their resilience during the studied crises. For example, the model highlights the persistent stability of the dollar index and its indirect links to global crises. Similarly, the market volatility results align with the real-world impact of COVID-19, which caused sharp fluctuations in financial markets. These results demonstrate the model's ability to correctly quantify the influence of shocks on relatively stable economic indicators.</w:t>
      </w:r>
    </w:p>
    <w:p w14:paraId="5452946F" w14:textId="77777777" w:rsidR="00EB23BE" w:rsidRPr="00EB23BE" w:rsidRDefault="00EB23BE" w:rsidP="00EB23BE">
      <w:pPr>
        <w:spacing w:line="240" w:lineRule="auto"/>
        <w:rPr>
          <w:rFonts w:ascii="Times New Roman" w:hAnsi="Times New Roman" w:cs="Times New Roman"/>
          <w:sz w:val="24"/>
          <w:szCs w:val="24"/>
        </w:rPr>
      </w:pPr>
    </w:p>
    <w:p w14:paraId="3E2F2021" w14:textId="77777777" w:rsidR="00EB23BE" w:rsidRPr="00EB23BE" w:rsidRDefault="00EB23BE" w:rsidP="00EB23BE">
      <w:pPr>
        <w:spacing w:after="0" w:line="240" w:lineRule="auto"/>
        <w:rPr>
          <w:rFonts w:ascii="Times New Roman" w:hAnsi="Times New Roman" w:cs="Times New Roman"/>
          <w:i/>
          <w:iCs/>
          <w:sz w:val="24"/>
          <w:szCs w:val="24"/>
          <w:u w:val="single"/>
        </w:rPr>
      </w:pPr>
      <w:r w:rsidRPr="00EB23BE">
        <w:rPr>
          <w:rFonts w:ascii="Times New Roman" w:hAnsi="Times New Roman" w:cs="Times New Roman"/>
          <w:i/>
          <w:iCs/>
          <w:sz w:val="24"/>
          <w:szCs w:val="24"/>
          <w:u w:val="single"/>
        </w:rPr>
        <w:t>Partially Captured Variables</w:t>
      </w:r>
    </w:p>
    <w:p w14:paraId="30F065C2" w14:textId="77777777" w:rsidR="00EB23BE" w:rsidRPr="00EB23BE" w:rsidRDefault="00EB23BE" w:rsidP="00EB23BE">
      <w:pPr>
        <w:spacing w:line="240" w:lineRule="auto"/>
        <w:rPr>
          <w:rFonts w:ascii="Times New Roman" w:hAnsi="Times New Roman" w:cs="Times New Roman"/>
          <w:sz w:val="24"/>
          <w:szCs w:val="24"/>
        </w:rPr>
      </w:pPr>
      <w:r w:rsidRPr="00EB23BE">
        <w:rPr>
          <w:rFonts w:ascii="Times New Roman" w:hAnsi="Times New Roman" w:cs="Times New Roman"/>
          <w:sz w:val="24"/>
          <w:szCs w:val="24"/>
        </w:rPr>
        <w:t xml:space="preserve">Variables such as </w:t>
      </w:r>
      <w:r w:rsidRPr="00EB23BE">
        <w:rPr>
          <w:rFonts w:ascii="Times New Roman" w:hAnsi="Times New Roman" w:cs="Times New Roman"/>
          <w:b/>
          <w:bCs/>
          <w:sz w:val="24"/>
          <w:szCs w:val="24"/>
        </w:rPr>
        <w:t>Trade Volume Percentage Change Index Value</w:t>
      </w:r>
      <w:r w:rsidRPr="00EB23BE">
        <w:rPr>
          <w:rFonts w:ascii="Times New Roman" w:hAnsi="Times New Roman" w:cs="Times New Roman"/>
          <w:sz w:val="24"/>
          <w:szCs w:val="24"/>
        </w:rPr>
        <w:t xml:space="preserve">, </w:t>
      </w:r>
      <w:r w:rsidRPr="00EB23BE">
        <w:rPr>
          <w:rFonts w:ascii="Times New Roman" w:hAnsi="Times New Roman" w:cs="Times New Roman"/>
          <w:b/>
          <w:bCs/>
          <w:sz w:val="24"/>
          <w:szCs w:val="24"/>
        </w:rPr>
        <w:t>Federal Rates Monthly</w:t>
      </w:r>
      <w:r w:rsidRPr="00EB23BE">
        <w:rPr>
          <w:rFonts w:ascii="Times New Roman" w:hAnsi="Times New Roman" w:cs="Times New Roman"/>
          <w:sz w:val="24"/>
          <w:szCs w:val="24"/>
        </w:rPr>
        <w:t xml:space="preserve">, </w:t>
      </w:r>
      <w:r w:rsidRPr="00EB23BE">
        <w:rPr>
          <w:rFonts w:ascii="Times New Roman" w:hAnsi="Times New Roman" w:cs="Times New Roman"/>
          <w:b/>
          <w:bCs/>
          <w:sz w:val="24"/>
          <w:szCs w:val="24"/>
        </w:rPr>
        <w:t>U.S. Unemployment Rate</w:t>
      </w:r>
      <w:r w:rsidRPr="00EB23BE">
        <w:rPr>
          <w:rFonts w:ascii="Times New Roman" w:hAnsi="Times New Roman" w:cs="Times New Roman"/>
          <w:sz w:val="24"/>
          <w:szCs w:val="24"/>
        </w:rPr>
        <w:t xml:space="preserve">, </w:t>
      </w:r>
      <w:r w:rsidRPr="00EB23BE">
        <w:rPr>
          <w:rFonts w:ascii="Times New Roman" w:hAnsi="Times New Roman" w:cs="Times New Roman"/>
          <w:b/>
          <w:bCs/>
          <w:sz w:val="24"/>
          <w:szCs w:val="24"/>
        </w:rPr>
        <w:t>U.S. Consumer Sentiment</w:t>
      </w:r>
      <w:r w:rsidRPr="00EB23BE">
        <w:rPr>
          <w:rFonts w:ascii="Times New Roman" w:hAnsi="Times New Roman" w:cs="Times New Roman"/>
          <w:sz w:val="24"/>
          <w:szCs w:val="24"/>
        </w:rPr>
        <w:t xml:space="preserve">, and </w:t>
      </w:r>
      <w:r w:rsidRPr="00EB23BE">
        <w:rPr>
          <w:rFonts w:ascii="Times New Roman" w:hAnsi="Times New Roman" w:cs="Times New Roman"/>
          <w:b/>
          <w:bCs/>
          <w:sz w:val="24"/>
          <w:szCs w:val="24"/>
        </w:rPr>
        <w:t>Producer Price Index (PPI)</w:t>
      </w:r>
      <w:r w:rsidRPr="00EB23BE">
        <w:rPr>
          <w:rFonts w:ascii="Times New Roman" w:hAnsi="Times New Roman" w:cs="Times New Roman"/>
          <w:sz w:val="24"/>
          <w:szCs w:val="24"/>
        </w:rPr>
        <w:t xml:space="preserve"> fall into this category. The model identifies some, but not all, of the expected impacts:</w:t>
      </w:r>
    </w:p>
    <w:p w14:paraId="117CA02B" w14:textId="77777777" w:rsidR="00EB23BE" w:rsidRPr="00EB23BE" w:rsidRDefault="00EB23BE" w:rsidP="00EB23BE">
      <w:pPr>
        <w:numPr>
          <w:ilvl w:val="0"/>
          <w:numId w:val="8"/>
        </w:numPr>
        <w:spacing w:line="240" w:lineRule="auto"/>
        <w:rPr>
          <w:rFonts w:ascii="Times New Roman" w:hAnsi="Times New Roman" w:cs="Times New Roman"/>
          <w:sz w:val="24"/>
          <w:szCs w:val="24"/>
        </w:rPr>
      </w:pPr>
      <w:r w:rsidRPr="00EB23BE">
        <w:rPr>
          <w:rFonts w:ascii="Times New Roman" w:hAnsi="Times New Roman" w:cs="Times New Roman"/>
          <w:b/>
          <w:bCs/>
          <w:sz w:val="24"/>
          <w:szCs w:val="24"/>
        </w:rPr>
        <w:t>Trade Volume</w:t>
      </w:r>
      <w:r w:rsidRPr="00EB23BE">
        <w:rPr>
          <w:rFonts w:ascii="Times New Roman" w:hAnsi="Times New Roman" w:cs="Times New Roman"/>
          <w:sz w:val="24"/>
          <w:szCs w:val="24"/>
        </w:rPr>
        <w:t>: The model captures autocorrelation and volatility effects during COVID-19 but underestimates the disruptions caused by the Russia-Ukraine conflict.</w:t>
      </w:r>
    </w:p>
    <w:p w14:paraId="7519392E" w14:textId="77777777" w:rsidR="00EB23BE" w:rsidRPr="00EB23BE" w:rsidRDefault="00EB23BE" w:rsidP="00EB23BE">
      <w:pPr>
        <w:numPr>
          <w:ilvl w:val="0"/>
          <w:numId w:val="8"/>
        </w:numPr>
        <w:spacing w:line="240" w:lineRule="auto"/>
        <w:rPr>
          <w:rFonts w:ascii="Times New Roman" w:hAnsi="Times New Roman" w:cs="Times New Roman"/>
          <w:sz w:val="24"/>
          <w:szCs w:val="24"/>
        </w:rPr>
      </w:pPr>
      <w:r w:rsidRPr="00EB23BE">
        <w:rPr>
          <w:rFonts w:ascii="Times New Roman" w:hAnsi="Times New Roman" w:cs="Times New Roman"/>
          <w:b/>
          <w:bCs/>
          <w:sz w:val="24"/>
          <w:szCs w:val="24"/>
        </w:rPr>
        <w:t>Federal Rates and PPI</w:t>
      </w:r>
      <w:r w:rsidRPr="00EB23BE">
        <w:rPr>
          <w:rFonts w:ascii="Times New Roman" w:hAnsi="Times New Roman" w:cs="Times New Roman"/>
          <w:sz w:val="24"/>
          <w:szCs w:val="24"/>
        </w:rPr>
        <w:t>: While the model captures their links to inflation and broader economic conditions, it misses the external shock-driven fluctuations caused by the crises.</w:t>
      </w:r>
    </w:p>
    <w:p w14:paraId="63B39651" w14:textId="77777777" w:rsidR="00EB23BE" w:rsidRPr="00EB23BE" w:rsidRDefault="00EB23BE" w:rsidP="00EB23BE">
      <w:pPr>
        <w:numPr>
          <w:ilvl w:val="0"/>
          <w:numId w:val="8"/>
        </w:numPr>
        <w:spacing w:line="240" w:lineRule="auto"/>
        <w:rPr>
          <w:rFonts w:ascii="Times New Roman" w:hAnsi="Times New Roman" w:cs="Times New Roman"/>
          <w:sz w:val="24"/>
          <w:szCs w:val="24"/>
        </w:rPr>
      </w:pPr>
      <w:r w:rsidRPr="00EB23BE">
        <w:rPr>
          <w:rFonts w:ascii="Times New Roman" w:hAnsi="Times New Roman" w:cs="Times New Roman"/>
          <w:b/>
          <w:bCs/>
          <w:sz w:val="24"/>
          <w:szCs w:val="24"/>
        </w:rPr>
        <w:t>U.S. Unemployment Rate</w:t>
      </w:r>
      <w:r w:rsidRPr="00EB23BE">
        <w:rPr>
          <w:rFonts w:ascii="Times New Roman" w:hAnsi="Times New Roman" w:cs="Times New Roman"/>
          <w:sz w:val="24"/>
          <w:szCs w:val="24"/>
        </w:rPr>
        <w:t>: The model highlights the war's influence on labor markets but overlooks the COVID-19-driven unemployment surge.</w:t>
      </w:r>
    </w:p>
    <w:p w14:paraId="7B9A7DF5" w14:textId="77777777" w:rsidR="00EB23BE" w:rsidRPr="00EB23BE" w:rsidRDefault="00EB23BE" w:rsidP="00EB23BE">
      <w:pPr>
        <w:numPr>
          <w:ilvl w:val="0"/>
          <w:numId w:val="8"/>
        </w:numPr>
        <w:spacing w:line="240" w:lineRule="auto"/>
        <w:rPr>
          <w:rFonts w:ascii="Times New Roman" w:hAnsi="Times New Roman" w:cs="Times New Roman"/>
          <w:sz w:val="24"/>
          <w:szCs w:val="24"/>
        </w:rPr>
      </w:pPr>
      <w:r w:rsidRPr="00EB23BE">
        <w:rPr>
          <w:rFonts w:ascii="Times New Roman" w:hAnsi="Times New Roman" w:cs="Times New Roman"/>
          <w:b/>
          <w:bCs/>
          <w:sz w:val="24"/>
          <w:szCs w:val="24"/>
        </w:rPr>
        <w:t>Consumer Sentiment</w:t>
      </w:r>
      <w:r w:rsidRPr="00EB23BE">
        <w:rPr>
          <w:rFonts w:ascii="Times New Roman" w:hAnsi="Times New Roman" w:cs="Times New Roman"/>
          <w:sz w:val="24"/>
          <w:szCs w:val="24"/>
        </w:rPr>
        <w:t>: The model captures the interplay between sentiment, inflation, and market variables but underrepresents the war's psychological impact.</w:t>
      </w:r>
    </w:p>
    <w:p w14:paraId="70DF2CB7" w14:textId="77777777" w:rsidR="00EB23BE" w:rsidRDefault="00EB23BE" w:rsidP="00EB23BE">
      <w:pPr>
        <w:spacing w:line="240" w:lineRule="auto"/>
        <w:rPr>
          <w:rFonts w:ascii="Times New Roman" w:hAnsi="Times New Roman" w:cs="Times New Roman"/>
          <w:sz w:val="24"/>
          <w:szCs w:val="24"/>
        </w:rPr>
      </w:pPr>
      <w:r w:rsidRPr="00EB23BE">
        <w:rPr>
          <w:rFonts w:ascii="Times New Roman" w:hAnsi="Times New Roman" w:cs="Times New Roman"/>
          <w:sz w:val="24"/>
          <w:szCs w:val="24"/>
        </w:rPr>
        <w:t>These results show the model’s strength in identifying internal dynamics but reveal its limitations in fully capturing external shock impacts.</w:t>
      </w:r>
    </w:p>
    <w:p w14:paraId="090244A3" w14:textId="77777777" w:rsidR="00EB23BE" w:rsidRDefault="00EB23BE" w:rsidP="00EB23BE">
      <w:pPr>
        <w:spacing w:after="0" w:line="240" w:lineRule="auto"/>
        <w:rPr>
          <w:rFonts w:ascii="Times New Roman" w:hAnsi="Times New Roman" w:cs="Times New Roman"/>
          <w:sz w:val="24"/>
          <w:szCs w:val="24"/>
        </w:rPr>
      </w:pPr>
    </w:p>
    <w:p w14:paraId="3CC36D7B" w14:textId="05AAEAE7" w:rsidR="00EB23BE" w:rsidRPr="00EB23BE" w:rsidRDefault="00EB23BE" w:rsidP="00EB23BE">
      <w:pPr>
        <w:spacing w:after="0" w:line="240" w:lineRule="auto"/>
        <w:rPr>
          <w:rFonts w:ascii="Times New Roman" w:hAnsi="Times New Roman" w:cs="Times New Roman"/>
          <w:i/>
          <w:iCs/>
          <w:sz w:val="24"/>
          <w:szCs w:val="24"/>
          <w:u w:val="single"/>
        </w:rPr>
      </w:pPr>
      <w:r w:rsidRPr="00EB23BE">
        <w:rPr>
          <w:rFonts w:ascii="Times New Roman" w:hAnsi="Times New Roman" w:cs="Times New Roman"/>
          <w:i/>
          <w:iCs/>
          <w:sz w:val="24"/>
          <w:szCs w:val="24"/>
          <w:u w:val="single"/>
        </w:rPr>
        <w:t>Not Captured Variables</w:t>
      </w:r>
    </w:p>
    <w:p w14:paraId="304BCB0C" w14:textId="77777777" w:rsidR="00EB23BE" w:rsidRPr="00EB23BE" w:rsidRDefault="00EB23BE" w:rsidP="00EB23BE">
      <w:pPr>
        <w:spacing w:line="240" w:lineRule="auto"/>
        <w:rPr>
          <w:rFonts w:ascii="Times New Roman" w:hAnsi="Times New Roman" w:cs="Times New Roman"/>
          <w:sz w:val="24"/>
          <w:szCs w:val="24"/>
        </w:rPr>
      </w:pPr>
      <w:r w:rsidRPr="00EB23BE">
        <w:rPr>
          <w:rFonts w:ascii="Times New Roman" w:hAnsi="Times New Roman" w:cs="Times New Roman"/>
          <w:sz w:val="24"/>
          <w:szCs w:val="24"/>
        </w:rPr>
        <w:t xml:space="preserve">Several variables, including </w:t>
      </w:r>
      <w:r w:rsidRPr="00EB23BE">
        <w:rPr>
          <w:rFonts w:ascii="Times New Roman" w:hAnsi="Times New Roman" w:cs="Times New Roman"/>
          <w:b/>
          <w:bCs/>
          <w:sz w:val="24"/>
          <w:szCs w:val="24"/>
        </w:rPr>
        <w:t>U.S. Exports to Russia</w:t>
      </w:r>
      <w:r w:rsidRPr="00EB23BE">
        <w:rPr>
          <w:rFonts w:ascii="Times New Roman" w:hAnsi="Times New Roman" w:cs="Times New Roman"/>
          <w:sz w:val="24"/>
          <w:szCs w:val="24"/>
        </w:rPr>
        <w:t xml:space="preserve">, </w:t>
      </w:r>
      <w:r w:rsidRPr="00EB23BE">
        <w:rPr>
          <w:rFonts w:ascii="Times New Roman" w:hAnsi="Times New Roman" w:cs="Times New Roman"/>
          <w:b/>
          <w:bCs/>
          <w:sz w:val="24"/>
          <w:szCs w:val="24"/>
        </w:rPr>
        <w:t>CPI Value Inflation</w:t>
      </w:r>
      <w:r w:rsidRPr="00EB23BE">
        <w:rPr>
          <w:rFonts w:ascii="Times New Roman" w:hAnsi="Times New Roman" w:cs="Times New Roman"/>
          <w:sz w:val="24"/>
          <w:szCs w:val="24"/>
        </w:rPr>
        <w:t xml:space="preserve">, and </w:t>
      </w:r>
      <w:r w:rsidRPr="00EB23BE">
        <w:rPr>
          <w:rFonts w:ascii="Times New Roman" w:hAnsi="Times New Roman" w:cs="Times New Roman"/>
          <w:b/>
          <w:bCs/>
          <w:sz w:val="24"/>
          <w:szCs w:val="24"/>
        </w:rPr>
        <w:t>Average Hourly Earnings</w:t>
      </w:r>
      <w:r w:rsidRPr="00EB23BE">
        <w:rPr>
          <w:rFonts w:ascii="Times New Roman" w:hAnsi="Times New Roman" w:cs="Times New Roman"/>
          <w:sz w:val="24"/>
          <w:szCs w:val="24"/>
        </w:rPr>
        <w:t>, are not well represented in the model.</w:t>
      </w:r>
    </w:p>
    <w:p w14:paraId="66B94A26" w14:textId="77777777" w:rsidR="00EB23BE" w:rsidRPr="00EB23BE" w:rsidRDefault="00EB23BE" w:rsidP="00EB23BE">
      <w:pPr>
        <w:numPr>
          <w:ilvl w:val="0"/>
          <w:numId w:val="9"/>
        </w:numPr>
        <w:spacing w:line="240" w:lineRule="auto"/>
        <w:rPr>
          <w:rFonts w:ascii="Times New Roman" w:hAnsi="Times New Roman" w:cs="Times New Roman"/>
          <w:sz w:val="24"/>
          <w:szCs w:val="24"/>
        </w:rPr>
      </w:pPr>
      <w:r w:rsidRPr="00EB23BE">
        <w:rPr>
          <w:rFonts w:ascii="Times New Roman" w:hAnsi="Times New Roman" w:cs="Times New Roman"/>
          <w:b/>
          <w:bCs/>
          <w:sz w:val="24"/>
          <w:szCs w:val="24"/>
        </w:rPr>
        <w:t>U.S. Exports to Russia</w:t>
      </w:r>
      <w:r w:rsidRPr="00EB23BE">
        <w:rPr>
          <w:rFonts w:ascii="Times New Roman" w:hAnsi="Times New Roman" w:cs="Times New Roman"/>
          <w:sz w:val="24"/>
          <w:szCs w:val="24"/>
        </w:rPr>
        <w:t>: Despite sanctions and export restrictions following the Russia-Ukraine conflict, the model underestimates the direct and immediate decline in trade.</w:t>
      </w:r>
    </w:p>
    <w:p w14:paraId="6D5E75E2" w14:textId="77777777" w:rsidR="00EB23BE" w:rsidRPr="00EB23BE" w:rsidRDefault="00EB23BE" w:rsidP="00EB23BE">
      <w:pPr>
        <w:numPr>
          <w:ilvl w:val="0"/>
          <w:numId w:val="9"/>
        </w:numPr>
        <w:spacing w:line="240" w:lineRule="auto"/>
        <w:rPr>
          <w:rFonts w:ascii="Times New Roman" w:hAnsi="Times New Roman" w:cs="Times New Roman"/>
          <w:sz w:val="24"/>
          <w:szCs w:val="24"/>
        </w:rPr>
      </w:pPr>
      <w:r w:rsidRPr="00EB23BE">
        <w:rPr>
          <w:rFonts w:ascii="Times New Roman" w:hAnsi="Times New Roman" w:cs="Times New Roman"/>
          <w:b/>
          <w:bCs/>
          <w:sz w:val="24"/>
          <w:szCs w:val="24"/>
        </w:rPr>
        <w:lastRenderedPageBreak/>
        <w:t>CPI Value Inflation</w:t>
      </w:r>
      <w:r w:rsidRPr="00EB23BE">
        <w:rPr>
          <w:rFonts w:ascii="Times New Roman" w:hAnsi="Times New Roman" w:cs="Times New Roman"/>
          <w:sz w:val="24"/>
          <w:szCs w:val="24"/>
        </w:rPr>
        <w:t>: The model fails to capture the sharp inflation spikes caused by pandemic-induced supply chain disruptions and war-driven energy price increases.</w:t>
      </w:r>
    </w:p>
    <w:p w14:paraId="5BDD5663" w14:textId="77777777" w:rsidR="00EB23BE" w:rsidRPr="00EB23BE" w:rsidRDefault="00EB23BE" w:rsidP="00EB23BE">
      <w:pPr>
        <w:numPr>
          <w:ilvl w:val="0"/>
          <w:numId w:val="9"/>
        </w:numPr>
        <w:spacing w:line="240" w:lineRule="auto"/>
        <w:rPr>
          <w:rFonts w:ascii="Times New Roman" w:hAnsi="Times New Roman" w:cs="Times New Roman"/>
          <w:sz w:val="24"/>
          <w:szCs w:val="24"/>
        </w:rPr>
      </w:pPr>
      <w:r w:rsidRPr="00EB23BE">
        <w:rPr>
          <w:rFonts w:ascii="Times New Roman" w:hAnsi="Times New Roman" w:cs="Times New Roman"/>
          <w:b/>
          <w:bCs/>
          <w:sz w:val="24"/>
          <w:szCs w:val="24"/>
        </w:rPr>
        <w:t>Average Hourly Earnings</w:t>
      </w:r>
      <w:r w:rsidRPr="00EB23BE">
        <w:rPr>
          <w:rFonts w:ascii="Times New Roman" w:hAnsi="Times New Roman" w:cs="Times New Roman"/>
          <w:sz w:val="24"/>
          <w:szCs w:val="24"/>
        </w:rPr>
        <w:t>: Wage dynamics influenced by COVID-19-related labor shortages and changes in labor demand are missed.</w:t>
      </w:r>
    </w:p>
    <w:p w14:paraId="5547F466" w14:textId="77777777" w:rsidR="00EB23BE" w:rsidRPr="00EB23BE" w:rsidRDefault="00EB23BE" w:rsidP="00EB23BE">
      <w:pPr>
        <w:spacing w:line="240" w:lineRule="auto"/>
        <w:rPr>
          <w:rFonts w:ascii="Times New Roman" w:hAnsi="Times New Roman" w:cs="Times New Roman"/>
          <w:b/>
          <w:bCs/>
          <w:sz w:val="24"/>
          <w:szCs w:val="24"/>
        </w:rPr>
      </w:pPr>
      <w:r w:rsidRPr="00EB23BE">
        <w:rPr>
          <w:rFonts w:ascii="Times New Roman" w:hAnsi="Times New Roman" w:cs="Times New Roman"/>
          <w:sz w:val="24"/>
          <w:szCs w:val="24"/>
        </w:rPr>
        <w:t>The VARX model performs well in capturing stable and interconnected indicators but struggles with volatile or multi-crisis-driven variables. While its strength lies in identifying persistence and internal linkages, future models could benefit from incorporating nonlinear relationships and higher-frequency data to better capture external shocks. These findings emphasize the importance of enhancing econometric methodologies for complex crisis analyses.</w:t>
      </w:r>
    </w:p>
    <w:p w14:paraId="1DA70BFE" w14:textId="77777777" w:rsidR="00EB23BE" w:rsidRDefault="00EB23BE" w:rsidP="00EB23BE">
      <w:pPr>
        <w:spacing w:line="240" w:lineRule="auto"/>
        <w:rPr>
          <w:rFonts w:ascii="Times New Roman" w:hAnsi="Times New Roman" w:cs="Times New Roman"/>
          <w:sz w:val="24"/>
          <w:szCs w:val="24"/>
        </w:rPr>
      </w:pPr>
    </w:p>
    <w:p w14:paraId="1B62F463" w14:textId="487A0428" w:rsidR="00EB23BE" w:rsidRPr="00EB23BE" w:rsidRDefault="001E13FC" w:rsidP="00EB23BE">
      <w:pPr>
        <w:spacing w:line="240" w:lineRule="auto"/>
        <w:rPr>
          <w:rFonts w:ascii="Times New Roman" w:hAnsi="Times New Roman" w:cs="Times New Roman"/>
          <w:b/>
          <w:bCs/>
          <w:sz w:val="24"/>
          <w:szCs w:val="24"/>
        </w:rPr>
      </w:pPr>
      <w:r>
        <w:rPr>
          <w:rFonts w:ascii="Times New Roman" w:hAnsi="Times New Roman" w:cs="Times New Roman"/>
          <w:b/>
          <w:bCs/>
          <w:sz w:val="24"/>
          <w:szCs w:val="24"/>
        </w:rPr>
        <w:t>Future Work Scope</w:t>
      </w:r>
      <w:r w:rsidR="00EB23BE" w:rsidRPr="00EB23BE">
        <w:rPr>
          <w:rFonts w:ascii="Times New Roman" w:hAnsi="Times New Roman" w:cs="Times New Roman"/>
          <w:b/>
          <w:bCs/>
          <w:sz w:val="24"/>
          <w:szCs w:val="24"/>
        </w:rPr>
        <w:t>:</w:t>
      </w:r>
    </w:p>
    <w:p w14:paraId="0E742911" w14:textId="77777777" w:rsidR="001E13FC" w:rsidRDefault="001E13FC" w:rsidP="001E13FC">
      <w:pPr>
        <w:spacing w:line="240" w:lineRule="auto"/>
        <w:rPr>
          <w:rFonts w:ascii="Times New Roman" w:hAnsi="Times New Roman" w:cs="Times New Roman"/>
          <w:sz w:val="24"/>
          <w:szCs w:val="24"/>
        </w:rPr>
      </w:pPr>
      <w:r w:rsidRPr="001E13FC">
        <w:rPr>
          <w:rFonts w:ascii="Times New Roman" w:hAnsi="Times New Roman" w:cs="Times New Roman"/>
          <w:sz w:val="24"/>
          <w:szCs w:val="24"/>
        </w:rPr>
        <w:t>This study analyzed the dynamic effects of the COVID-19 pandemic and the Russia-Ukraine conflict on key U.S. economic indicators using a VARX model. While the results provided meaningful insights, several limitations and opportunities for further exploration emerged.</w:t>
      </w:r>
    </w:p>
    <w:p w14:paraId="1BAE8F3C" w14:textId="2AEAD82E" w:rsidR="001E13FC" w:rsidRPr="001E13FC" w:rsidRDefault="001E13FC" w:rsidP="001E13FC">
      <w:pPr>
        <w:spacing w:line="240" w:lineRule="auto"/>
        <w:rPr>
          <w:rFonts w:ascii="Times New Roman" w:hAnsi="Times New Roman" w:cs="Times New Roman"/>
          <w:sz w:val="24"/>
          <w:szCs w:val="24"/>
        </w:rPr>
      </w:pPr>
      <w:r w:rsidRPr="001E13FC">
        <w:rPr>
          <w:rFonts w:ascii="Times New Roman" w:hAnsi="Times New Roman" w:cs="Times New Roman"/>
          <w:i/>
          <w:iCs/>
          <w:sz w:val="24"/>
          <w:szCs w:val="24"/>
          <w:u w:val="single"/>
        </w:rPr>
        <w:t>Data Limitations</w:t>
      </w:r>
      <w:r w:rsidRPr="001E13FC">
        <w:rPr>
          <w:rFonts w:ascii="Times New Roman" w:hAnsi="Times New Roman" w:cs="Times New Roman"/>
          <w:sz w:val="24"/>
          <w:szCs w:val="24"/>
        </w:rPr>
        <w:t>:</w:t>
      </w:r>
      <w:r>
        <w:rPr>
          <w:rFonts w:ascii="Times New Roman" w:hAnsi="Times New Roman" w:cs="Times New Roman"/>
          <w:sz w:val="24"/>
          <w:szCs w:val="24"/>
        </w:rPr>
        <w:t xml:space="preserve"> </w:t>
      </w:r>
      <w:r w:rsidRPr="001E13FC">
        <w:rPr>
          <w:rFonts w:ascii="Times New Roman" w:hAnsi="Times New Roman" w:cs="Times New Roman"/>
          <w:sz w:val="24"/>
          <w:szCs w:val="24"/>
        </w:rPr>
        <w:t>The analysis was conducted using a relatively short time series dataset of 140 monthly observations. This approach was chosen to avoid the volatility inherent in weekly data, ensuring smoother trends. However, the limited data points may have constrained the model's ability to generalize and fully capture long-term impacts. Expanding the dataset to include more historical data or higher-frequency observations could enhance the model's robustness and predictive capacity.</w:t>
      </w:r>
    </w:p>
    <w:p w14:paraId="299F0FDC" w14:textId="77777777" w:rsidR="001E13FC" w:rsidRDefault="001E13FC" w:rsidP="001E13FC">
      <w:pPr>
        <w:spacing w:after="0" w:line="240" w:lineRule="auto"/>
        <w:rPr>
          <w:rFonts w:ascii="Times New Roman" w:hAnsi="Times New Roman" w:cs="Times New Roman"/>
          <w:b/>
          <w:bCs/>
          <w:sz w:val="24"/>
          <w:szCs w:val="24"/>
        </w:rPr>
      </w:pPr>
      <w:r w:rsidRPr="001E13FC">
        <w:rPr>
          <w:rFonts w:ascii="Times New Roman" w:hAnsi="Times New Roman" w:cs="Times New Roman"/>
          <w:i/>
          <w:iCs/>
          <w:sz w:val="24"/>
          <w:szCs w:val="24"/>
          <w:u w:val="single"/>
        </w:rPr>
        <w:t>Short-Term vs. Long-Term Impacts</w:t>
      </w:r>
      <w:r w:rsidRPr="001E13FC">
        <w:rPr>
          <w:rFonts w:ascii="Times New Roman" w:hAnsi="Times New Roman" w:cs="Times New Roman"/>
          <w:b/>
          <w:bCs/>
          <w:i/>
          <w:iCs/>
          <w:sz w:val="24"/>
          <w:szCs w:val="24"/>
          <w:u w:val="single"/>
        </w:rPr>
        <w:t>:</w:t>
      </w:r>
      <w:r>
        <w:rPr>
          <w:rFonts w:ascii="Times New Roman" w:hAnsi="Times New Roman" w:cs="Times New Roman"/>
          <w:b/>
          <w:bCs/>
          <w:sz w:val="24"/>
          <w:szCs w:val="24"/>
        </w:rPr>
        <w:t xml:space="preserve"> </w:t>
      </w:r>
      <w:r w:rsidRPr="001E13FC">
        <w:rPr>
          <w:rFonts w:ascii="Times New Roman" w:hAnsi="Times New Roman" w:cs="Times New Roman"/>
          <w:sz w:val="24"/>
          <w:szCs w:val="24"/>
        </w:rPr>
        <w:t>Our model used a lag value of 1, focusing primarily on short-term relationships between variables. While this approach effectively highlights immediate economic responses, it does not account for long-term ripple effects. Employing a higher lag model would allow for an analysis of extended temporal relationships, providing a more comprehensive understanding of how external shocks shape economic indicators over time.</w:t>
      </w:r>
    </w:p>
    <w:p w14:paraId="0FF0F662" w14:textId="77777777" w:rsidR="001E13FC" w:rsidRPr="001E13FC" w:rsidRDefault="001E13FC" w:rsidP="001E13FC">
      <w:pPr>
        <w:spacing w:after="0" w:line="240" w:lineRule="auto"/>
        <w:rPr>
          <w:rFonts w:ascii="Times New Roman" w:hAnsi="Times New Roman" w:cs="Times New Roman"/>
          <w:i/>
          <w:iCs/>
          <w:sz w:val="24"/>
          <w:szCs w:val="24"/>
          <w:u w:val="single"/>
        </w:rPr>
      </w:pPr>
    </w:p>
    <w:p w14:paraId="5B5807FC" w14:textId="56302464" w:rsidR="001E13FC" w:rsidRPr="001E13FC" w:rsidRDefault="001E13FC" w:rsidP="001E13FC">
      <w:pPr>
        <w:spacing w:after="0" w:line="240" w:lineRule="auto"/>
        <w:rPr>
          <w:rFonts w:ascii="Times New Roman" w:hAnsi="Times New Roman" w:cs="Times New Roman"/>
          <w:b/>
          <w:bCs/>
          <w:sz w:val="24"/>
          <w:szCs w:val="24"/>
        </w:rPr>
      </w:pPr>
      <w:r w:rsidRPr="001E13FC">
        <w:rPr>
          <w:rFonts w:ascii="Times New Roman" w:hAnsi="Times New Roman" w:cs="Times New Roman"/>
          <w:i/>
          <w:iCs/>
          <w:sz w:val="24"/>
          <w:szCs w:val="24"/>
          <w:u w:val="single"/>
        </w:rPr>
        <w:t>Event Flags and Variable Precision</w:t>
      </w:r>
      <w:r>
        <w:rPr>
          <w:rFonts w:ascii="Times New Roman" w:hAnsi="Times New Roman" w:cs="Times New Roman"/>
          <w:b/>
          <w:bCs/>
          <w:sz w:val="24"/>
          <w:szCs w:val="24"/>
        </w:rPr>
        <w:t xml:space="preserve">: </w:t>
      </w:r>
      <w:r w:rsidRPr="001E13FC">
        <w:rPr>
          <w:rFonts w:ascii="Times New Roman" w:hAnsi="Times New Roman" w:cs="Times New Roman"/>
          <w:sz w:val="24"/>
          <w:szCs w:val="24"/>
        </w:rPr>
        <w:t>The model relied on binary event flags for the COVID-19 pandemic and the Russia-Ukraine conflict to represent the presence or absence of these crises. While effective for capturing broad impacts, this approach does not consider the varying intensity of events within these periods. A more precise methodology would involve weighted flags, where key events receive higher weights to reflect their relative significance. Such an approach could better capture the nuanced effects of these crises on economic dynamics.</w:t>
      </w:r>
    </w:p>
    <w:p w14:paraId="7AC893CF" w14:textId="77777777" w:rsidR="001E13FC" w:rsidRDefault="001E13FC" w:rsidP="001E13FC">
      <w:pPr>
        <w:spacing w:after="0" w:line="240" w:lineRule="auto"/>
        <w:rPr>
          <w:rFonts w:ascii="Times New Roman" w:hAnsi="Times New Roman" w:cs="Times New Roman"/>
          <w:b/>
          <w:bCs/>
          <w:sz w:val="24"/>
          <w:szCs w:val="24"/>
        </w:rPr>
      </w:pPr>
    </w:p>
    <w:p w14:paraId="71092D9F" w14:textId="2A28D037" w:rsidR="001E13FC" w:rsidRPr="001E13FC" w:rsidRDefault="001E13FC" w:rsidP="001E13FC">
      <w:pPr>
        <w:spacing w:after="0" w:line="240" w:lineRule="auto"/>
        <w:rPr>
          <w:rFonts w:ascii="Times New Roman" w:hAnsi="Times New Roman" w:cs="Times New Roman"/>
          <w:b/>
          <w:bCs/>
          <w:sz w:val="24"/>
          <w:szCs w:val="24"/>
        </w:rPr>
      </w:pPr>
      <w:r w:rsidRPr="001E13FC">
        <w:rPr>
          <w:rFonts w:ascii="Times New Roman" w:hAnsi="Times New Roman" w:cs="Times New Roman"/>
          <w:sz w:val="24"/>
          <w:szCs w:val="24"/>
          <w:u w:val="single"/>
        </w:rPr>
        <w:t>Post-Model Analysis</w:t>
      </w:r>
      <w:r>
        <w:rPr>
          <w:rFonts w:ascii="Times New Roman" w:hAnsi="Times New Roman" w:cs="Times New Roman"/>
          <w:b/>
          <w:bCs/>
          <w:sz w:val="24"/>
          <w:szCs w:val="24"/>
        </w:rPr>
        <w:t xml:space="preserve">: </w:t>
      </w:r>
      <w:r w:rsidRPr="001E13FC">
        <w:rPr>
          <w:rFonts w:ascii="Times New Roman" w:hAnsi="Times New Roman" w:cs="Times New Roman"/>
          <w:sz w:val="24"/>
          <w:szCs w:val="24"/>
        </w:rPr>
        <w:t>Our study lays the groundwork for more detailed post-model analyses that could strengthen the reliability and interpretability of the results. The following techniques were performed but not discussed in detail</w:t>
      </w:r>
      <w:r>
        <w:rPr>
          <w:rFonts w:ascii="Times New Roman" w:hAnsi="Times New Roman" w:cs="Times New Roman"/>
          <w:sz w:val="24"/>
          <w:szCs w:val="24"/>
        </w:rPr>
        <w:t xml:space="preserve"> in this paper due to page restrictions</w:t>
      </w:r>
      <w:r w:rsidRPr="001E13FC">
        <w:rPr>
          <w:rFonts w:ascii="Times New Roman" w:hAnsi="Times New Roman" w:cs="Times New Roman"/>
          <w:sz w:val="24"/>
          <w:szCs w:val="24"/>
        </w:rPr>
        <w:t>:</w:t>
      </w:r>
    </w:p>
    <w:p w14:paraId="082822DA" w14:textId="77777777" w:rsidR="001E13FC" w:rsidRPr="001E13FC" w:rsidRDefault="001E13FC" w:rsidP="001E13FC">
      <w:pPr>
        <w:numPr>
          <w:ilvl w:val="0"/>
          <w:numId w:val="10"/>
        </w:numPr>
        <w:spacing w:after="0" w:line="240" w:lineRule="auto"/>
        <w:rPr>
          <w:rFonts w:ascii="Times New Roman" w:hAnsi="Times New Roman" w:cs="Times New Roman"/>
          <w:sz w:val="24"/>
          <w:szCs w:val="24"/>
        </w:rPr>
      </w:pPr>
      <w:r w:rsidRPr="001E13FC">
        <w:rPr>
          <w:rFonts w:ascii="Times New Roman" w:hAnsi="Times New Roman" w:cs="Times New Roman"/>
          <w:i/>
          <w:iCs/>
          <w:sz w:val="24"/>
          <w:szCs w:val="24"/>
          <w:u w:val="single"/>
        </w:rPr>
        <w:t>Residual Analysis</w:t>
      </w:r>
      <w:r w:rsidRPr="001E13FC">
        <w:rPr>
          <w:rFonts w:ascii="Times New Roman" w:hAnsi="Times New Roman" w:cs="Times New Roman"/>
          <w:sz w:val="24"/>
          <w:szCs w:val="24"/>
          <w:u w:val="single"/>
        </w:rPr>
        <w:t>:</w:t>
      </w:r>
      <w:r w:rsidRPr="001E13FC">
        <w:rPr>
          <w:rFonts w:ascii="Times New Roman" w:hAnsi="Times New Roman" w:cs="Times New Roman"/>
          <w:sz w:val="24"/>
          <w:szCs w:val="24"/>
        </w:rPr>
        <w:t xml:space="preserve"> Evaluating residuals to ensure they follow a normal distribution with zero mean.</w:t>
      </w:r>
    </w:p>
    <w:p w14:paraId="06CDC2DD" w14:textId="77777777" w:rsidR="001E13FC" w:rsidRPr="001E13FC" w:rsidRDefault="001E13FC" w:rsidP="001E13FC">
      <w:pPr>
        <w:numPr>
          <w:ilvl w:val="0"/>
          <w:numId w:val="10"/>
        </w:numPr>
        <w:spacing w:after="0" w:line="240" w:lineRule="auto"/>
        <w:rPr>
          <w:rFonts w:ascii="Times New Roman" w:hAnsi="Times New Roman" w:cs="Times New Roman"/>
          <w:sz w:val="24"/>
          <w:szCs w:val="24"/>
        </w:rPr>
      </w:pPr>
      <w:r w:rsidRPr="001E13FC">
        <w:rPr>
          <w:rFonts w:ascii="Times New Roman" w:hAnsi="Times New Roman" w:cs="Times New Roman"/>
          <w:i/>
          <w:iCs/>
          <w:sz w:val="24"/>
          <w:szCs w:val="24"/>
          <w:u w:val="single"/>
        </w:rPr>
        <w:t>Histogram and QQ Plots:</w:t>
      </w:r>
      <w:r w:rsidRPr="001E13FC">
        <w:rPr>
          <w:rFonts w:ascii="Times New Roman" w:hAnsi="Times New Roman" w:cs="Times New Roman"/>
          <w:sz w:val="24"/>
          <w:szCs w:val="24"/>
        </w:rPr>
        <w:t xml:space="preserve"> Used to visually confirm residual normality.</w:t>
      </w:r>
    </w:p>
    <w:p w14:paraId="4C8E1252" w14:textId="4E03AA14" w:rsidR="001E13FC" w:rsidRDefault="001E13FC" w:rsidP="001E13FC">
      <w:pPr>
        <w:numPr>
          <w:ilvl w:val="0"/>
          <w:numId w:val="10"/>
        </w:numPr>
        <w:spacing w:after="0" w:line="240" w:lineRule="auto"/>
        <w:rPr>
          <w:rFonts w:ascii="Times New Roman" w:hAnsi="Times New Roman" w:cs="Times New Roman"/>
          <w:sz w:val="24"/>
          <w:szCs w:val="24"/>
        </w:rPr>
      </w:pPr>
      <w:r w:rsidRPr="001E13FC">
        <w:rPr>
          <w:rFonts w:ascii="Times New Roman" w:hAnsi="Times New Roman" w:cs="Times New Roman"/>
          <w:i/>
          <w:iCs/>
          <w:sz w:val="24"/>
          <w:szCs w:val="24"/>
          <w:u w:val="single"/>
        </w:rPr>
        <w:t>Model Diagnostic Checks:</w:t>
      </w:r>
      <w:r w:rsidRPr="001E13FC">
        <w:rPr>
          <w:rFonts w:ascii="Times New Roman" w:hAnsi="Times New Roman" w:cs="Times New Roman"/>
          <w:sz w:val="24"/>
          <w:szCs w:val="24"/>
        </w:rPr>
        <w:t xml:space="preserve"> Tests like the Ljung-Box Test for autocorrelation, ACF and PACF plots </w:t>
      </w:r>
    </w:p>
    <w:p w14:paraId="1434BA73" w14:textId="31CCABD9" w:rsidR="001E13FC" w:rsidRDefault="001E13FC" w:rsidP="001E13FC">
      <w:pPr>
        <w:numPr>
          <w:ilvl w:val="0"/>
          <w:numId w:val="10"/>
        </w:numPr>
        <w:spacing w:after="0" w:line="240" w:lineRule="auto"/>
        <w:rPr>
          <w:rFonts w:ascii="Times New Roman" w:hAnsi="Times New Roman" w:cs="Times New Roman"/>
          <w:sz w:val="24"/>
          <w:szCs w:val="24"/>
        </w:rPr>
      </w:pPr>
      <w:r w:rsidRPr="001E13FC">
        <w:rPr>
          <w:rFonts w:ascii="Times New Roman" w:hAnsi="Times New Roman" w:cs="Times New Roman"/>
          <w:i/>
          <w:iCs/>
          <w:sz w:val="24"/>
          <w:szCs w:val="24"/>
          <w:u w:val="single"/>
        </w:rPr>
        <w:lastRenderedPageBreak/>
        <w:t>Granger Causality Test</w:t>
      </w:r>
      <w:r w:rsidRPr="001E13FC">
        <w:rPr>
          <w:rFonts w:ascii="Times New Roman" w:hAnsi="Times New Roman" w:cs="Times New Roman"/>
          <w:sz w:val="24"/>
          <w:szCs w:val="24"/>
        </w:rPr>
        <w:t>:</w:t>
      </w:r>
      <w:r>
        <w:rPr>
          <w:rFonts w:ascii="Times New Roman" w:hAnsi="Times New Roman" w:cs="Times New Roman"/>
          <w:sz w:val="24"/>
          <w:szCs w:val="24"/>
        </w:rPr>
        <w:t xml:space="preserve"> </w:t>
      </w:r>
      <w:r w:rsidRPr="001E13FC">
        <w:rPr>
          <w:rFonts w:ascii="Times New Roman" w:hAnsi="Times New Roman" w:cs="Times New Roman"/>
          <w:sz w:val="24"/>
          <w:szCs w:val="24"/>
        </w:rPr>
        <w:t xml:space="preserve">Test </w:t>
      </w:r>
      <w:r>
        <w:rPr>
          <w:rFonts w:ascii="Times New Roman" w:hAnsi="Times New Roman" w:cs="Times New Roman"/>
          <w:sz w:val="24"/>
          <w:szCs w:val="24"/>
        </w:rPr>
        <w:t xml:space="preserve">to </w:t>
      </w:r>
      <w:r w:rsidRPr="001E13FC">
        <w:rPr>
          <w:rFonts w:ascii="Times New Roman" w:hAnsi="Times New Roman" w:cs="Times New Roman"/>
          <w:sz w:val="24"/>
          <w:szCs w:val="24"/>
        </w:rPr>
        <w:t>assesses whether past values of one variable statistically improve the prediction of another, identifying potential directional relationships between time series.</w:t>
      </w:r>
    </w:p>
    <w:p w14:paraId="1EB95E92" w14:textId="7BDB777D" w:rsidR="001E13FC" w:rsidRPr="001E13FC" w:rsidRDefault="001E13FC" w:rsidP="001E13FC">
      <w:pPr>
        <w:numPr>
          <w:ilvl w:val="0"/>
          <w:numId w:val="10"/>
        </w:numPr>
        <w:spacing w:after="0" w:line="240" w:lineRule="auto"/>
        <w:rPr>
          <w:rFonts w:ascii="Times New Roman" w:hAnsi="Times New Roman" w:cs="Times New Roman"/>
          <w:sz w:val="24"/>
          <w:szCs w:val="24"/>
        </w:rPr>
      </w:pPr>
      <w:r w:rsidRPr="001E13FC">
        <w:rPr>
          <w:rFonts w:ascii="Times New Roman" w:hAnsi="Times New Roman" w:cs="Times New Roman"/>
          <w:i/>
          <w:iCs/>
          <w:sz w:val="24"/>
          <w:szCs w:val="24"/>
          <w:u w:val="single"/>
        </w:rPr>
        <w:t>ARCH Test</w:t>
      </w:r>
      <w:r w:rsidRPr="001E13FC">
        <w:rPr>
          <w:rFonts w:ascii="Times New Roman" w:hAnsi="Times New Roman" w:cs="Times New Roman"/>
          <w:i/>
          <w:iCs/>
          <w:sz w:val="24"/>
          <w:szCs w:val="24"/>
          <w:u w:val="single"/>
        </w:rPr>
        <w:t>:</w:t>
      </w:r>
      <w:r>
        <w:rPr>
          <w:rFonts w:ascii="Times New Roman" w:hAnsi="Times New Roman" w:cs="Times New Roman"/>
          <w:sz w:val="24"/>
          <w:szCs w:val="24"/>
        </w:rPr>
        <w:t xml:space="preserve"> Test</w:t>
      </w:r>
      <w:r w:rsidRPr="001E13FC">
        <w:rPr>
          <w:rFonts w:ascii="Times New Roman" w:hAnsi="Times New Roman" w:cs="Times New Roman"/>
          <w:sz w:val="24"/>
          <w:szCs w:val="24"/>
        </w:rPr>
        <w:t xml:space="preserve"> for heteroscedasticity were conducted to validate model assumptions.</w:t>
      </w:r>
    </w:p>
    <w:p w14:paraId="64A9C783" w14:textId="77777777" w:rsidR="001E13FC" w:rsidRPr="001E13FC" w:rsidRDefault="001E13FC" w:rsidP="001E13FC">
      <w:pPr>
        <w:numPr>
          <w:ilvl w:val="0"/>
          <w:numId w:val="11"/>
        </w:numPr>
        <w:spacing w:after="0" w:line="240" w:lineRule="auto"/>
        <w:rPr>
          <w:rFonts w:ascii="Times New Roman" w:hAnsi="Times New Roman" w:cs="Times New Roman"/>
          <w:sz w:val="24"/>
          <w:szCs w:val="24"/>
        </w:rPr>
      </w:pPr>
      <w:r w:rsidRPr="001E13FC">
        <w:rPr>
          <w:rFonts w:ascii="Times New Roman" w:hAnsi="Times New Roman" w:cs="Times New Roman"/>
          <w:i/>
          <w:iCs/>
          <w:sz w:val="24"/>
          <w:szCs w:val="24"/>
          <w:u w:val="single"/>
        </w:rPr>
        <w:t>Historical Decomposition Analysis:</w:t>
      </w:r>
      <w:r w:rsidRPr="001E13FC">
        <w:rPr>
          <w:rFonts w:ascii="Times New Roman" w:hAnsi="Times New Roman" w:cs="Times New Roman"/>
          <w:sz w:val="24"/>
          <w:szCs w:val="24"/>
        </w:rPr>
        <w:t xml:space="preserve"> To disentangle the contributions of each shock to variable movements over time.</w:t>
      </w:r>
    </w:p>
    <w:p w14:paraId="6057E60C" w14:textId="77777777" w:rsidR="001E13FC" w:rsidRPr="001E13FC" w:rsidRDefault="001E13FC" w:rsidP="001E13FC">
      <w:pPr>
        <w:numPr>
          <w:ilvl w:val="0"/>
          <w:numId w:val="11"/>
        </w:numPr>
        <w:spacing w:after="0" w:line="240" w:lineRule="auto"/>
        <w:rPr>
          <w:rFonts w:ascii="Times New Roman" w:hAnsi="Times New Roman" w:cs="Times New Roman"/>
          <w:sz w:val="24"/>
          <w:szCs w:val="24"/>
        </w:rPr>
      </w:pPr>
      <w:r w:rsidRPr="001E13FC">
        <w:rPr>
          <w:rFonts w:ascii="Times New Roman" w:hAnsi="Times New Roman" w:cs="Times New Roman"/>
          <w:i/>
          <w:iCs/>
          <w:sz w:val="24"/>
          <w:szCs w:val="24"/>
          <w:u w:val="single"/>
        </w:rPr>
        <w:t>Counterfactual Analysis:</w:t>
      </w:r>
      <w:r w:rsidRPr="001E13FC">
        <w:rPr>
          <w:rFonts w:ascii="Times New Roman" w:hAnsi="Times New Roman" w:cs="Times New Roman"/>
          <w:sz w:val="24"/>
          <w:szCs w:val="24"/>
        </w:rPr>
        <w:t xml:space="preserve"> Investigating how economic indicators might have evolved in the absence of the events.</w:t>
      </w:r>
    </w:p>
    <w:p w14:paraId="2721450F" w14:textId="77777777" w:rsidR="001E13FC" w:rsidRDefault="001E13FC" w:rsidP="001E13FC">
      <w:pPr>
        <w:numPr>
          <w:ilvl w:val="0"/>
          <w:numId w:val="11"/>
        </w:numPr>
        <w:spacing w:after="0" w:line="240" w:lineRule="auto"/>
        <w:rPr>
          <w:rFonts w:ascii="Times New Roman" w:hAnsi="Times New Roman" w:cs="Times New Roman"/>
          <w:sz w:val="24"/>
          <w:szCs w:val="24"/>
        </w:rPr>
      </w:pPr>
      <w:r w:rsidRPr="001E13FC">
        <w:rPr>
          <w:rFonts w:ascii="Times New Roman" w:hAnsi="Times New Roman" w:cs="Times New Roman"/>
          <w:i/>
          <w:iCs/>
          <w:sz w:val="24"/>
          <w:szCs w:val="24"/>
          <w:u w:val="single"/>
        </w:rPr>
        <w:t>Sensitivity Analysis:</w:t>
      </w:r>
      <w:r w:rsidRPr="001E13FC">
        <w:rPr>
          <w:rFonts w:ascii="Times New Roman" w:hAnsi="Times New Roman" w:cs="Times New Roman"/>
          <w:sz w:val="24"/>
          <w:szCs w:val="24"/>
        </w:rPr>
        <w:t xml:space="preserve"> Assessing the robustness of the results under different model specifications and assumptions.</w:t>
      </w:r>
    </w:p>
    <w:p w14:paraId="7F2DE529" w14:textId="77777777" w:rsidR="001E13FC" w:rsidRPr="001E13FC" w:rsidRDefault="001E13FC" w:rsidP="001E13FC">
      <w:pPr>
        <w:spacing w:after="0" w:line="240" w:lineRule="auto"/>
        <w:ind w:left="720"/>
        <w:rPr>
          <w:rFonts w:ascii="Times New Roman" w:hAnsi="Times New Roman" w:cs="Times New Roman"/>
          <w:sz w:val="24"/>
          <w:szCs w:val="24"/>
        </w:rPr>
      </w:pPr>
    </w:p>
    <w:p w14:paraId="248F4221" w14:textId="77777777" w:rsidR="00EB23BE" w:rsidRDefault="00EB23BE" w:rsidP="00EB23BE">
      <w:pPr>
        <w:spacing w:line="240" w:lineRule="auto"/>
        <w:rPr>
          <w:rFonts w:ascii="Times New Roman" w:hAnsi="Times New Roman" w:cs="Times New Roman"/>
          <w:sz w:val="24"/>
          <w:szCs w:val="24"/>
        </w:rPr>
      </w:pPr>
    </w:p>
    <w:p w14:paraId="65C8CE41" w14:textId="7AA5BC40" w:rsidR="00CC4E87" w:rsidRPr="0042225A" w:rsidRDefault="00CC4E87" w:rsidP="005E1ADD">
      <w:pPr>
        <w:spacing w:line="240" w:lineRule="auto"/>
        <w:rPr>
          <w:rFonts w:ascii="Times New Roman" w:hAnsi="Times New Roman" w:cs="Times New Roman"/>
          <w:sz w:val="24"/>
          <w:szCs w:val="24"/>
        </w:rPr>
      </w:pPr>
    </w:p>
    <w:sectPr w:rsidR="00CC4E87" w:rsidRPr="004222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8669A5" w14:textId="77777777" w:rsidR="009376DD" w:rsidRDefault="009376DD" w:rsidP="0042225A">
      <w:pPr>
        <w:spacing w:after="0" w:line="240" w:lineRule="auto"/>
      </w:pPr>
      <w:r>
        <w:separator/>
      </w:r>
    </w:p>
  </w:endnote>
  <w:endnote w:type="continuationSeparator" w:id="0">
    <w:p w14:paraId="58A21777" w14:textId="77777777" w:rsidR="009376DD" w:rsidRDefault="009376DD" w:rsidP="00422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FBF87A" w14:textId="77777777" w:rsidR="009376DD" w:rsidRDefault="009376DD" w:rsidP="0042225A">
      <w:pPr>
        <w:spacing w:after="0" w:line="240" w:lineRule="auto"/>
      </w:pPr>
      <w:r>
        <w:separator/>
      </w:r>
    </w:p>
  </w:footnote>
  <w:footnote w:type="continuationSeparator" w:id="0">
    <w:p w14:paraId="498A067F" w14:textId="77777777" w:rsidR="009376DD" w:rsidRDefault="009376DD" w:rsidP="00422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30221"/>
    <w:multiLevelType w:val="multilevel"/>
    <w:tmpl w:val="A6BE7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2654A"/>
    <w:multiLevelType w:val="multilevel"/>
    <w:tmpl w:val="07EC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313AB"/>
    <w:multiLevelType w:val="multilevel"/>
    <w:tmpl w:val="9882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B0322"/>
    <w:multiLevelType w:val="multilevel"/>
    <w:tmpl w:val="B5448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9054D0"/>
    <w:multiLevelType w:val="multilevel"/>
    <w:tmpl w:val="EED6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61591"/>
    <w:multiLevelType w:val="multilevel"/>
    <w:tmpl w:val="FFD0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000370"/>
    <w:multiLevelType w:val="multilevel"/>
    <w:tmpl w:val="377298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8A05EB4"/>
    <w:multiLevelType w:val="multilevel"/>
    <w:tmpl w:val="EE2E10A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731678"/>
    <w:multiLevelType w:val="multilevel"/>
    <w:tmpl w:val="3C12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7E7ABA"/>
    <w:multiLevelType w:val="multilevel"/>
    <w:tmpl w:val="204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BE6163"/>
    <w:multiLevelType w:val="multilevel"/>
    <w:tmpl w:val="A444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2095691">
    <w:abstractNumId w:val="5"/>
  </w:num>
  <w:num w:numId="2" w16cid:durableId="638416842">
    <w:abstractNumId w:val="10"/>
  </w:num>
  <w:num w:numId="3" w16cid:durableId="1967732153">
    <w:abstractNumId w:val="0"/>
  </w:num>
  <w:num w:numId="4" w16cid:durableId="885067742">
    <w:abstractNumId w:val="3"/>
  </w:num>
  <w:num w:numId="5" w16cid:durableId="144905273">
    <w:abstractNumId w:val="7"/>
  </w:num>
  <w:num w:numId="6" w16cid:durableId="1805736201">
    <w:abstractNumId w:val="1"/>
  </w:num>
  <w:num w:numId="7" w16cid:durableId="736781172">
    <w:abstractNumId w:val="2"/>
  </w:num>
  <w:num w:numId="8" w16cid:durableId="335114844">
    <w:abstractNumId w:val="6"/>
  </w:num>
  <w:num w:numId="9" w16cid:durableId="1093939514">
    <w:abstractNumId w:val="9"/>
  </w:num>
  <w:num w:numId="10" w16cid:durableId="946084667">
    <w:abstractNumId w:val="4"/>
  </w:num>
  <w:num w:numId="11" w16cid:durableId="13951599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7DB"/>
    <w:rsid w:val="000F0C31"/>
    <w:rsid w:val="001E13FC"/>
    <w:rsid w:val="00246928"/>
    <w:rsid w:val="0042225A"/>
    <w:rsid w:val="005E1ADD"/>
    <w:rsid w:val="006847D3"/>
    <w:rsid w:val="007A77BD"/>
    <w:rsid w:val="008746F8"/>
    <w:rsid w:val="009376DD"/>
    <w:rsid w:val="009B5F08"/>
    <w:rsid w:val="00A007DB"/>
    <w:rsid w:val="00CC4E87"/>
    <w:rsid w:val="00E44E8E"/>
    <w:rsid w:val="00EB2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495A"/>
  <w15:chartTrackingRefBased/>
  <w15:docId w15:val="{554A522C-5292-4207-A438-93FFC1A5F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07DB"/>
    <w:rPr>
      <w:color w:val="0563C1" w:themeColor="hyperlink"/>
      <w:u w:val="single"/>
    </w:rPr>
  </w:style>
  <w:style w:type="character" w:styleId="UnresolvedMention">
    <w:name w:val="Unresolved Mention"/>
    <w:basedOn w:val="DefaultParagraphFont"/>
    <w:uiPriority w:val="99"/>
    <w:semiHidden/>
    <w:unhideWhenUsed/>
    <w:rsid w:val="00A007DB"/>
    <w:rPr>
      <w:color w:val="605E5C"/>
      <w:shd w:val="clear" w:color="auto" w:fill="E1DFDD"/>
    </w:rPr>
  </w:style>
  <w:style w:type="paragraph" w:styleId="Header">
    <w:name w:val="header"/>
    <w:basedOn w:val="Normal"/>
    <w:link w:val="HeaderChar"/>
    <w:uiPriority w:val="99"/>
    <w:unhideWhenUsed/>
    <w:rsid w:val="004222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25A"/>
  </w:style>
  <w:style w:type="paragraph" w:styleId="Footer">
    <w:name w:val="footer"/>
    <w:basedOn w:val="Normal"/>
    <w:link w:val="FooterChar"/>
    <w:uiPriority w:val="99"/>
    <w:unhideWhenUsed/>
    <w:rsid w:val="004222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493390">
      <w:bodyDiv w:val="1"/>
      <w:marLeft w:val="0"/>
      <w:marRight w:val="0"/>
      <w:marTop w:val="0"/>
      <w:marBottom w:val="0"/>
      <w:divBdr>
        <w:top w:val="none" w:sz="0" w:space="0" w:color="auto"/>
        <w:left w:val="none" w:sz="0" w:space="0" w:color="auto"/>
        <w:bottom w:val="none" w:sz="0" w:space="0" w:color="auto"/>
        <w:right w:val="none" w:sz="0" w:space="0" w:color="auto"/>
      </w:divBdr>
    </w:div>
    <w:div w:id="281037627">
      <w:bodyDiv w:val="1"/>
      <w:marLeft w:val="0"/>
      <w:marRight w:val="0"/>
      <w:marTop w:val="0"/>
      <w:marBottom w:val="0"/>
      <w:divBdr>
        <w:top w:val="none" w:sz="0" w:space="0" w:color="auto"/>
        <w:left w:val="none" w:sz="0" w:space="0" w:color="auto"/>
        <w:bottom w:val="none" w:sz="0" w:space="0" w:color="auto"/>
        <w:right w:val="none" w:sz="0" w:space="0" w:color="auto"/>
      </w:divBdr>
    </w:div>
    <w:div w:id="367873715">
      <w:bodyDiv w:val="1"/>
      <w:marLeft w:val="0"/>
      <w:marRight w:val="0"/>
      <w:marTop w:val="0"/>
      <w:marBottom w:val="0"/>
      <w:divBdr>
        <w:top w:val="none" w:sz="0" w:space="0" w:color="auto"/>
        <w:left w:val="none" w:sz="0" w:space="0" w:color="auto"/>
        <w:bottom w:val="none" w:sz="0" w:space="0" w:color="auto"/>
        <w:right w:val="none" w:sz="0" w:space="0" w:color="auto"/>
      </w:divBdr>
    </w:div>
    <w:div w:id="571087848">
      <w:bodyDiv w:val="1"/>
      <w:marLeft w:val="0"/>
      <w:marRight w:val="0"/>
      <w:marTop w:val="0"/>
      <w:marBottom w:val="0"/>
      <w:divBdr>
        <w:top w:val="none" w:sz="0" w:space="0" w:color="auto"/>
        <w:left w:val="none" w:sz="0" w:space="0" w:color="auto"/>
        <w:bottom w:val="none" w:sz="0" w:space="0" w:color="auto"/>
        <w:right w:val="none" w:sz="0" w:space="0" w:color="auto"/>
      </w:divBdr>
    </w:div>
    <w:div w:id="582835193">
      <w:bodyDiv w:val="1"/>
      <w:marLeft w:val="0"/>
      <w:marRight w:val="0"/>
      <w:marTop w:val="0"/>
      <w:marBottom w:val="0"/>
      <w:divBdr>
        <w:top w:val="none" w:sz="0" w:space="0" w:color="auto"/>
        <w:left w:val="none" w:sz="0" w:space="0" w:color="auto"/>
        <w:bottom w:val="none" w:sz="0" w:space="0" w:color="auto"/>
        <w:right w:val="none" w:sz="0" w:space="0" w:color="auto"/>
      </w:divBdr>
    </w:div>
    <w:div w:id="619994111">
      <w:bodyDiv w:val="1"/>
      <w:marLeft w:val="0"/>
      <w:marRight w:val="0"/>
      <w:marTop w:val="0"/>
      <w:marBottom w:val="0"/>
      <w:divBdr>
        <w:top w:val="none" w:sz="0" w:space="0" w:color="auto"/>
        <w:left w:val="none" w:sz="0" w:space="0" w:color="auto"/>
        <w:bottom w:val="none" w:sz="0" w:space="0" w:color="auto"/>
        <w:right w:val="none" w:sz="0" w:space="0" w:color="auto"/>
      </w:divBdr>
    </w:div>
    <w:div w:id="683244427">
      <w:bodyDiv w:val="1"/>
      <w:marLeft w:val="0"/>
      <w:marRight w:val="0"/>
      <w:marTop w:val="0"/>
      <w:marBottom w:val="0"/>
      <w:divBdr>
        <w:top w:val="none" w:sz="0" w:space="0" w:color="auto"/>
        <w:left w:val="none" w:sz="0" w:space="0" w:color="auto"/>
        <w:bottom w:val="none" w:sz="0" w:space="0" w:color="auto"/>
        <w:right w:val="none" w:sz="0" w:space="0" w:color="auto"/>
      </w:divBdr>
    </w:div>
    <w:div w:id="799032421">
      <w:bodyDiv w:val="1"/>
      <w:marLeft w:val="0"/>
      <w:marRight w:val="0"/>
      <w:marTop w:val="0"/>
      <w:marBottom w:val="0"/>
      <w:divBdr>
        <w:top w:val="none" w:sz="0" w:space="0" w:color="auto"/>
        <w:left w:val="none" w:sz="0" w:space="0" w:color="auto"/>
        <w:bottom w:val="none" w:sz="0" w:space="0" w:color="auto"/>
        <w:right w:val="none" w:sz="0" w:space="0" w:color="auto"/>
      </w:divBdr>
    </w:div>
    <w:div w:id="832842833">
      <w:bodyDiv w:val="1"/>
      <w:marLeft w:val="0"/>
      <w:marRight w:val="0"/>
      <w:marTop w:val="0"/>
      <w:marBottom w:val="0"/>
      <w:divBdr>
        <w:top w:val="none" w:sz="0" w:space="0" w:color="auto"/>
        <w:left w:val="none" w:sz="0" w:space="0" w:color="auto"/>
        <w:bottom w:val="none" w:sz="0" w:space="0" w:color="auto"/>
        <w:right w:val="none" w:sz="0" w:space="0" w:color="auto"/>
      </w:divBdr>
      <w:divsChild>
        <w:div w:id="1381786686">
          <w:marLeft w:val="0"/>
          <w:marRight w:val="0"/>
          <w:marTop w:val="0"/>
          <w:marBottom w:val="0"/>
          <w:divBdr>
            <w:top w:val="none" w:sz="0" w:space="0" w:color="auto"/>
            <w:left w:val="none" w:sz="0" w:space="0" w:color="auto"/>
            <w:bottom w:val="none" w:sz="0" w:space="0" w:color="auto"/>
            <w:right w:val="none" w:sz="0" w:space="0" w:color="auto"/>
          </w:divBdr>
          <w:divsChild>
            <w:div w:id="217712486">
              <w:marLeft w:val="0"/>
              <w:marRight w:val="0"/>
              <w:marTop w:val="0"/>
              <w:marBottom w:val="0"/>
              <w:divBdr>
                <w:top w:val="none" w:sz="0" w:space="0" w:color="auto"/>
                <w:left w:val="none" w:sz="0" w:space="0" w:color="auto"/>
                <w:bottom w:val="none" w:sz="0" w:space="0" w:color="auto"/>
                <w:right w:val="none" w:sz="0" w:space="0" w:color="auto"/>
              </w:divBdr>
              <w:divsChild>
                <w:div w:id="46682448">
                  <w:marLeft w:val="0"/>
                  <w:marRight w:val="0"/>
                  <w:marTop w:val="0"/>
                  <w:marBottom w:val="0"/>
                  <w:divBdr>
                    <w:top w:val="none" w:sz="0" w:space="0" w:color="auto"/>
                    <w:left w:val="none" w:sz="0" w:space="0" w:color="auto"/>
                    <w:bottom w:val="none" w:sz="0" w:space="0" w:color="auto"/>
                    <w:right w:val="none" w:sz="0" w:space="0" w:color="auto"/>
                  </w:divBdr>
                  <w:divsChild>
                    <w:div w:id="1448548327">
                      <w:marLeft w:val="0"/>
                      <w:marRight w:val="0"/>
                      <w:marTop w:val="0"/>
                      <w:marBottom w:val="0"/>
                      <w:divBdr>
                        <w:top w:val="none" w:sz="0" w:space="0" w:color="auto"/>
                        <w:left w:val="none" w:sz="0" w:space="0" w:color="auto"/>
                        <w:bottom w:val="none" w:sz="0" w:space="0" w:color="auto"/>
                        <w:right w:val="none" w:sz="0" w:space="0" w:color="auto"/>
                      </w:divBdr>
                      <w:divsChild>
                        <w:div w:id="739013065">
                          <w:marLeft w:val="0"/>
                          <w:marRight w:val="0"/>
                          <w:marTop w:val="0"/>
                          <w:marBottom w:val="0"/>
                          <w:divBdr>
                            <w:top w:val="none" w:sz="0" w:space="0" w:color="auto"/>
                            <w:left w:val="none" w:sz="0" w:space="0" w:color="auto"/>
                            <w:bottom w:val="none" w:sz="0" w:space="0" w:color="auto"/>
                            <w:right w:val="none" w:sz="0" w:space="0" w:color="auto"/>
                          </w:divBdr>
                          <w:divsChild>
                            <w:div w:id="5334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241337">
      <w:bodyDiv w:val="1"/>
      <w:marLeft w:val="0"/>
      <w:marRight w:val="0"/>
      <w:marTop w:val="0"/>
      <w:marBottom w:val="0"/>
      <w:divBdr>
        <w:top w:val="none" w:sz="0" w:space="0" w:color="auto"/>
        <w:left w:val="none" w:sz="0" w:space="0" w:color="auto"/>
        <w:bottom w:val="none" w:sz="0" w:space="0" w:color="auto"/>
        <w:right w:val="none" w:sz="0" w:space="0" w:color="auto"/>
      </w:divBdr>
    </w:div>
    <w:div w:id="1171023318">
      <w:bodyDiv w:val="1"/>
      <w:marLeft w:val="0"/>
      <w:marRight w:val="0"/>
      <w:marTop w:val="0"/>
      <w:marBottom w:val="0"/>
      <w:divBdr>
        <w:top w:val="none" w:sz="0" w:space="0" w:color="auto"/>
        <w:left w:val="none" w:sz="0" w:space="0" w:color="auto"/>
        <w:bottom w:val="none" w:sz="0" w:space="0" w:color="auto"/>
        <w:right w:val="none" w:sz="0" w:space="0" w:color="auto"/>
      </w:divBdr>
    </w:div>
    <w:div w:id="1212695958">
      <w:bodyDiv w:val="1"/>
      <w:marLeft w:val="0"/>
      <w:marRight w:val="0"/>
      <w:marTop w:val="0"/>
      <w:marBottom w:val="0"/>
      <w:divBdr>
        <w:top w:val="none" w:sz="0" w:space="0" w:color="auto"/>
        <w:left w:val="none" w:sz="0" w:space="0" w:color="auto"/>
        <w:bottom w:val="none" w:sz="0" w:space="0" w:color="auto"/>
        <w:right w:val="none" w:sz="0" w:space="0" w:color="auto"/>
      </w:divBdr>
    </w:div>
    <w:div w:id="1245799926">
      <w:bodyDiv w:val="1"/>
      <w:marLeft w:val="0"/>
      <w:marRight w:val="0"/>
      <w:marTop w:val="0"/>
      <w:marBottom w:val="0"/>
      <w:divBdr>
        <w:top w:val="none" w:sz="0" w:space="0" w:color="auto"/>
        <w:left w:val="none" w:sz="0" w:space="0" w:color="auto"/>
        <w:bottom w:val="none" w:sz="0" w:space="0" w:color="auto"/>
        <w:right w:val="none" w:sz="0" w:space="0" w:color="auto"/>
      </w:divBdr>
    </w:div>
    <w:div w:id="1444227527">
      <w:bodyDiv w:val="1"/>
      <w:marLeft w:val="0"/>
      <w:marRight w:val="0"/>
      <w:marTop w:val="0"/>
      <w:marBottom w:val="0"/>
      <w:divBdr>
        <w:top w:val="none" w:sz="0" w:space="0" w:color="auto"/>
        <w:left w:val="none" w:sz="0" w:space="0" w:color="auto"/>
        <w:bottom w:val="none" w:sz="0" w:space="0" w:color="auto"/>
        <w:right w:val="none" w:sz="0" w:space="0" w:color="auto"/>
      </w:divBdr>
    </w:div>
    <w:div w:id="1502699178">
      <w:bodyDiv w:val="1"/>
      <w:marLeft w:val="0"/>
      <w:marRight w:val="0"/>
      <w:marTop w:val="0"/>
      <w:marBottom w:val="0"/>
      <w:divBdr>
        <w:top w:val="none" w:sz="0" w:space="0" w:color="auto"/>
        <w:left w:val="none" w:sz="0" w:space="0" w:color="auto"/>
        <w:bottom w:val="none" w:sz="0" w:space="0" w:color="auto"/>
        <w:right w:val="none" w:sz="0" w:space="0" w:color="auto"/>
      </w:divBdr>
    </w:div>
    <w:div w:id="1508329260">
      <w:bodyDiv w:val="1"/>
      <w:marLeft w:val="0"/>
      <w:marRight w:val="0"/>
      <w:marTop w:val="0"/>
      <w:marBottom w:val="0"/>
      <w:divBdr>
        <w:top w:val="none" w:sz="0" w:space="0" w:color="auto"/>
        <w:left w:val="none" w:sz="0" w:space="0" w:color="auto"/>
        <w:bottom w:val="none" w:sz="0" w:space="0" w:color="auto"/>
        <w:right w:val="none" w:sz="0" w:space="0" w:color="auto"/>
      </w:divBdr>
    </w:div>
    <w:div w:id="1676691447">
      <w:bodyDiv w:val="1"/>
      <w:marLeft w:val="0"/>
      <w:marRight w:val="0"/>
      <w:marTop w:val="0"/>
      <w:marBottom w:val="0"/>
      <w:divBdr>
        <w:top w:val="none" w:sz="0" w:space="0" w:color="auto"/>
        <w:left w:val="none" w:sz="0" w:space="0" w:color="auto"/>
        <w:bottom w:val="none" w:sz="0" w:space="0" w:color="auto"/>
        <w:right w:val="none" w:sz="0" w:space="0" w:color="auto"/>
      </w:divBdr>
    </w:div>
    <w:div w:id="1760756255">
      <w:bodyDiv w:val="1"/>
      <w:marLeft w:val="0"/>
      <w:marRight w:val="0"/>
      <w:marTop w:val="0"/>
      <w:marBottom w:val="0"/>
      <w:divBdr>
        <w:top w:val="none" w:sz="0" w:space="0" w:color="auto"/>
        <w:left w:val="none" w:sz="0" w:space="0" w:color="auto"/>
        <w:bottom w:val="none" w:sz="0" w:space="0" w:color="auto"/>
        <w:right w:val="none" w:sz="0" w:space="0" w:color="auto"/>
      </w:divBdr>
    </w:div>
    <w:div w:id="1869172215">
      <w:bodyDiv w:val="1"/>
      <w:marLeft w:val="0"/>
      <w:marRight w:val="0"/>
      <w:marTop w:val="0"/>
      <w:marBottom w:val="0"/>
      <w:divBdr>
        <w:top w:val="none" w:sz="0" w:space="0" w:color="auto"/>
        <w:left w:val="none" w:sz="0" w:space="0" w:color="auto"/>
        <w:bottom w:val="none" w:sz="0" w:space="0" w:color="auto"/>
        <w:right w:val="none" w:sz="0" w:space="0" w:color="auto"/>
      </w:divBdr>
    </w:div>
    <w:div w:id="1936665144">
      <w:bodyDiv w:val="1"/>
      <w:marLeft w:val="0"/>
      <w:marRight w:val="0"/>
      <w:marTop w:val="0"/>
      <w:marBottom w:val="0"/>
      <w:divBdr>
        <w:top w:val="none" w:sz="0" w:space="0" w:color="auto"/>
        <w:left w:val="none" w:sz="0" w:space="0" w:color="auto"/>
        <w:bottom w:val="none" w:sz="0" w:space="0" w:color="auto"/>
        <w:right w:val="none" w:sz="0" w:space="0" w:color="auto"/>
      </w:divBdr>
      <w:divsChild>
        <w:div w:id="1901938426">
          <w:marLeft w:val="0"/>
          <w:marRight w:val="0"/>
          <w:marTop w:val="0"/>
          <w:marBottom w:val="0"/>
          <w:divBdr>
            <w:top w:val="none" w:sz="0" w:space="0" w:color="auto"/>
            <w:left w:val="none" w:sz="0" w:space="0" w:color="auto"/>
            <w:bottom w:val="none" w:sz="0" w:space="0" w:color="auto"/>
            <w:right w:val="none" w:sz="0" w:space="0" w:color="auto"/>
          </w:divBdr>
          <w:divsChild>
            <w:div w:id="1928534521">
              <w:marLeft w:val="0"/>
              <w:marRight w:val="0"/>
              <w:marTop w:val="0"/>
              <w:marBottom w:val="0"/>
              <w:divBdr>
                <w:top w:val="none" w:sz="0" w:space="0" w:color="auto"/>
                <w:left w:val="none" w:sz="0" w:space="0" w:color="auto"/>
                <w:bottom w:val="none" w:sz="0" w:space="0" w:color="auto"/>
                <w:right w:val="none" w:sz="0" w:space="0" w:color="auto"/>
              </w:divBdr>
              <w:divsChild>
                <w:div w:id="349069358">
                  <w:marLeft w:val="0"/>
                  <w:marRight w:val="0"/>
                  <w:marTop w:val="0"/>
                  <w:marBottom w:val="0"/>
                  <w:divBdr>
                    <w:top w:val="none" w:sz="0" w:space="0" w:color="auto"/>
                    <w:left w:val="none" w:sz="0" w:space="0" w:color="auto"/>
                    <w:bottom w:val="none" w:sz="0" w:space="0" w:color="auto"/>
                    <w:right w:val="none" w:sz="0" w:space="0" w:color="auto"/>
                  </w:divBdr>
                  <w:divsChild>
                    <w:div w:id="968047120">
                      <w:marLeft w:val="0"/>
                      <w:marRight w:val="0"/>
                      <w:marTop w:val="0"/>
                      <w:marBottom w:val="0"/>
                      <w:divBdr>
                        <w:top w:val="none" w:sz="0" w:space="0" w:color="auto"/>
                        <w:left w:val="none" w:sz="0" w:space="0" w:color="auto"/>
                        <w:bottom w:val="none" w:sz="0" w:space="0" w:color="auto"/>
                        <w:right w:val="none" w:sz="0" w:space="0" w:color="auto"/>
                      </w:divBdr>
                      <w:divsChild>
                        <w:div w:id="953363147">
                          <w:marLeft w:val="0"/>
                          <w:marRight w:val="0"/>
                          <w:marTop w:val="0"/>
                          <w:marBottom w:val="0"/>
                          <w:divBdr>
                            <w:top w:val="none" w:sz="0" w:space="0" w:color="auto"/>
                            <w:left w:val="none" w:sz="0" w:space="0" w:color="auto"/>
                            <w:bottom w:val="none" w:sz="0" w:space="0" w:color="auto"/>
                            <w:right w:val="none" w:sz="0" w:space="0" w:color="auto"/>
                          </w:divBdr>
                          <w:divsChild>
                            <w:div w:id="9532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sreports.congress.go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ewyorkfed.org"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deloitte.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worldbank.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9279E-9A22-48B8-AF78-A7E507B08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10</Pages>
  <Words>2528</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Dwivedi</dc:creator>
  <cp:keywords/>
  <dc:description/>
  <cp:lastModifiedBy>Anmol Dwivedi</cp:lastModifiedBy>
  <cp:revision>1</cp:revision>
  <dcterms:created xsi:type="dcterms:W3CDTF">2024-12-06T23:27:00Z</dcterms:created>
  <dcterms:modified xsi:type="dcterms:W3CDTF">2024-12-07T01:27:00Z</dcterms:modified>
</cp:coreProperties>
</file>