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E6FD9"/>
          <w:sz w:val="64"/>
          <w:szCs w:val="64"/>
        </w:rPr>
        <w:t xml:space="preserve">CritCare.in</w:t>
      </w:r>
    </w:p>
    <w:p>
      <w:pPr>
        <w:spacing w:after="80"/>
      </w:pPr>
      <w:r>
        <w:rPr>
          <w:b/>
          <w:bCs/>
          <w:color w:val="13315C"/>
          <w:sz w:val="36"/>
          <w:szCs w:val="36"/>
        </w:rPr>
        <w:t xml:space="preserve">Soft-Launch &amp; 10-Year DNB Content Strategy</w:t>
      </w:r>
    </w:p>
    <w:p>
      <w:pPr>
        <w:spacing w:after="400"/>
      </w:pPr>
      <w:r>
        <w:rPr>
          <w:i/>
          <w:iCs/>
          <w:color w:val="5A6472"/>
          <w:sz w:val="24"/>
          <w:szCs w:val="24"/>
        </w:rPr>
        <w:t xml:space="preserve">Turning an excellent reference into a trusted, profitable product</w:t>
      </w:r>
    </w:p>
    <w:p>
      <w:pPr>
        <w:pBdr>
          <w:top w:val="single" w:color="1E6FD9" w:sz="8"/>
        </w:pBdr>
        <w:spacing w:after="200" w:before="20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Prepared for: </w:t>
      </w:r>
      <w:r>
        <w:t xml:space="preserve">Dr. Anmol Srivastava — SR Emergency Medicine, SGPGIMS Lucknow</w:t>
      </w:r>
    </w:p>
    <w:p>
      <w:pPr>
        <w:spacing w:after="120" w:line="276"/>
      </w:pPr>
      <w:r>
        <w:rPr>
          <w:b/>
          <w:bCs/>
        </w:rPr>
        <w:t xml:space="preserve">Scope: </w:t>
      </w:r>
      <w:r>
        <w:t xml:space="preserve">Live site audit, 30-day launch roadmap, DNB Anaesthesia 10-year content plan, freemium + subscription monetisation, and measurable goals.</w:t>
      </w:r>
    </w:p>
    <w:p>
      <w:pPr>
        <w:spacing w:after="120" w:line="276"/>
      </w:pPr>
      <w:r>
        <w:rPr>
          <w:b/>
          <w:bCs/>
        </w:rPr>
        <w:t xml:space="preserve">Date: </w:t>
      </w:r>
      <w:r>
        <w:t xml:space="preserve">30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t xml:space="preserve">1. Executive summary</w:t>
      </w:r>
    </w:p>
    <w:p>
      <w:pPr>
        <w:spacing w:after="120" w:line="276"/>
      </w:pPr>
      <w:r>
        <w:t xml:space="preserve">CritCare.in is already strong where it counts. The clinical writing is deep, structured, and properly referenced to current guidelines (SSC 2026, GINA/GOLD 2026, KDIGO 2026, Marino 5th Ed). The eight-section template — Manual summary, physiology, guideline recommendations, drug doses, flowchart, common mistakes, exam pearls, references — is exactly what a junior doctor at the bedside or a DNB candidate wants. The foundation does not need fixing; it needs finishing, focusing, and packaging.</w:t>
      </w:r>
    </w:p>
    <w:p>
      <w:pPr>
        <w:spacing w:after="120" w:line="276"/>
      </w:pPr>
      <w:r>
        <w:t xml:space="preserve">The gap between where the site is and a confident, profitable launch is in four areas. First, consistency and trust signals — topic counts, specialty taxonomy, and "last reviewed" dates are inconsistent, which quietly undermines reader confidence. Second, positioning — the site promises "Integrated Medicine" across four specialties, but the library is Critical Care and Emergency Medicine; Anaesthesia is essentially just DNB prep, and Pulmonary is folded in. Third, the DNB engine — the single highest-intent, most monetisable audience is DNB Anaesthesia residents, yet only two of roughly twenty exam sessions are solved. Fourth, monetisation mechanics — the freemium/Pro split, payment flow, and launch pricing need to be locked before going public.</w:t>
      </w:r>
    </w:p>
    <w:p>
      <w:pPr>
        <w:spacing w:after="120" w:line="276"/>
      </w:pPr>
      <w:r>
        <w:t xml:space="preserve">This document lays out a 30-day plan to the full launch, a realistic system for building the 10-year DNB backlog without burning out, the trust standards that make readers believe what they read, and a freemium + subscription model with concrete numbers and goals.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60"/>
      </w:pPr>
      <w:r>
        <w:t xml:space="preserve">The one-line strategy</w:t>
      </w:r>
    </w:p>
    <w:p>
      <w:pPr>
        <w:spacing w:after="120" w:line="276"/>
      </w:pPr>
      <w:r>
        <w:rPr>
          <w:b/>
          <w:bCs/>
        </w:rPr>
        <w:t xml:space="preserve">Make the Anaesthesia + DNB track the paid spearhead, keep a generous free Critical Care / EM library as the discovery engine, and earn trust through visible editorial rigour. </w:t>
      </w:r>
      <w:r>
        <w:t xml:space="preserve">DNB residents are the buyers; the free library is how they find you.</w:t>
      </w:r>
    </w:p>
    <w:p>
      <w:pPr>
        <w:pStyle w:val="Heading1"/>
        <w:spacing w:after="160" w:before="280"/>
      </w:pPr>
      <w:r>
        <w:t xml:space="preserve">2. Where CritCare.in stands today</w:t>
      </w:r>
    </w:p>
    <w:p>
      <w:pPr>
        <w:pStyle w:val="Heading2"/>
        <w:spacing w:after="120" w:before="220"/>
      </w:pPr>
      <w:r>
        <w:t xml:space="preserve">2.1 Real strengths to protect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Clinical depth and citations. </w:t>
      </w:r>
      <w:r>
        <w:t xml:space="preserve">Articles cite guideline, year, and page (e.g. Marino Ch.17 p.307; SSC 2026 statement numbers). This is rare and is your biggest trust asset.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Consistent article architecture. </w:t>
      </w:r>
      <w:r>
        <w:t xml:space="preserve">Every topic follows the same 8-section spine, ending in exam pearls. Keep this template sacred — it is your brand.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Indian context. </w:t>
      </w:r>
      <w:r>
        <w:t xml:space="preserve">ISCCM guidance, MDR/XDR antibiotic regimens, snakebite, tropical fever, ALP/OP poisoning. This differentiates you from Western 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Useful tools. </w:t>
      </w:r>
      <w:r>
        <w:t xml:space="preserve">ABG analyser, drug-dilution guide, score calculators, and an AI decision-support tool — these justify a subscription beyond static reading.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Payment rails ready. </w:t>
      </w:r>
      <w:r>
        <w:t xml:space="preserve">Razorpay is integrated and a ₹3,000/year Pro tier is defined; the commercial scaffolding exists.</w:t>
      </w:r>
    </w:p>
    <w:p>
      <w:pPr>
        <w:pStyle w:val="Heading2"/>
        <w:spacing w:after="120" w:before="220"/>
      </w:pPr>
      <w:r>
        <w:t xml:space="preserve">2.2 Issues to fix before launch</w:t>
      </w:r>
    </w:p>
    <w:p>
      <w:pPr>
        <w:spacing w:after="120" w:line="276"/>
      </w:pPr>
      <w:r>
        <w:t xml:space="preserve">None of these are hard, but each erodes the "can I trust this?" reaction you specifically want to avoid. They are ordered by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20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 found on the live site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Topic count contradicts itself: homepage says 38+, Pro page says 36, Topics page header says 38+ but the grid counts 27.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Inconsistent numbers read as careless. A reader who notices stops trusting your clinical numbers too.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Specialty filters on Topics show "Critical Care 0 / Emergency Medicine 0" and repeat "No topics in this specialty."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core navigation feature looks broken. Fix the tagging so every topic carries its specialty.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"4 Specialties" (home) vs "2 Specialties" (topics). Anaesthesia &amp; Pulmonary are promised but not represented as filterable libraries.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headline promise (Integrated Medicine) isn't backed by the navigation.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DNB papers load via JavaScript ("Loading Paper I…"). Content is not in the initial HTML.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can't index your highest-intent pages ("DNB anaesthesia June 2026 solved"). You lose the exact traffic you want.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visible "last reviewed / next review" date or reviewer on articles.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Medical readers trust dated, owned content. Undated content feels unmaintained.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Everything is currently free with login; free-vs-Pro boundary not yet enforced.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 can't measure conversion or earn revenue until the boundary is live.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Footer says © 2025; some pages 2025, content references 2026.</w:t>
            </w:r>
          </w:p>
        </w:tc>
        <w:tc>
          <w:tcPr>
            <w:tcW w:type="dxa" w:w="32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Small, but part of the same consistency story.</w:t>
            </w:r>
          </w:p>
        </w:tc>
        <w:tc>
          <w:tcPr>
            <w:tcW w:type="dxa" w:w="14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1"/>
        <w:spacing w:after="160" w:before="280"/>
      </w:pPr>
      <w:r>
        <w:t xml:space="preserve">3. Making "Integrated Medicine" real</w:t>
      </w:r>
    </w:p>
    <w:p>
      <w:pPr>
        <w:spacing w:after="120" w:line="276"/>
      </w:pPr>
      <w:r>
        <w:t xml:space="preserve">Your positioning is genuinely good — the specialties that meet at the bedside, unified rather than siloed. The problem is that the library doesn't yet match the promise. Right now it is a superb Critical Care + Emergency Medicine reference with anaesthesia present only as exam prep. Two ways to close the gap; recommend doing both, in order.</w:t>
      </w:r>
    </w:p>
    <w:p>
      <w:pPr>
        <w:pStyle w:val="Heading3"/>
        <w:spacing w:after="80" w:before="160"/>
      </w:pPr>
      <w:r>
        <w:t xml:space="preserve">Step 1 — Honour the four specialties in navigation</w:t>
      </w:r>
    </w:p>
    <w:p>
      <w:pPr>
        <w:spacing w:after="120" w:line="276"/>
      </w:pPr>
      <w:r>
        <w:t xml:space="preserve">Tag every existing article with one or more of the four specialties and make the Topics filters actually work. Much of your content already double-serves (airway, sedation, vasopressors, ventilation are core anaesthesia too) — surface that. This alone makes the "4 specialties" claim true without writing a single new article.</w:t>
      </w:r>
    </w:p>
    <w:p>
      <w:pPr>
        <w:pStyle w:val="Heading3"/>
        <w:spacing w:after="80" w:before="160"/>
      </w:pPr>
      <w:r>
        <w:t xml:space="preserve">Step 2 — Build the Anaesthesia library deliberately</w:t>
      </w:r>
    </w:p>
    <w:p>
      <w:pPr>
        <w:spacing w:after="120" w:line="276"/>
      </w:pPr>
      <w:r>
        <w:t xml:space="preserve">This is the same audience that buys DNB prep, so it compounds. Build anaesthesia topics that map directly onto the DNB syllabus and the question papers — each new topic article becomes the linked "model answer source" for several DNB questions. Suggested first 12 anaesthesia topics, all high-yield and exam-relevant: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Foundational / basic sciences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Clinical / subspecialty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Anaesthesia machine &amp; breathing systems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Pre-operative assessment &amp; optimisation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Vaporizers &amp; gas laws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General anaesthesia: induction &amp; maintenance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 anaesthetics — pharmacology &amp; toxicity (LAST)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Regional anaesthesia &amp; neuraxial blocks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Muscle relaxants &amp; reversal (sugammadex)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Obstetric anaesthesia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Monitoring &amp; MAC / depth of anaesthesia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Paediatric anaesthesia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PONV, post-op pain &amp; ERAS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Neuro / cardiac anaesthesia essentials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Sequence it with the DNB backlog: </w:t>
      </w:r>
      <w:r>
        <w:t xml:space="preserve">when you solve a DNB question on, say, LAST or spinal anaesthesia, write the matching topic article at the same time and cross-link them. One unit of effort, two assets, and the "integrated" cross-referencing becomes real.</w:t>
      </w:r>
    </w:p>
    <w:p>
      <w:pPr>
        <w:pStyle w:val="Heading1"/>
        <w:spacing w:after="160" w:before="280"/>
      </w:pPr>
      <w:r>
        <w:t xml:space="preserve">4. The 30-day launch roadmap</w:t>
      </w:r>
    </w:p>
    <w:p>
      <w:pPr>
        <w:spacing w:after="120" w:line="276"/>
      </w:pPr>
      <w:r>
        <w:t xml:space="preserve">You have one month to the full ("software") launch. Treat the first half as a private soft launch to a controlled audience, the second half as the content sprint and public push. The principle: fix trust and plumbing first, then content, then traffic.</w:t>
      </w:r>
    </w:p>
    <w:p>
      <w:pPr>
        <w:pStyle w:val="Heading2"/>
        <w:spacing w:after="120" w:before="220"/>
      </w:pPr>
      <w:r>
        <w:t xml:space="preserve">Week 0 (this week) — Fix &amp; instrument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Resolve all consistency issues in §2.2: one canonical topic count, working specialty filters, fixed dates.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Decide and implement the free-vs-Pro boundary (see §6). Lock which 8–10 topics and which tools stay free.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Add to every article a visible "Reviewed: &lt;date&gt; · Next review: &lt;date&gt; · Author: Dr. Anmol Srivastava" 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Install analytics (e.g. Plausible/GA4) and an email-capture field. You cannot improve what you don't measure.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Test the Razorpay flow end-to-end in live mode with a ₹1 transaction, then refund.</w:t>
      </w:r>
    </w:p>
    <w:p>
      <w:pPr>
        <w:pStyle w:val="Heading2"/>
        <w:spacing w:after="120" w:before="220"/>
      </w:pPr>
      <w:r>
        <w:t xml:space="preserve">Week 1 — Private soft launch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Release to a controlled group: your SGPGIMS batch, 2–3 DNB Anaesthesia WhatsApp/Telegram groups, a handful of trusted seniors.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Ship a 1-question feedback prompt on each page ("Was this accurate/useful?") and a short feedback form.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Publish 2–3 new anaesthesia topic articles (from §3) to begin backing the four-specialty claim.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Make the DNB pages server-rendered / static HTML so they are indexable.</w:t>
      </w:r>
    </w:p>
    <w:p>
      <w:pPr>
        <w:pStyle w:val="Heading2"/>
        <w:spacing w:after="120" w:before="220"/>
      </w:pPr>
      <w:r>
        <w:t xml:space="preserve">Weeks 2–3 — Content sprint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DNB: </w:t>
      </w:r>
      <w:r>
        <w:t xml:space="preserve">solve the most recent 4 sessions you're missing (highest yield — current guidelines). See §5 for the system.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Anaesthesia: </w:t>
      </w:r>
      <w:r>
        <w:t xml:space="preserve">publish 4–6 more topic articles, cross-linked to the DNB questions they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Act on soft-launch feedback; fix anything that dented confidence.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Seed SEO: sitemap.xml, schema.org Article/MedicalWebPage markup, Open Graph preview images.</w:t>
      </w:r>
    </w:p>
    <w:p>
      <w:pPr>
        <w:pStyle w:val="Heading2"/>
        <w:spacing w:after="120" w:before="220"/>
      </w:pPr>
      <w:r>
        <w:t xml:space="preserve">Week 4 — Public launch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Turn on the Pro paywall with a clear founding-member offer (see §6).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Launch post across the channels where DNB residents gather; a short "how I built this" note in your own voice converts well.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Begin the recurring content cadence (a fixed number of DNB sessions + topics per week).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Publish a public roadmap ("papers coming this quarter") so buyers see momentum.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5. DNB Anaesthesia — the 10-year content plan</w:t>
      </w:r>
    </w:p>
    <w:p>
      <w:pPr>
        <w:spacing w:after="120" w:line="276"/>
      </w:pPr>
      <w:r>
        <w:t xml:space="preserve">This is your revenue spearhead and your biggest content task. The key is to be systematic, not heroic — a brute-force chronological slog will stall. Build a system and prioritise by value.</w:t>
      </w:r>
    </w:p>
    <w:p>
      <w:pPr>
        <w:pStyle w:val="Heading2"/>
        <w:spacing w:after="120" w:before="220"/>
      </w:pPr>
      <w:r>
        <w:t xml:space="preserve">5.1 The size of the job (be realistic)</w:t>
      </w:r>
    </w:p>
    <w:p>
      <w:pPr>
        <w:spacing w:after="120" w:line="276"/>
      </w:pPr>
      <w:r>
        <w:t xml:space="preserve">DNB/DrNB Anaesthesiology theory runs two sessions a year (June and December), four papers per session. "Previous ten years" is therefore roughly 20 sessions / ~80 papers. You have solved 2 sessions (June 2026, December 2025), so the backlog is about 18 sessions / ~70+ papers. Confirm the exact paper structure and per-paper question counts against official papers before you quote totals publicly.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Sessions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≈ Papers</w:t>
            </w:r>
          </w:p>
        </w:tc>
        <w:tc>
          <w:tcPr>
            <w:tcW w:type="dxa" w:w="2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questions*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Done (Jun 2026, Dec 2025)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~50 (your figure)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Remaining 10-year backlog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~18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~70</w:t>
            </w:r>
          </w:p>
        </w:tc>
        <w:tc>
          <w:tcPr>
            <w:tcW w:type="dxa" w:w="2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Several hundred</w:t>
            </w:r>
          </w:p>
        </w:tc>
      </w:tr>
      <w:tr>
        <w:tc>
          <w:tcPr>
            <w:tcW w:type="dxa" w:w="3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10-year archive (target)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~20</w:t>
            </w:r>
          </w:p>
        </w:tc>
        <w:tc>
          <w:tcPr>
            <w:tcW w:type="dxa" w:w="16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~80</w:t>
            </w:r>
          </w:p>
        </w:tc>
        <w:tc>
          <w:tcPr>
            <w:tcW w:type="dxa" w:w="25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Several hundred</w:t>
            </w:r>
          </w:p>
        </w:tc>
      </w:tr>
    </w:tbl>
    <w:p>
      <w:pPr>
        <w:spacing w:after="120" w:line="276"/>
      </w:pPr>
      <w:r>
        <w:t xml:space="preserve">*</w:t>
      </w:r>
      <w:r>
        <w:rPr>
          <w:i/>
          <w:iCs/>
          <w:color w:val="5A6472"/>
          <w:sz w:val="18"/>
          <w:szCs w:val="18"/>
        </w:rPr>
        <w:t xml:space="preserve">Treat question totals as estimates until verified against the official papers — don't publish a precise count you haven't checked.</w:t>
      </w:r>
    </w:p>
    <w:p>
      <w:pPr>
        <w:pStyle w:val="Heading2"/>
        <w:spacing w:after="120" w:before="220"/>
      </w:pPr>
      <w:r>
        <w:t xml:space="preserve">5.2 Prioritise by value, not by date</w:t>
      </w:r>
    </w:p>
    <w:p>
      <w:pPr>
        <w:spacing w:after="120" w:line="276"/>
      </w:pPr>
      <w:r>
        <w:t xml:space="preserve">Don't go strictly oldest-to-newest. Sequence the backlog so the most useful, most trustworthy content ships first: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Most recent 5 years first (2021–2025). These reflect current guidelines and are what today's candidates are searching for. Newer = safer to answer = higher traffic.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Most-repeated questions next. DNB recycles themes heavily. Tag every question by topic; a "most-repeated questions" bank is more valuable to students than any single year and is a superb paid feature.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Older years last, lightly. For 2016–2020, prioritise questions still clinically valid; flag or update any answer that a superseded guideline would now get wrong.</w:t>
      </w:r>
    </w:p>
    <w:p>
      <w:pPr>
        <w:pStyle w:val="Heading2"/>
        <w:spacing w:after="120" w:before="220"/>
      </w:pPr>
      <w:r>
        <w:t xml:space="preserve">5.3 A production system that won't burn you out</w:t>
      </w:r>
    </w:p>
    <w:p>
      <w:pPr>
        <w:spacing w:after="120" w:line="276"/>
      </w:pPr>
      <w:r>
        <w:t xml:space="preserve">Make each paper a repeatable assembly line rather than a fresh essay every time: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Lock a model-answer template </w:t>
      </w:r>
      <w:r>
        <w:t xml:space="preserve">(you already have the shape): Question → Key points / structure → Model answer → Cited sources → Common mistakes → Exam tip → "Extra marks" content. Consistency is what makes a 70-paper archive feel authoritative.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Batch by topic, not just by paper. </w:t>
      </w:r>
      <w:r>
        <w:t xml:space="preserve">Answer all "airway" questions across years together — you're already in that mental space, and you reuse the same references.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Draft with your own AI tool, then verify. </w:t>
      </w:r>
      <w:r>
        <w:t xml:space="preserve">Use AI to produce a first draft against your template, then you personally check every dose, guideline year, and claim against the primary source. Never publish an unverified answer — your credibility is the product.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Cross-link to topic articles. </w:t>
      </w:r>
      <w:r>
        <w:t xml:space="preserve">Each answer links to the matching CritCare topic page; each topic page lists the DNB questions it answers. This is the "integrated" promise made concrete, and it boosts SEO and paywall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Set a sustainable cadence. </w:t>
      </w:r>
      <w:r>
        <w:t xml:space="preserve">e.g. 2 sessions (8 papers) per week clears the ~18-session backlog in ~9 weeks. Publish a visible progress tracker so subscribers see steady delivery.</w:t>
      </w:r>
    </w:p>
    <w:p>
      <w:pPr>
        <w:pStyle w:val="Heading2"/>
        <w:spacing w:after="120" w:before="220"/>
      </w:pPr>
      <w:r>
        <w:t xml:space="preserve">5.4 Make it indexable and shoppable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Render each paper as static/SSR HTML with its own URL (e.g. /dnb/anaesthesia/june-2024/paper-2). This is what wins the high-intent searches.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Give each question a permalink and topic tag so it surfaces in both the year view and the topic 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Offer a free taster (one full solved paper) and put the rest behind Pro or a DNB bundle.</w:t>
      </w:r>
    </w:p>
    <w:p>
      <w:pPr>
        <w:pStyle w:val="Heading1"/>
        <w:spacing w:after="160" w:before="280"/>
      </w:pPr>
      <w:r>
        <w:t xml:space="preserve">6. Monetisation &amp; pricing</w:t>
      </w:r>
    </w:p>
    <w:p>
      <w:pPr>
        <w:spacing w:after="120" w:line="276"/>
      </w:pPr>
      <w:r>
        <w:t xml:space="preserve">You chose freemium plus subscription — the right model for this audience. The art is drawing the free/paid line so the free tier still drives discovery while the paid tier is clearly worth ₹3,000.</w:t>
      </w:r>
    </w:p>
    <w:p>
      <w:pPr>
        <w:pStyle w:val="Heading2"/>
        <w:spacing w:after="120" w:before="220"/>
      </w:pPr>
      <w:r>
        <w:t xml:space="preserve">6.1 Where to draw the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Free (discovery engine)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 / paid (the value)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8–10 core CCM/EM topics (Sepsis, ARDS, Shock, ACS, Stroke, Acid–Base, etc.)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36+ topics, fully referenced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Basic score calculators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ABG Analyser with management plan + OCR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Clinical Pearl of the Day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 decision-support tool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sample solved DNB paper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Full 10-year DNB archive + most-repeated bank</w:t>
            </w:r>
          </w:p>
        </w:tc>
      </w:tr>
      <w:tr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Read-only previews</w:t>
            </w:r>
          </w:p>
        </w:tc>
        <w:tc>
          <w:tcPr>
            <w:tcW w:type="dxa" w:w="468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Drug Reference, all calculators, offline PWA, guideline updates</w:t>
            </w:r>
          </w:p>
        </w:tc>
      </w:tr>
    </w:tbl>
    <w:p>
      <w:pPr>
        <w:pStyle w:val="Heading2"/>
        <w:spacing w:after="120" w:before="220"/>
      </w:pPr>
      <w:r>
        <w:t xml:space="preserve">6.2 Pricing recommendations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Keep ₹3,000/year as the anchor, but add options. </w:t>
      </w:r>
      <w:r>
        <w:t xml:space="preserve">A monthly plan (≈₹399) lowers the entry barrier; an exam-season 3-month pass (≈₹999) captures DNB candidates who only need you before exams.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Consider a DNB-focused bundle. </w:t>
      </w:r>
      <w:r>
        <w:t xml:space="preserve">DNB residents are your highest-intent buyers. Either make the DNB archive the headline reason to buy Pro, or sell a dedicated "DNB Anaesthesia" pack. Test which converts better.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Founding-member offer at launch. </w:t>
      </w:r>
      <w:r>
        <w:t xml:space="preserve">Convert your free early users with a locked-in price ("₹3,000 → ₹1,499/year for founding members, price locked for life"). Urgency + reciprocity converts the goodwill you're building now.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You have pricing headroom. </w:t>
      </w:r>
      <w:r>
        <w:t xml:space="preserve">Mainstream PG-prep platforms charge well into five figures. At ₹3,000 you are the affordable, evidence-first option — room to raise later as the DNB archive fills out. Lock early members' price so they're rewarded for trusting you early.</w:t>
      </w:r>
    </w:p>
    <w:p>
      <w:pPr>
        <w:spacing w:after="120" w:line="276"/>
      </w:pPr>
      <w:r>
        <w:rPr>
          <w:b/>
          <w:bCs/>
        </w:rPr>
        <w:t xml:space="preserve">Note: </w:t>
      </w:r>
      <w:r>
        <w:rPr>
          <w:i/>
          <w:iCs/>
          <w:color w:val="5A6472"/>
          <w:sz w:val="18"/>
          <w:szCs w:val="18"/>
        </w:rPr>
        <w:t xml:space="preserve">pricing and platform fees change — confirm current Razorpay charges and competitor pricing before you finalise public numbers.</w:t>
      </w:r>
    </w:p>
    <w:p>
      <w:pPr>
        <w:pStyle w:val="Heading1"/>
        <w:spacing w:after="160" w:before="280"/>
      </w:pPr>
      <w:r>
        <w:t xml:space="preserve">7. Building reader confidence</w:t>
      </w:r>
    </w:p>
    <w:p>
      <w:pPr>
        <w:spacing w:after="120" w:line="276"/>
      </w:pPr>
      <w:r>
        <w:t xml:space="preserve">You said it best: people should open the site and trust what they read. Clinical depth alone isn't enough — trust comes from visible signals of rigour and maintenance. You already do the hard part (citations); add the signals around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Date everything. </w:t>
      </w:r>
      <w:r>
        <w:t xml:space="preserve">"Reviewed June 2026 · Next review June 2027" on every article. Dated content reads as maintained content.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Own it. </w:t>
      </w:r>
      <w:r>
        <w:t xml:space="preserve">A short author block with your credentials (SR Emergency Medicine, SGPGIMS) on each article. Consider naming one or two senior reviewers as an editorial check — even informal review, disclosed, raises trust sharply.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Show your standards. </w:t>
      </w:r>
      <w:r>
        <w:t xml:space="preserve">A one-page "Editorial &amp; evidence policy": which sources you use, how you grade recommendations, how often you update, how readers report errors. This page converts skeptical seniors.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Make corrections visible. </w:t>
      </w:r>
      <w:r>
        <w:t xml:space="preserve">A simple "report an error" link and a changelog signal that you take accuracy seriously rather than hide mistakes.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Keep the disclaimer, refine it. </w:t>
      </w:r>
      <w:r>
        <w:t xml:space="preserve">"For educational purposes" is right; pair it with the evidence policy so it reads as professional, not defensive.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Guideline-version badges. </w:t>
      </w:r>
      <w:r>
        <w:t xml:space="preserve">You already tag SSC 2026 etc. — make "current as of" explicit so readers know nothing is stale.</w:t>
      </w:r>
    </w:p>
    <w:p>
      <w:pPr>
        <w:pStyle w:val="Heading1"/>
        <w:spacing w:after="160" w:before="280"/>
      </w:pPr>
      <w:r>
        <w:t xml:space="preserve">8. SEO &amp; growth</w:t>
      </w:r>
    </w:p>
    <w:p>
      <w:pPr>
        <w:spacing w:after="120" w:line="276"/>
      </w:pPr>
      <w:r>
        <w:t xml:space="preserve">Your topic pages are static HTML — good for search. The two priorities are making the DNB pages indexable and capturing the audience you already attract.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Server-render the DNB pages. </w:t>
      </w:r>
      <w:r>
        <w:t xml:space="preserve">This is the single biggest SEO win — those are your highest-intent queries and they're currently invisible to Google.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Technical SEO basics: </w:t>
      </w:r>
      <w:r>
        <w:t xml:space="preserve">sitemap.xml, schema.org Article/MedicalWebPage structured data, Open Graph images, descriptive per-page titles (you already have good meta descriptions).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Capture email from day one. </w:t>
      </w:r>
      <w:r>
        <w:t xml:space="preserve">A "new papers &amp; guideline updates" list turns one-time visitors into a returning audience you own — independent of any algorithm.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Content as marketing. </w:t>
      </w:r>
      <w:r>
        <w:t xml:space="preserve">Each new DNB session and each "what changed in &lt;guideline&gt; 2026" article is a fresh search-entry point and a social post.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Distribute where residents are. </w:t>
      </w:r>
      <w:r>
        <w:t xml:space="preserve">DNB/PG Telegram and WhatsApp groups, Reddit medical India, X/Twitter. A free, genuinely useful solved paper is your best ad.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9. Goals &amp; success metrics</w:t>
      </w:r>
    </w:p>
    <w:p>
      <w:pPr>
        <w:spacing w:after="120" w:line="276"/>
      </w:pPr>
      <w:r>
        <w:t xml:space="preserve">Concrete, time-boxed targets so you know whether the launch is working. Adjust the numbers to your ambition — what matters is having a target to measure against.</w:t>
      </w:r>
    </w:p>
    <w:p>
      <w:pPr>
        <w:pStyle w:val="Heading2"/>
        <w:spacing w:after="120" w:before="220"/>
      </w:pPr>
      <w:r>
        <w:t xml:space="preserve">9.1 Pre-launch (by end of Week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Consistency errors (counts, dates, taxonomy)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Canonical topic count agreed and shown everywhere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number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Free-vs-Pro boundary live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Analytics + email capture installed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Razorpay live-tested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"Reviewed" date + author on every article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2"/>
        <w:spacing w:after="120" w:before="220"/>
      </w:pPr>
      <w:r>
        <w:t xml:space="preserve">9.2 Launch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anaesthesia topic articles published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8–12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DNB sessions solved &amp; live (cumulative)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total (4 new)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DNB pages indexable (SSR/static)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Registered users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200–500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subscribers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150+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Conversion funnel instrumented (view→signup→pro)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</w:t>
            </w:r>
          </w:p>
        </w:tc>
      </w:tr>
    </w:tbl>
    <w:p>
      <w:pPr>
        <w:pStyle w:val="Heading2"/>
        <w:spacing w:after="120" w:before="220"/>
      </w:pPr>
      <w:r>
        <w:t xml:space="preserve">9.3 90 days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1E6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DNB 10-year backlog cleared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~18 sessions done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topic articles (all 4 specialties)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55–60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Monthly organic visitors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 baseline in month 1, then +50%/mo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Paying Pro members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 100 founding members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Most-repeated-question bank live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36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Editorial policy + reviewer named</w:t>
            </w:r>
          </w:p>
        </w:tc>
        <w:tc>
          <w:tcPr>
            <w:tcW w:type="dxa" w:w="3000"/>
            <w:tcBorders>
              <w:top w:val="single" w:color="CCD6E0" w:sz="1"/>
              <w:left w:val="single" w:color="CCD6E0" w:sz="1"/>
              <w:bottom w:val="single" w:color="CCD6E0" w:sz="1"/>
              <w:right w:val="single" w:color="CCD6E0" w:sz="1"/>
            </w:tcBorders>
            <w:shd w:fill="F4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</w:tbl>
    <w:p>
      <w:pPr>
        <w:pStyle w:val="Heading1"/>
        <w:spacing w:after="160" w:before="280"/>
      </w:pPr>
      <w:r>
        <w:t xml:space="preserve">10. Your immediate next actions</w:t>
      </w:r>
    </w:p>
    <w:p>
      <w:pPr>
        <w:spacing w:after="120" w:line="276"/>
      </w:pPr>
      <w:r>
        <w:t xml:space="preserve">If you do nothing else this week, do these five — they unblock everything downstream: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Fix the consistency issues (§2.2): one topic count, working specialty filters, correct dates.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Decide the free-vs-Pro split (§6.1) and turn the paywall on in test mode.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Make the DNB pages static/SSR so Google can index them.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Add "Reviewed date + author" to every article and draft a one-page editorial policy.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Start the DNB sprint: solve the 4 most recent missing sessions using the template + verify-everything rule (§5.3).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foundation is genuinely good. </w:t>
      </w:r>
      <w:r>
        <w:t xml:space="preserve">What's left is finishing the four-specialty promise, industrialising the DNB backlog, wrapping it all in visible trust signals, and switching on a fair price. Do that in the next 30 days and the site won't just be comprehensive — it'll be the one DNB Anaesthesia residents tell each other about.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Prepared for Dr. Anmol Srivastava  ·  June 2026  · 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CritCare.in — Launch &amp; Content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6FD9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E6FD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331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A64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CritCare.in</dc:creator>
  <cp:lastModifiedBy>Un-named</cp:lastModifiedBy>
  <cp:revision>1</cp:revision>
  <dcterms:created xsi:type="dcterms:W3CDTF">2026-06-30T11:15:41.245Z</dcterms:created>
  <dcterms:modified xsi:type="dcterms:W3CDTF">2026-06-30T11:15:41.245Z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