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rPr>
          <w:rtl w:val="0"/>
        </w:rPr>
        <w:t xml:space="preserve">COMMAND : SBT CLEAN COVERAGE TEST </w:t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062788" cy="4380286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4380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180"/>
        <w:contextualSpacing w:val="0"/>
      </w:pPr>
      <w:r w:rsidDel="00000000" w:rsidR="00000000" w:rsidRPr="00000000">
        <w:rPr>
          <w:rtl w:val="0"/>
        </w:rPr>
        <w:t xml:space="preserve">COMMAND   : SBT COVERAGE REPORT</w:t>
      </w:r>
    </w:p>
    <w:p w:rsidR="00000000" w:rsidDel="00000000" w:rsidP="00000000" w:rsidRDefault="00000000" w:rsidRPr="00000000">
      <w:pPr>
        <w:ind w:left="-900" w:firstLine="180"/>
        <w:contextualSpacing w:val="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ind w:left="-900" w:firstLine="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079052" cy="2405063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9052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rPr>
          <w:rtl w:val="0"/>
        </w:rPr>
        <w:t xml:space="preserve">COMMAND : SBT SCALASTYLE</w:t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>
      <w:pPr>
        <w:ind w:left="-90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076599" cy="181451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6599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