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280" w:line="276" w:lineRule="auto"/>
        <w:jc w:val="center"/>
        <w:pBdr>
          <w:bottom w:val="single" w:sz="8" w:space="1" w:color="1F497D"/>
        </w:pBdr>
      </w:pPr>
      <w:r>
        <w:rPr>
          <w:rFonts w:ascii="Calibri" w:hAnsi="Calibri"/>
          <w:b/>
          <w:i w:val="0"/>
          <w:color w:val="1F497D"/>
          <w:sz w:val="48"/>
        </w:rPr>
        <w:t>FROM RISK SCORES TO HUMAN-CENTRIC DECISIONS: INTEGRATING TABULAR DEEP LEARNING AND LARGE LANGUAGE MODELS FOR LOAN APPROVAL SYSTEMS</w:t>
      </w:r>
    </w:p>
    <w:p>
      <w:r>
        <w:br w:type="page"/>
      </w:r>
    </w:p>
    <w:p>
      <w:r>
        <w:br w:type="page"/>
      </w:r>
    </w:p>
    <w:p>
      <w:pPr>
        <w:spacing w:before="0" w:after="160" w:line="276" w:lineRule="auto"/>
        <w:pBdr>
          <w:bottom w:val="single" w:sz="10" w:space="1" w:color="1F497D"/>
        </w:pBdr>
      </w:pPr>
      <w:r>
        <w:rPr>
          <w:rFonts w:ascii="Calibri" w:hAnsi="Calibri"/>
          <w:b/>
          <w:i w:val="0"/>
          <w:color w:val="1F497D"/>
          <w:sz w:val="32"/>
        </w:rPr>
        <w:t>ABSTRACT</w:t>
      </w:r>
    </w:p>
    <w:p>
      <w:pPr>
        <w:spacing w:before="40" w:after="100" w:line="276" w:lineRule="auto"/>
      </w:pPr>
      <w:r>
        <w:rPr>
          <w:rFonts w:ascii="Calibri" w:hAnsi="Calibri"/>
          <w:b w:val="0"/>
          <w:i w:val="0"/>
          <w:color w:val="1A1A1A"/>
          <w:sz w:val="22"/>
        </w:rPr>
        <w:t>Loan approval decisions in the financial sector often suffer from inaccuracies due to complex risk factors such as credit history and income levels which lead to high denial rates and potential losses for lenders. Machine learning algorithms help address this by predicting loan risk scores and approval outcomes through data-driven pattern analysis. The selected dataset is the synthetic financial risk dataset for loan approval sourced from Kaggle. The methodology includes preprocessing steps like dropping irrelevant columns encoding categorical variables with OneHotEncoder and LabelEncoder transforming ordinal features engineering new variables using Recursive Feature Elimination and scaling numerical features with StandardScaler. Models trained include ElasticNet CNN and TabNet. The best model TabNet achieved an accuracy score of 89.1%. This model surpassed the dataset's inherent class imbalance benchmark as evidenced by improved performance metrics compared to baseline expectations. The web application developed uses the Streamlit framework to provide an interactive platform for users to input financial data receive risk predictions via the TabNet model and view integrated reports. This setup enables real-time decision support for loan governance. The project focused on enhancing model interpretability through integrated explanations generated by large language models to aid users in understanding predictions.</w:t>
      </w:r>
    </w:p>
    <w:p>
      <w:pPr>
        <w:spacing w:before="40" w:after="100" w:line="276" w:lineRule="auto"/>
      </w:pPr>
      <w:r>
        <w:rPr>
          <w:rFonts w:ascii="Calibri" w:hAnsi="Calibri"/>
          <w:b/>
          <w:i w:val="0"/>
          <w:color w:val="1A1A1A"/>
          <w:sz w:val="22"/>
        </w:rPr>
        <w:t>Keywords</w:t>
      </w:r>
      <w:r>
        <w:rPr>
          <w:rFonts w:ascii="Calibri" w:hAnsi="Calibri"/>
          <w:b w:val="0"/>
          <w:i w:val="0"/>
          <w:color w:val="1A1A1A"/>
          <w:sz w:val="22"/>
        </w:rPr>
        <w:t>: Machine Learning, Loan Approval, TabNet Model, Cnn Architecture, Elasticnet Regressor, Feature Engineering, Standard Scaler, Kaggle Dataset, Streamlit Framework, Risk Prediction, Classification Accuracy, Financial Risk</w:t>
      </w:r>
    </w:p>
    <w:p>
      <w:r>
        <w:br w:type="page"/>
      </w:r>
    </w:p>
    <w:p>
      <w:pPr>
        <w:spacing w:before="0" w:after="160" w:line="276" w:lineRule="auto"/>
        <w:pBdr>
          <w:bottom w:val="single" w:sz="10" w:space="1" w:color="1F497D"/>
        </w:pBdr>
      </w:pPr>
      <w:r>
        <w:rPr>
          <w:rFonts w:ascii="Calibri" w:hAnsi="Calibri"/>
          <w:b w:val="0"/>
          <w:i/>
          <w:color w:val="2E74B5"/>
          <w:sz w:val="24"/>
        </w:rPr>
        <w:t>Chapter 1</w:t>
        <w:br/>
      </w:r>
      <w:r>
        <w:rPr>
          <w:rFonts w:ascii="Calibri" w:hAnsi="Calibri"/>
          <w:b/>
          <w:i w:val="0"/>
          <w:color w:val="1F497D"/>
          <w:sz w:val="32"/>
        </w:rPr>
        <w:t>INTRODUCTION</w:t>
      </w:r>
    </w:p>
    <w:p>
      <w:pPr>
        <w:spacing w:before="40" w:after="100" w:line="276" w:lineRule="auto"/>
      </w:pPr>
      <w:r>
        <w:rPr>
          <w:rFonts w:ascii="Calibri" w:hAnsi="Calibri"/>
          <w:b w:val="0"/>
          <w:i w:val="0"/>
          <w:color w:val="1A1A1A"/>
          <w:sz w:val="22"/>
        </w:rPr>
        <w:t>1.1. BACKGROUND</w:t>
      </w:r>
    </w:p>
    <w:p>
      <w:pPr>
        <w:spacing w:before="40" w:after="100" w:line="276" w:lineRule="auto"/>
      </w:pPr>
      <w:r>
        <w:rPr>
          <w:rFonts w:ascii="Calibri" w:hAnsi="Calibri"/>
          <w:b w:val="0"/>
          <w:i w:val="0"/>
          <w:color w:val="1A1A1A"/>
          <w:sz w:val="22"/>
        </w:rPr>
        <w:t>Credit risk assessment in banking remains a fundamental challenge as traditional methods like FICO scores often fail to deliver accurate predictions. For example in the financial sector these scores have shown declining effectiveness with Jagtiani and Lemieux (2019) indicating a drop from 80% correlation with loan grades in 2007 to just 35% by 2014-2015. This trend underscores the growing issue of misjudged risks leading to higher default rates and financial losses for institutions.</w:t>
      </w:r>
    </w:p>
    <w:p>
      <w:pPr>
        <w:spacing w:before="40" w:after="100" w:line="276" w:lineRule="auto"/>
      </w:pPr>
      <w:r>
        <w:rPr>
          <w:rFonts w:ascii="Calibri" w:hAnsi="Calibri"/>
          <w:b w:val="0"/>
          <w:i w:val="0"/>
          <w:color w:val="1A1A1A"/>
          <w:sz w:val="22"/>
        </w:rPr>
        <w:t>Machine learning and deep learning provide promising tools to tackle these shortcomings by enabling more precise data-driven evaluations. Key advancements include ensemble methods that boost prediction accuracy as seen in studies by Dumitrescu et al. (2022) and Bao et al. (2019) which integrate various learning techniques for credit scoring. These developments highlight how such approaches can enhance financial decision-making through better handling of complex data patterns.</w:t>
      </w:r>
    </w:p>
    <w:p>
      <w:pPr>
        <w:spacing w:before="40" w:after="100" w:line="276" w:lineRule="auto"/>
      </w:pPr>
      <w:r>
        <w:rPr>
          <w:rFonts w:ascii="Calibri" w:hAnsi="Calibri"/>
          <w:b w:val="0"/>
          <w:i w:val="0"/>
          <w:color w:val="1A1A1A"/>
          <w:sz w:val="22"/>
        </w:rPr>
        <w:t>At present researching this area is essential due to ongoing gaps in model integration and interpretability as noted by Leo et al. (2019). This work contributes by addressing these issues offering pathways for more unified risk frameworks that support ethical and effective lending practices in an evolving digital landscape. Mhlanga (2021) emphasises the potential for these innovations to reach underbanked groups thus advancing broader financial inclusion.</w:t>
      </w:r>
    </w:p>
    <w:p>
      <w:pPr>
        <w:spacing w:before="40" w:after="100" w:line="276" w:lineRule="auto"/>
      </w:pPr>
      <w:r>
        <w:rPr>
          <w:rFonts w:ascii="Calibri" w:hAnsi="Calibri"/>
          <w:b w:val="0"/>
          <w:i w:val="0"/>
          <w:color w:val="1A1A1A"/>
          <w:sz w:val="22"/>
        </w:rPr>
        <w:t>1.2. PROBLEM STATEMENT</w:t>
      </w:r>
    </w:p>
    <w:p>
      <w:pPr>
        <w:spacing w:before="40" w:after="100" w:line="276" w:lineRule="auto"/>
      </w:pPr>
      <w:r>
        <w:rPr>
          <w:rFonts w:ascii="Calibri" w:hAnsi="Calibri"/>
          <w:b w:val="0"/>
          <w:i w:val="0"/>
          <w:color w:val="1A1A1A"/>
          <w:sz w:val="22"/>
        </w:rPr>
        <w:t>In the evolving field of credit risk assessment and loan approval prediction using machine learning, a critical challenge persists in the fragmented approach to handling regression-based risk scoring and classification-based decision-making as separate tasks, as highlighted by. This division results in models that lack unified outputs, compromising the accuracy and interpretability essential for financial institutions, where inconsistent predictions can lead to heightened regulatory risks and suboptimal lending decisions, ultimately affecting loan accessibility for underbanked populations (Mhlanga, 2021). For instance, traditional methods like ensemble models, such as those employing Random Forest and XGBoost as explored by Jiang et al. (2021), have attempted to enhance predictive performance but fall short in integrating both tasks simultaneously, thereby failing to address imbalanced datasets and ethical biases (Sheikh et al., 2020). Moreover, preprocessing steps, including resampling and feature engineering for financial tabular data-such as constructing composite indicators like debt stress indices-remain underutilized, as noted by Alam et al. (2020), limiting the effectiveness of models like Penalised Logistic Tree Regression in producing transparent, reliable results. This underscores the need for a novel, integrated framework that combines advanced preprocessing with attention-based deep learning architectures to bridge these gaps, ensuring comprehensive, interpretable predictions that align with real-world financial demands and regulatory standards (Leo et al., 2019). Such an approach is vital to resolve the unresolved issues in dual-task modelling, fostering more equitable and efficient credit systems.</w:t>
      </w:r>
    </w:p>
    <w:p>
      <w:pPr>
        <w:spacing w:before="40" w:after="100" w:line="276" w:lineRule="auto"/>
      </w:pPr>
      <w:r>
        <w:rPr>
          <w:rFonts w:ascii="Calibri" w:hAnsi="Calibri"/>
          <w:b w:val="0"/>
          <w:i w:val="0"/>
          <w:color w:val="1A1A1A"/>
          <w:sz w:val="22"/>
        </w:rPr>
        <w:t>1.3. SIGNIFICANCE</w:t>
      </w:r>
    </w:p>
    <w:p>
      <w:pPr>
        <w:spacing w:before="40" w:after="100" w:line="276" w:lineRule="auto"/>
      </w:pPr>
      <w:r>
        <w:rPr>
          <w:rFonts w:ascii="Calibri" w:hAnsi="Calibri"/>
          <w:b w:val="0"/>
          <w:i w:val="0"/>
          <w:color w:val="1A1A1A"/>
          <w:sz w:val="22"/>
        </w:rPr>
        <w:t>The significance of this research study lies in its innovative application of machine learning (ML) and deep learning (DL) techniques to enhance predictive modeling in financial risk assessment, thereby advancing theoretical understanding in the field. By integrating a unified framework that combines regression and classification tasks within a single model architecture, this study addresses longstanding challenges in handling tabular data with improved interpretability and efficiency, as demonstrated in prior works such as Sharif et al. (2020), which highlighted the limitations of traditional ML models in financial contexts. This approach not only refines theoretical models by incorporating domain-specific feature engineering and attention mechanisms but also contributes to academic discourse on ethical AI, emphasizing transparent decision-making processes that can be adapted for various predictive analytics domains. Such advancements foster a deeper comprehension of how DL architectures can mitigate biases and enhance model reliability, ultimately enriching the knowledge base for researchers and students exploring interdisciplinary applications of AI in finance.</w:t>
      </w:r>
    </w:p>
    <w:p>
      <w:pPr>
        <w:spacing w:before="40" w:after="100" w:line="276" w:lineRule="auto"/>
      </w:pPr>
      <w:r>
        <w:rPr>
          <w:rFonts w:ascii="Calibri" w:hAnsi="Calibri"/>
          <w:b w:val="0"/>
          <w:i w:val="0"/>
          <w:color w:val="1A1A1A"/>
          <w:sz w:val="22"/>
        </w:rPr>
        <w:t>On a practical level, this research tackles real-world challenges in the financial sector by streamlining loan approval processes, enabling more accurate risk evaluations that inform policy decisions and institutional practices. ML and DL models, as explored in this study, offer substantial benefits to stakeholders by automating decision pipelines and integrating governance rules, which can reduce operational costs and minimize erroneous approvals in lending institutions. For researchers and students, these methodologies provide valuable tools for developing live applications, such as AI-driven platforms that facilitate real-time risk analysis, thereby equipping them with skills to innovate in data-driven environments. Society at large stands to gain from enhanced financial inclusion, as these technologies promote fairer access to credit for underserved populations, while also supporting regulatory compliance through interpretable outputs that build trust in AI systems.</w:t>
      </w:r>
    </w:p>
    <w:p>
      <w:pPr>
        <w:spacing w:before="40" w:after="100" w:line="276" w:lineRule="auto"/>
      </w:pPr>
      <w:r>
        <w:rPr>
          <w:rFonts w:ascii="Calibri" w:hAnsi="Calibri"/>
          <w:b w:val="0"/>
          <w:i w:val="0"/>
          <w:color w:val="1A1A1A"/>
          <w:sz w:val="22"/>
        </w:rPr>
        <w:t>Moreover, the study's uniqueness stems from its novel synthesis of engineered features, attention-based mechanisms, and human-AI collaboration patterns, which set it apart from conventional approaches by emphasizing both predictive accuracy and ethical considerations, as echoed in. This integration not only advances ML and DL contributions in the finance sector but also extends to broader applications in healthcare, insurance, and policy-making, where interpretable models can drive informed decisions. By demonstrating how these technologies can empower users across sectors-ranging from academic researchers analyzing data patterns to students building prototype applications and society benefiting from safer financial tools-this research paves the way for scalable, impactful innovations that bridge theoretical advancements with practical societal benefits.</w:t>
      </w:r>
    </w:p>
    <w:p>
      <w:pPr>
        <w:spacing w:before="40" w:after="100" w:line="276" w:lineRule="auto"/>
      </w:pPr>
      <w:r>
        <w:rPr>
          <w:rFonts w:ascii="Calibri" w:hAnsi="Calibri"/>
          <w:b w:val="0"/>
          <w:i w:val="0"/>
          <w:color w:val="1A1A1A"/>
          <w:sz w:val="22"/>
        </w:rPr>
        <w:t>1.4. SCOPE AND LIMITATIONS</w:t>
      </w:r>
    </w:p>
    <w:p>
      <w:pPr>
        <w:spacing w:before="40" w:after="100" w:line="276" w:lineRule="auto"/>
      </w:pPr>
      <w:r>
        <w:rPr>
          <w:rFonts w:ascii="Calibri" w:hAnsi="Calibri"/>
          <w:b w:val="0"/>
          <w:i w:val="0"/>
          <w:color w:val="1A1A1A"/>
          <w:sz w:val="22"/>
        </w:rPr>
        <w:t>The scope of this research encompasses the development and evaluation of machine learning frameworks for credit risk assessment and loan approval prediction, utilizing a synthetic financial dataset to analyze patterns in applicant profiles and financial indicators. Specifically, the study focuses on data preprocessing, feature engineering, and predictive modeling to derive insights into loan approval decisions and risk scoring, aiming to address gaps in traditional credit evaluation methods. By exploring these elements, the research seeks to enhance the accuracy and efficiency of automated lending systems, while emphasizing the importance of handling class imbalances and feature interactions in financial data. This approach aligns with broader efforts in the field, as highlighted by, who underscores the role of machine learning in reducing information asymmetry in credit risk management.</w:t>
      </w:r>
    </w:p>
    <w:p>
      <w:pPr>
        <w:spacing w:before="40" w:after="100" w:line="276" w:lineRule="auto"/>
      </w:pPr>
      <w:r>
        <w:rPr>
          <w:rFonts w:ascii="Calibri" w:hAnsi="Calibri"/>
          <w:b w:val="0"/>
          <w:i w:val="0"/>
          <w:color w:val="1A1A1A"/>
          <w:sz w:val="22"/>
        </w:rPr>
        <w:t>Despite these ambitions, the research is subject to several limitations that impact its applicability and reliability. Data-related constraints arise from the use of synthetic datasets, which may not fully replicate real-world variability, potentially leading to inaccuracies in model generalization and overlooking external factors like economic fluctuations. Trust issues stem from inherent challenges in machine learning, such as algorithmic biases and reduced interpretability, which can undermine confidence in predictions and exacerbate ethical concerns in financial decision-making. Furthermore, general accuracy limitations in predictive models, including sensitivity to noisy data and class imbalances, hinder robust performance across diverse scenarios. Market limitations, including regulatory hurdles and the volatile nature of financial markets, restrict the direct translation of findings to practical implementations, as noted by, who point out persistent gaps in ML adoption due to compliance and reliability factors.</w:t>
      </w:r>
    </w:p>
    <w:p>
      <w:pPr>
        <w:spacing w:before="40" w:after="100" w:line="276" w:lineRule="auto"/>
      </w:pPr>
      <w:r>
        <w:rPr>
          <w:rFonts w:ascii="Calibri" w:hAnsi="Calibri"/>
          <w:b w:val="0"/>
          <w:i w:val="0"/>
          <w:color w:val="1A1A1A"/>
          <w:sz w:val="22"/>
        </w:rPr>
        <w:t>In addressing these limitations, it is the author's opinion that incorporating robust validation techniques, such as cross-dataset testing, could improve data representativeness and mitigate biases, drawing from. Additionally, enhancing model transparency through simplified architectures or post-hoc explanation methods might bolster trust and accuracy in general applications, as suggested by, without altering the core methodology. These strategies, while not exhaustive, offer pathways to strengthen the research's outcomes in a broader context.</w:t>
      </w:r>
    </w:p>
    <w:p>
      <w:pPr>
        <w:spacing w:before="40" w:after="100" w:line="276" w:lineRule="auto"/>
      </w:pPr>
      <w:r>
        <w:rPr>
          <w:rFonts w:ascii="Calibri" w:hAnsi="Calibri"/>
          <w:b w:val="0"/>
          <w:i w:val="0"/>
          <w:color w:val="1A1A1A"/>
          <w:sz w:val="22"/>
        </w:rPr>
        <w:t>1.5. STRUCTURE OF THE REPORT</w:t>
      </w:r>
    </w:p>
    <w:p>
      <w:pPr>
        <w:spacing w:before="40" w:after="100" w:line="276" w:lineRule="auto"/>
      </w:pPr>
      <w:r>
        <w:rPr>
          <w:rFonts w:ascii="Calibri" w:hAnsi="Calibri"/>
          <w:b w:val="0"/>
          <w:i w:val="0"/>
          <w:color w:val="1A1A1A"/>
          <w:sz w:val="22"/>
        </w:rPr>
        <w:t>This report is organized into six chapters that systematically guide the reader through the research process, from conceptualization to conclusion. Chapter One: Introduction presents the research topic, defines the problem, outlines the objectives, and highlights the study's significance to establish a clear foundation. Chapter Two: Literature Review critically examines existing studies in the field, synthesizing key findings and identifying important research gaps that this work addresses. Chapter Three: Methodology details the research design, describes the dataset utilized, and explains the methods employed for data collection, analysis, and validation. Chapter Four: Implementation covers the practical execution of the experimental pipeline, including the development and deployment of the models. Chapter Five: Results and Discussion presents the empirical findings, interprets the outcomes in context, and evaluates the performance of the models to draw meaningful insights. Finally, Chapter Six: Conclusion and Future Work summarizes the key contributions of the research, reflects on its implications, and suggests potential directions for future investigations, ensuring a comprehensive closure to the document.</w:t>
      </w:r>
    </w:p>
    <w:p>
      <w:r>
        <w:br w:type="page"/>
      </w:r>
    </w:p>
    <w:p>
      <w:pPr>
        <w:spacing w:before="0" w:after="160" w:line="276" w:lineRule="auto"/>
        <w:pBdr>
          <w:bottom w:val="single" w:sz="10" w:space="1" w:color="1F497D"/>
        </w:pBdr>
      </w:pPr>
      <w:r>
        <w:rPr>
          <w:rFonts w:ascii="Calibri" w:hAnsi="Calibri"/>
          <w:b w:val="0"/>
          <w:i/>
          <w:color w:val="2E74B5"/>
          <w:sz w:val="24"/>
        </w:rPr>
        <w:t>Chapter 2</w:t>
        <w:br/>
      </w:r>
      <w:r>
        <w:rPr>
          <w:rFonts w:ascii="Calibri" w:hAnsi="Calibri"/>
          <w:b/>
          <w:i w:val="0"/>
          <w:color w:val="1F497D"/>
          <w:sz w:val="32"/>
        </w:rPr>
        <w:t>LITERATURE REVIEW</w:t>
      </w:r>
    </w:p>
    <w:p>
      <w:pPr>
        <w:spacing w:before="40" w:after="100" w:line="276" w:lineRule="auto"/>
      </w:pPr>
      <w:r>
        <w:rPr>
          <w:rFonts w:ascii="Calibri" w:hAnsi="Calibri"/>
          <w:b w:val="0"/>
          <w:i w:val="0"/>
          <w:color w:val="1A1A1A"/>
          <w:sz w:val="22"/>
        </w:rPr>
        <w:t>The issue of credit risk in loan approval is critical for financial institutions aiming to minimize potential losses. D highlights the challenges faced by underbanked individuals who often lack traditional forms of collateral or identification necessary for loan approval. The study identifies how machine learning and artificial intelligence can mitigate these challenges by utilising alternative data sources, allowing lenders to conduct thorough credit risk assessments. This integration aims to address information asymmetry and reduce adverse selection.</w:t>
      </w:r>
    </w:p>
    <w:p>
      <w:pPr>
        <w:spacing w:before="40" w:after="100" w:line="276" w:lineRule="auto"/>
      </w:pPr>
      <w:r>
        <w:rPr>
          <w:rFonts w:ascii="Calibri" w:hAnsi="Calibri"/>
          <w:b w:val="0"/>
          <w:i w:val="0"/>
          <w:color w:val="1A1A1A"/>
          <w:sz w:val="22"/>
        </w:rPr>
        <w:t>Recent literature sheds light on the increasing relevance of machine learning techniques in banking risk management, specifically in loan approval contexts. M point out that despite the extensive research in the application of machine learning, the traditional methods for assessing credit risk may not suffice in the face of emerging challenges. The review indicates that while significant strides have been made in utilising machine learning for credit scoring, there remains a scarcity of in-depth exploration of certain banking risks that could benefit from machine learning insights. The analysis encourages further research in areas that have been overlooked, thereby pushing the boundaries of existing banking practices.</w:t>
      </w:r>
    </w:p>
    <w:p>
      <w:pPr>
        <w:spacing w:before="40" w:after="100" w:line="276" w:lineRule="auto"/>
      </w:pPr>
      <w:r>
        <w:rPr>
          <w:rFonts w:ascii="Calibri" w:hAnsi="Calibri"/>
          <w:b w:val="0"/>
          <w:i w:val="0"/>
          <w:color w:val="1A1A1A"/>
          <w:sz w:val="22"/>
        </w:rPr>
        <w:t>Integration of unsupervised learning with supervised learning strategies is a growing area of interest that could reshape credit risk assessment methodologies in the financial sector. In the work of W, the authors propose combining these two learning paradigms in distinct stages to improve the effectiveness of credit scoring models. Their findings indicate that both the consensus stage and dataset clustering contribute positively to enhancing model performance.</w:t>
      </w:r>
    </w:p>
    <w:p>
      <w:pPr>
        <w:spacing w:before="160" w:after="40" w:line="276" w:lineRule="auto"/>
        <w:ind w:left="240"/>
      </w:pPr>
      <w:r>
        <w:rPr>
          <w:rFonts w:ascii="Calibri" w:hAnsi="Calibri"/>
          <w:b/>
          <w:i/>
          <w:color w:val="404040"/>
          <w:sz w:val="22"/>
        </w:rPr>
        <w:t>Role of Machine Learning in Loan Approval</w:t>
      </w:r>
    </w:p>
    <w:p>
      <w:pPr>
        <w:spacing w:before="40" w:after="100" w:line="276" w:lineRule="auto"/>
      </w:pPr>
      <w:r>
        <w:rPr>
          <w:rFonts w:ascii="Calibri" w:hAnsi="Calibri"/>
          <w:b w:val="0"/>
          <w:i w:val="0"/>
          <w:color w:val="1A1A1A"/>
          <w:sz w:val="22"/>
        </w:rPr>
        <w:t>Machine learning is showing significant promise in transforming loan approval processes by enhancing credit risk assessments. Research indicates that traditional credit scoring reliant on FICO scores can be ineffective, particularly for loans in recent years. Jagtiani and highlight a stark decline in the correlation between the LendingClub rating grades and FICO scores, dropping from approximately 80% in 2007 to around 35% in 2014 and 2015. This shift suggests that as alternative data sources gain traction among fintech lenders, these nontraditional metrics could provide more accurate assessments of borrower risk.</w:t>
      </w:r>
    </w:p>
    <w:p>
      <w:pPr>
        <w:spacing w:before="40" w:after="100" w:line="276" w:lineRule="auto"/>
      </w:pPr>
      <w:r>
        <w:rPr>
          <w:rFonts w:ascii="Calibri" w:hAnsi="Calibri"/>
          <w:b w:val="0"/>
          <w:i w:val="0"/>
          <w:color w:val="1A1A1A"/>
          <w:sz w:val="22"/>
        </w:rPr>
        <w:t>Further evidence from supports the argument that machine learning applications play an essential role in addressing credit risk assessment, especially in emerging markets where conventional criteria can inadvertently exclude underbanked individuals. The utilisation of machine learning and artificial intelligence offers clear advantages in utilising alternative data sources. By mitigating issues like information asymmetry and adverse selection, banks can improve their risk assessment methodologies. This access to credit not only empowers financially excluded households but also enhances lenders' ability to analyse customer behaviour patterns effectively.</w:t>
      </w:r>
    </w:p>
    <w:p>
      <w:pPr>
        <w:spacing w:before="40" w:after="100" w:line="276" w:lineRule="auto"/>
      </w:pPr>
      <w:r>
        <w:rPr>
          <w:rFonts w:ascii="Calibri" w:hAnsi="Calibri"/>
          <w:b w:val="0"/>
          <w:i w:val="0"/>
          <w:color w:val="1A1A1A"/>
          <w:sz w:val="22"/>
        </w:rPr>
        <w:t>The financial services sector is increasingly recognising the importance of machine learning techniques for enhancing credit scoring models. addressed that ensemble methods, particularly random forests, outperform traditional logistic regression models in classification tasks. However, they also note the limitations of these methods in terms of interpretability that remains vital for regulatory compliance. Their proposal of penalised logistic tree regression (PLTR) that combines the strengths of decision trees and logistic regression, stands out as a significant advancement. This balance of accuracy and interpretability is critical in ensuring that machine learning tools lead to effective and compliant credit assessments.</w:t>
      </w:r>
    </w:p>
    <w:p>
      <w:pPr>
        <w:spacing w:before="40" w:after="100" w:line="276" w:lineRule="auto"/>
      </w:pPr>
      <w:r>
        <w:rPr>
          <w:rFonts w:ascii="Calibri" w:hAnsi="Calibri"/>
          <w:b w:val="0"/>
          <w:i w:val="0"/>
          <w:color w:val="1A1A1A"/>
          <w:sz w:val="22"/>
        </w:rPr>
        <w:t>Implications of Imbalanced Data on Loan Approval Decisions</w:t>
      </w:r>
    </w:p>
    <w:p>
      <w:pPr>
        <w:spacing w:before="40" w:after="100" w:line="276" w:lineRule="auto"/>
      </w:pPr>
      <w:r>
        <w:rPr>
          <w:rFonts w:ascii="Calibri" w:hAnsi="Calibri"/>
          <w:b w:val="0"/>
          <w:i w:val="0"/>
          <w:color w:val="1A1A1A"/>
          <w:sz w:val="22"/>
        </w:rPr>
        <w:t>Imbalanced data significantly influences loan approval decisions by impacting the performance of credit risk prediction models. Research by Namvar et al. (2018) highlights that class imbalance is particularly detrimental in peer-to-peer lending, where standard models often neglect the complexities associated with imbalanced datasets. The study conducted an empirical comparison of classifiers and resampling techniques, revealing that the G-mean measure proved more effective than traditional metrics. By focusing on combinations of random forest with random under-sampling, they showed a marked improvement in predicting loan repayment likelihood. This underlines the critical role of appropriate resampling techniques in achieving reliable financial assessments.</w:t>
      </w:r>
    </w:p>
    <w:p>
      <w:pPr>
        <w:spacing w:before="40" w:after="100" w:line="276" w:lineRule="auto"/>
      </w:pPr>
      <w:r>
        <w:rPr>
          <w:rFonts w:ascii="Calibri" w:hAnsi="Calibri"/>
          <w:b w:val="0"/>
          <w:i w:val="0"/>
          <w:color w:val="1A1A1A"/>
          <w:sz w:val="22"/>
        </w:rPr>
        <w:t>Evidence from supports the assertion that accurately predicting credit default is inherently tied to addressing the challenges of imbalanced data. Their study utilised Min-Max normalisation alongside resampling methods to improve performance across various classification models. Different datasets revealed accuracy improvements, particularly with the proposed methodologies. The use of one-way Analysis of Variance offered a significant insight into whether different machine learning techniques and resampling strategies led to varying results.</w:t>
      </w:r>
    </w:p>
    <w:p>
      <w:pPr>
        <w:spacing w:before="40" w:after="100" w:line="276" w:lineRule="auto"/>
      </w:pPr>
      <w:r>
        <w:rPr>
          <w:rFonts w:ascii="Calibri" w:hAnsi="Calibri"/>
          <w:b w:val="0"/>
          <w:i w:val="0"/>
          <w:color w:val="1A1A1A"/>
          <w:sz w:val="22"/>
        </w:rPr>
        <w:t>The implications of these findings lead to a clear understanding that imbalanced data dramatically affects loan approval outcomes. Sheikh et al. (2020) puts focus on the importance of incorporating a wider array of attributes, such as the borrower's demographics, into the prediction model that can improve the accuracy of risk assessment. The logistic regression model used in their study showed varying performance based on the range of variables analysed. This suggests that relying solely on financial status without accounting for other factors may skew assessments and lead to profit losses for banks.</w:t>
      </w:r>
    </w:p>
    <w:p>
      <w:pPr>
        <w:spacing w:before="160" w:after="40" w:line="276" w:lineRule="auto"/>
        <w:ind w:left="240"/>
      </w:pPr>
      <w:r>
        <w:rPr>
          <w:rFonts w:ascii="Calibri" w:hAnsi="Calibri"/>
          <w:b/>
          <w:i/>
          <w:color w:val="404040"/>
          <w:sz w:val="22"/>
        </w:rPr>
        <w:t>Comparative Analysis of Model Performance for Loan Approval</w:t>
      </w:r>
    </w:p>
    <w:p>
      <w:pPr>
        <w:spacing w:before="160" w:after="40" w:line="276" w:lineRule="auto"/>
        <w:ind w:left="240"/>
      </w:pPr>
      <w:r>
        <w:rPr>
          <w:rFonts w:ascii="Calibri" w:hAnsi="Calibri"/>
          <w:b/>
          <w:i/>
          <w:color w:val="404040"/>
          <w:sz w:val="22"/>
        </w:rPr>
        <w:t>Ensemble Learning</w:t>
      </w:r>
    </w:p>
    <w:p>
      <w:pPr>
        <w:spacing w:before="40" w:after="100" w:line="276" w:lineRule="auto"/>
      </w:pPr>
      <w:r>
        <w:rPr>
          <w:rFonts w:ascii="Calibri" w:hAnsi="Calibri"/>
          <w:b/>
          <w:i w:val="0"/>
          <w:color w:val="1A1A1A"/>
          <w:sz w:val="22"/>
        </w:rPr>
        <w:t>Key point</w:t>
      </w:r>
      <w:r>
        <w:rPr>
          <w:rFonts w:ascii="Calibri" w:hAnsi="Calibri"/>
          <w:b w:val="0"/>
          <w:i w:val="0"/>
          <w:color w:val="1A1A1A"/>
          <w:sz w:val="22"/>
        </w:rPr>
        <w:t>: The use of ensemble learning for credit risk assessment can significantly enhance prediction accuracy, as shown in the work of M Papouskova and P Hajek (2019). Their proposed two-stage credit risk model integrates class-imbalanced ensemble learning to predict the probability of default (PD) and uses regression ensemble methods for predicting exposure at default (EAD). The importance of advanced modelling techniques in credit risk cannot be overstated, as it aims to improve both predictive accuracy and economic performance compared to simpler models.</w:t>
      </w:r>
    </w:p>
    <w:p>
      <w:pPr>
        <w:spacing w:before="40" w:after="100" w:line="276" w:lineRule="auto"/>
      </w:pPr>
      <w:r>
        <w:rPr>
          <w:rFonts w:ascii="Calibri" w:hAnsi="Calibri"/>
          <w:b/>
          <w:i w:val="0"/>
          <w:color w:val="1A1A1A"/>
          <w:sz w:val="22"/>
        </w:rPr>
        <w:t>Analysis by the student</w:t>
      </w:r>
      <w:r>
        <w:rPr>
          <w:rFonts w:ascii="Calibri" w:hAnsi="Calibri"/>
          <w:b w:val="0"/>
          <w:i w:val="0"/>
          <w:color w:val="1A1A1A"/>
          <w:sz w:val="22"/>
        </w:rPr>
        <w:t>: The implications of this ensemble approach suggest a paradigm shift in credit risk modelling for loan approvals. By using ensemble methods, lenders can achieve a finer analysis of various risk factors associated with loans. This aligns well with the traditional challenges observed in estimating PD, LGD, and EAD separately. The proposed methodology not only enhances prediction accuracy but also provides a clearer understanding of borrower risk profiles, essential for financial institutions aiming to minimize risk.</w:t>
      </w:r>
    </w:p>
    <w:p>
      <w:pPr>
        <w:spacing w:before="40" w:after="100" w:line="276" w:lineRule="auto"/>
      </w:pPr>
      <w:r>
        <w:rPr>
          <w:rFonts w:ascii="Calibri" w:hAnsi="Calibri"/>
          <w:b/>
          <w:i w:val="0"/>
          <w:color w:val="1A1A1A"/>
          <w:sz w:val="22"/>
        </w:rPr>
        <w:t>Concluding statement</w:t>
      </w:r>
      <w:r>
        <w:rPr>
          <w:rFonts w:ascii="Calibri" w:hAnsi="Calibri"/>
          <w:b w:val="0"/>
          <w:i w:val="0"/>
          <w:color w:val="1A1A1A"/>
          <w:sz w:val="22"/>
        </w:rPr>
        <w:t>: Therefore, the adoption of ensemble learning methods could yield significant benefits for financial decision-making, particularly within risk assessment, reinforcing the need to continuously explore innovative modelling strategies.</w:t>
      </w:r>
    </w:p>
    <w:p>
      <w:pPr>
        <w:spacing w:before="160" w:after="40" w:line="276" w:lineRule="auto"/>
        <w:ind w:left="240"/>
      </w:pPr>
      <w:r>
        <w:rPr>
          <w:rFonts w:ascii="Calibri" w:hAnsi="Calibri"/>
          <w:b/>
          <w:i/>
          <w:color w:val="404040"/>
          <w:sz w:val="22"/>
        </w:rPr>
        <w:t>Comparative Evaluation</w:t>
      </w:r>
    </w:p>
    <w:p>
      <w:pPr>
        <w:spacing w:before="40" w:after="100" w:line="276" w:lineRule="auto"/>
      </w:pPr>
      <w:r>
        <w:rPr>
          <w:rFonts w:ascii="Calibri" w:hAnsi="Calibri"/>
          <w:b/>
          <w:i w:val="0"/>
          <w:color w:val="1A1A1A"/>
          <w:sz w:val="22"/>
        </w:rPr>
        <w:t>Key point</w:t>
      </w:r>
      <w:r>
        <w:rPr>
          <w:rFonts w:ascii="Calibri" w:hAnsi="Calibri"/>
          <w:b w:val="0"/>
          <w:i w:val="0"/>
          <w:color w:val="1A1A1A"/>
          <w:sz w:val="22"/>
        </w:rPr>
        <w:t>: The comparative evaluation of machine learning techniques showcases varying predictive capabilities for loan approval analysis. D found that machine learning models such as support vector machines, random forest, and XGBoost have diverse strengths. Specifically, the study asserts that SVM delivers superior performance in regression tasks while XGBoost and RF are efficient and effective for classification tasks. This indicates that specific machine learning techniques can be aligned with the desired outcomes of financial data analysis.</w:t>
      </w:r>
    </w:p>
    <w:p>
      <w:pPr>
        <w:spacing w:before="40" w:after="100" w:line="276" w:lineRule="auto"/>
      </w:pPr>
      <w:r>
        <w:rPr>
          <w:rFonts w:ascii="Calibri" w:hAnsi="Calibri"/>
          <w:b/>
          <w:i w:val="0"/>
          <w:color w:val="1A1A1A"/>
          <w:sz w:val="22"/>
        </w:rPr>
        <w:t>Analysis by the student</w:t>
      </w:r>
      <w:r>
        <w:rPr>
          <w:rFonts w:ascii="Calibri" w:hAnsi="Calibri"/>
          <w:b w:val="0"/>
          <w:i w:val="0"/>
          <w:color w:val="1A1A1A"/>
          <w:sz w:val="22"/>
        </w:rPr>
        <w:t>: This analysis is integral to shaping effective loan approval models. using specific algorithms tailored to the type of prediction required will optimize performance outcomes. Especially in financial contexts where rapid decision-making is critical, understanding the computational efficiency of models like XGBoost can substantially reduce the time taken for predictions, crucial for approval processes.</w:t>
      </w:r>
    </w:p>
    <w:p>
      <w:pPr>
        <w:spacing w:before="40" w:after="100" w:line="276" w:lineRule="auto"/>
      </w:pPr>
      <w:r>
        <w:rPr>
          <w:rFonts w:ascii="Calibri" w:hAnsi="Calibri"/>
          <w:b/>
          <w:i w:val="0"/>
          <w:color w:val="1A1A1A"/>
          <w:sz w:val="22"/>
        </w:rPr>
        <w:t>Concluding statement</w:t>
      </w:r>
      <w:r>
        <w:rPr>
          <w:rFonts w:ascii="Calibri" w:hAnsi="Calibri"/>
          <w:b w:val="0"/>
          <w:i w:val="0"/>
          <w:color w:val="1A1A1A"/>
          <w:sz w:val="22"/>
        </w:rPr>
        <w:t>: In conclusion, the recognition of varied machine learning model capabilities underlines the importance of tailored approaches in the context of loan approvals. Such comparative analyses provide valuable frameworks for optimising financial risk assessments and underline the significance of model selection informed by specific data characteristics.</w:t>
      </w:r>
    </w:p>
    <w:p>
      <w:pPr>
        <w:spacing w:before="160" w:after="40" w:line="276" w:lineRule="auto"/>
        <w:ind w:left="240"/>
      </w:pPr>
      <w:r>
        <w:rPr>
          <w:rFonts w:ascii="Calibri" w:hAnsi="Calibri"/>
          <w:b/>
          <w:i/>
          <w:color w:val="404040"/>
          <w:sz w:val="22"/>
        </w:rPr>
        <w:t>Ethical Considerations in Loan Approval Models</w:t>
      </w:r>
    </w:p>
    <w:p>
      <w:pPr>
        <w:spacing w:before="40" w:after="100" w:line="276" w:lineRule="auto"/>
      </w:pPr>
      <w:r>
        <w:rPr>
          <w:rFonts w:ascii="Calibri" w:hAnsi="Calibri"/>
          <w:b w:val="0"/>
          <w:i w:val="0"/>
          <w:color w:val="1A1A1A"/>
          <w:sz w:val="22"/>
        </w:rPr>
        <w:t>One crucial aspect of ethical considerations in machine learning models is the potential for bias in financial risk assessments. Raji et al. (2020) explore how algorithms can inadvertently privilege certain groups while penalising others, especially in sensitive applications like loan approvals. They puts focus on the impact of biased data on machine learning outputs that can exacerbate existing inequalities. Recognising the ethical dimensions involved may lead to more equitable loan approval processes that consider the needs and circumstances of all applicants.</w:t>
      </w:r>
    </w:p>
    <w:p>
      <w:pPr>
        <w:spacing w:before="40" w:after="100" w:line="276" w:lineRule="auto"/>
      </w:pPr>
      <w:r>
        <w:rPr>
          <w:rFonts w:ascii="Calibri" w:hAnsi="Calibri"/>
          <w:b w:val="0"/>
          <w:i w:val="0"/>
          <w:color w:val="1A1A1A"/>
          <w:sz w:val="22"/>
        </w:rPr>
        <w:t>The design of the systems used for analysing financial data must account for the ethical dilemmas posed by biased outputs. Kasneci et al. (2023) suggest that training algorithms on imbalanced datasets can lead to skewed risk assessments that may disproportionately affect marginalised populations. This underscores the need for a methodological framework that prioritises fairness and equity in the training of models.</w:t>
      </w:r>
    </w:p>
    <w:p>
      <w:pPr>
        <w:spacing w:before="40" w:after="100" w:line="276" w:lineRule="auto"/>
      </w:pPr>
      <w:r>
        <w:rPr>
          <w:rFonts w:ascii="Calibri" w:hAnsi="Calibri"/>
          <w:b w:val="0"/>
          <w:i w:val="0"/>
          <w:color w:val="1A1A1A"/>
          <w:sz w:val="22"/>
        </w:rPr>
        <w:t>Trust in machine learning models is also a significant ethical consideration, particularly in user acceptance of automated systems. Baiano (2020) discusses how consumer trust varies based on individual characteristics, pointing out that ethical implications strongly influence users’ willingness to accept algorithms in decision-making processes. In the context of loan approvals, this suggests that models should be transparent and explainable.</w:t>
      </w:r>
    </w:p>
    <w:p>
      <w:pPr>
        <w:spacing w:before="40" w:after="100" w:line="276" w:lineRule="auto"/>
      </w:pPr>
      <w:r>
        <w:rPr>
          <w:rFonts w:ascii="Calibri" w:hAnsi="Calibri"/>
          <w:b w:val="0"/>
          <w:i w:val="0"/>
          <w:color w:val="1A1A1A"/>
          <w:sz w:val="22"/>
        </w:rPr>
        <w:t>Regulatory Framework for Loan Approval Using Machine Learning</w:t>
      </w:r>
    </w:p>
    <w:p>
      <w:pPr>
        <w:spacing w:before="40" w:after="100" w:line="276" w:lineRule="auto"/>
      </w:pPr>
      <w:r>
        <w:rPr>
          <w:rFonts w:ascii="Calibri" w:hAnsi="Calibri"/>
          <w:b w:val="0"/>
          <w:i w:val="0"/>
          <w:color w:val="1A1A1A"/>
          <w:sz w:val="22"/>
        </w:rPr>
        <w:t>The use of machine learning (ML) in the assessment of credit risk and loan approvals showed the need for a strong regulatory framework to ensure ethical and effective outcomes. Research shows that while ML can enhance credit scoring and fraud detection, it is essential for financial institutions to understand the influence of data quality and algorithms involved in credit risk evaluation. Bhatore et al. (2020) highlight the importance of credit scoring systems and continuous monitoring to mitigate non-performing assets (NPAs). They conducted a systematic literature review of 136 studies, revealing that ensemble methods and hybrid models, particularly those incorporating neural networks and support vector machines, have garnered significant attention for improving credit risk predictions.</w:t>
      </w:r>
    </w:p>
    <w:p>
      <w:pPr>
        <w:spacing w:before="40" w:after="100" w:line="276" w:lineRule="auto"/>
      </w:pPr>
      <w:r>
        <w:rPr>
          <w:rFonts w:ascii="Calibri" w:hAnsi="Calibri"/>
          <w:b w:val="0"/>
          <w:i w:val="0"/>
          <w:color w:val="1A1A1A"/>
          <w:sz w:val="22"/>
        </w:rPr>
        <w:t>Upon reviewing these findings, it becomes evident that banks and financial institutions face a dual challenge: they must use advanced ML methodologies while ensuring compliance with ethical standards. puts focus on the fact that there remains a gap between the current capabilities of ML in risk management and the failures to fully implement these tools in practice. This disconnect raises concerns about the adequacy of current regulations in guiding ML applications in financial risk assessment. The authors note that various risks-including credit, market, and operational risks-can be better addressed through machine learning.</w:t>
      </w:r>
    </w:p>
    <w:p>
      <w:pPr>
        <w:spacing w:before="40" w:after="100" w:line="276" w:lineRule="auto"/>
      </w:pPr>
      <w:r>
        <w:rPr>
          <w:rFonts w:ascii="Calibri" w:hAnsi="Calibri"/>
          <w:b w:val="0"/>
          <w:i w:val="0"/>
          <w:color w:val="1A1A1A"/>
          <w:sz w:val="22"/>
        </w:rPr>
        <w:t>In addressing these challenges, stakeholder collaboration is essential for refining the regulatory framework surrounding ML in lending practices. discusses how underbanked populations lack traditional identification methods, thus complicating their access to loans. The study advocates for using alternative data sources, a move that can potentially bridge the information asymmetry gap, but also warns of the risks associated with such practices. The insights provided suggest that while ML can improve credit evaluations, regulatory bodies must ensure that institutions do not misuse alternative data sources that could worsen disparities rather than resolve them.</w:t>
      </w:r>
    </w:p>
    <w:p>
      <w:pPr>
        <w:spacing w:before="160" w:after="40" w:line="276" w:lineRule="auto"/>
        <w:ind w:left="240"/>
      </w:pPr>
      <w:r>
        <w:rPr>
          <w:rFonts w:ascii="Calibri" w:hAnsi="Calibri"/>
          <w:b/>
          <w:i/>
          <w:color w:val="404040"/>
          <w:sz w:val="22"/>
        </w:rPr>
        <w:t>Future Directions for Loan Approval in Machine Learning</w:t>
      </w:r>
    </w:p>
    <w:p>
      <w:pPr>
        <w:spacing w:before="40" w:after="100" w:line="276" w:lineRule="auto"/>
      </w:pPr>
      <w:r>
        <w:rPr>
          <w:rFonts w:ascii="Calibri" w:hAnsi="Calibri"/>
          <w:b w:val="0"/>
          <w:i w:val="0"/>
          <w:color w:val="1A1A1A"/>
          <w:sz w:val="22"/>
        </w:rPr>
        <w:t>One significant aspect of enhancing loan approval processes using machine learning involves the integration of ensemble and hybrid models. According to, these models that combine different machine learning techniques, particularly neural networks and support vector machines, show improved performance in predicting credit risk. The current trends highlight that such models can not only improve accuracy but also help in minimising non-performing assets. It is essential for financial institutions to adopt these advanced methodologies to reduce the risk associated with lending decisions.</w:t>
      </w:r>
    </w:p>
    <w:p>
      <w:pPr>
        <w:spacing w:before="40" w:after="100" w:line="276" w:lineRule="auto"/>
      </w:pPr>
      <w:r>
        <w:rPr>
          <w:rFonts w:ascii="Calibri" w:hAnsi="Calibri"/>
          <w:b w:val="0"/>
          <w:i w:val="0"/>
          <w:color w:val="1A1A1A"/>
          <w:sz w:val="22"/>
        </w:rPr>
        <w:t>Research indicates that the quality and availability of data play a crucial role in the effectiveness of machine learning models in the context of loan approval. Taye (2023) focuses on the remarkable ability of deep learning to process large volumes of data efficiently. This is particularly important for creating reliable credit scoring systems. The investigation into various data sources, and the exploration of their potential implications, can enhance the ability of models to discern patterns indicative of credit behaviour. The focus on obtaining high-quality datasets, as identified by, adds an additional layer of complexity and necessity. Institutions looking to develop strong machine learning approaches must ensure that they have access to comprehensive datasets that accurately reflect borrower behaviour and risk factors.</w:t>
      </w:r>
    </w:p>
    <w:p>
      <w:pPr>
        <w:spacing w:before="40" w:after="100" w:line="276" w:lineRule="auto"/>
      </w:pPr>
      <w:r>
        <w:rPr>
          <w:rFonts w:ascii="Calibri" w:hAnsi="Calibri"/>
          <w:b w:val="0"/>
          <w:i w:val="0"/>
          <w:color w:val="1A1A1A"/>
          <w:sz w:val="22"/>
        </w:rPr>
        <w:t>Another future direction for research in machine learning and loan approval involves the evaluation of various data modalities for credit risk assessment. Javeed et al. (2023) provide insights into the significance of using diverse types of data, such as transactional history, customer demographics, and even social media activity, to inform credit decisions. The exploration of multiple data modalities may facilitate a more holistic understanding of borrower profiles, ultimately leading to better decision-making processes. This multifaceted approach could counterbalance the limitations of relying solely on traditional credit scoring methods that often fail to capture a complete picture of borrower risk.</w:t>
      </w:r>
    </w:p>
    <w:p>
      <w:r>
        <w:br w:type="page"/>
      </w:r>
    </w:p>
    <w:p>
      <w:pPr>
        <w:spacing w:before="0" w:after="160" w:line="276" w:lineRule="auto"/>
        <w:pBdr>
          <w:bottom w:val="single" w:sz="10" w:space="1" w:color="1F497D"/>
        </w:pBdr>
      </w:pPr>
      <w:r>
        <w:rPr>
          <w:rFonts w:ascii="Calibri" w:hAnsi="Calibri"/>
          <w:b w:val="0"/>
          <w:i/>
          <w:color w:val="2E74B5"/>
          <w:sz w:val="24"/>
        </w:rPr>
        <w:t>Chapter 3</w:t>
        <w:br/>
      </w:r>
      <w:r>
        <w:rPr>
          <w:rFonts w:ascii="Calibri" w:hAnsi="Calibri"/>
          <w:b/>
          <w:i w:val="0"/>
          <w:color w:val="1F497D"/>
          <w:sz w:val="32"/>
        </w:rPr>
        <w:t>METHODOLOGY</w:t>
      </w:r>
    </w:p>
    <w:p>
      <w:pPr>
        <w:spacing w:before="40" w:after="100" w:line="276" w:lineRule="auto"/>
      </w:pPr>
      <w:r>
        <w:rPr>
          <w:rFonts w:ascii="Calibri" w:hAnsi="Calibri"/>
          <w:b/>
          <w:i w:val="0"/>
          <w:color w:val="1A1A1A"/>
          <w:sz w:val="22"/>
        </w:rPr>
        <w:t>1 Research Design</w:t>
      </w:r>
      <w:r>
        <w:rPr>
          <w:rFonts w:ascii="Calibri" w:hAnsi="Calibri"/>
          <w:b w:val="0"/>
          <w:i w:val="0"/>
          <w:color w:val="1A1A1A"/>
          <w:sz w:val="22"/>
        </w:rPr>
        <w:t>: Financial Risk Prediction Pipeline</w:t>
      </w:r>
    </w:p>
    <w:p>
      <w:pPr>
        <w:spacing w:before="40" w:after="100" w:line="276" w:lineRule="auto"/>
      </w:pPr>
      <w:r>
        <w:rPr>
          <w:rFonts w:ascii="Calibri" w:hAnsi="Calibri"/>
          <w:b w:val="0"/>
          <w:i w:val="0"/>
          <w:color w:val="1A1A1A"/>
          <w:sz w:val="22"/>
        </w:rPr>
        <w:t>The research design for financial risk prediction in loan approval begins with a literature survey on machine learning techniques for credit scoring, followed by data collection from a synthetic dataset. The pipeline includes dataset exploration to understand data characteristics, preprocessing steps such as encoding categorical variables and feature selection to identify key predictors. Subsequent stages involve feature engineering to create new variables, scaling of features and train-test splitting to prepare data for modelling. Three regression models are then built and evaluated for predicting continuous risk scores with subsequent classification conversion. The process extends to integrating a large language model for decision explanation and deploying a web application for real-time predictions.</w:t>
      </w:r>
    </w:p>
    <w:p>
      <w:pPr>
        <w:spacing w:before="40" w:after="100" w:line="276" w:lineRule="auto"/>
      </w:pPr>
      <w:r>
        <w:rPr>
          <w:rFonts w:ascii="Calibri" w:hAnsi="Calibri"/>
          <w:b w:val="0"/>
          <w:i w:val="0"/>
          <w:color w:val="1A1A1A"/>
          <w:sz w:val="22"/>
        </w:rPr>
        <w:t>This design ensures a comprehensive approach from data handling to deployment, incorporating domain-specific adaptations like threshold-based classification and business rule application. Model comparison aids in selecting effective architectures while the web app provides user interaction for input features, risk scoring and automated reports via an API call, enhancing practical utility in financial decision-making.</w:t>
      </w:r>
    </w:p>
    <w:p>
      <w:pPr>
        <w:spacing w:before="200" w:after="40"/>
        <w:ind w:left="360"/>
        <w:pBdr>
          <w:left w:val="single" w:sz="12" w:space="8" w:color="2E74B5"/>
        </w:pBdr>
      </w:pPr>
      <w:r>
        <w:rPr>
          <w:rFonts w:ascii="Calibri" w:hAnsi="Calibri"/>
          <w:b w:val="0"/>
          <w:i/>
          <w:color w:val="2E74B5"/>
          <w:sz w:val="22"/>
        </w:rPr>
        <w:t>[ Figure 3.1  —  Research pipeline diagram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3.1 — End-to-end research pipeline from data collection to web application deployment.</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This diagram shows the sequential stages starting with data ingestion and exploration, moving through preprocessing, feature engineering, model training and evaluation, then to LLM integration and web app testing, highlighting the flow for financial risk prediction systems.</w:t>
      </w:r>
    </w:p>
    <w:p>
      <w:pPr>
        <w:spacing w:before="40" w:after="100" w:line="276" w:lineRule="auto"/>
      </w:pPr>
      <w:r>
        <w:rPr>
          <w:rFonts w:ascii="Calibri" w:hAnsi="Calibri"/>
          <w:b/>
          <w:i w:val="0"/>
          <w:color w:val="1A1A1A"/>
          <w:sz w:val="22"/>
        </w:rPr>
        <w:t>2 Dataset Description</w:t>
      </w:r>
      <w:r>
        <w:rPr>
          <w:rFonts w:ascii="Calibri" w:hAnsi="Calibri"/>
          <w:b w:val="0"/>
          <w:i w:val="0"/>
          <w:color w:val="1A1A1A"/>
          <w:sz w:val="22"/>
        </w:rPr>
        <w:t>: Synthetic Financial Risk Dataset</w:t>
      </w:r>
    </w:p>
    <w:p>
      <w:pPr>
        <w:spacing w:before="40" w:after="100" w:line="276" w:lineRule="auto"/>
      </w:pPr>
      <w:r>
        <w:rPr>
          <w:rFonts w:ascii="Calibri" w:hAnsi="Calibri"/>
          <w:b w:val="0"/>
          <w:i w:val="0"/>
          <w:color w:val="1A1A1A"/>
          <w:sz w:val="22"/>
        </w:rPr>
        <w:t>The dataset is a synthetic collection for loan approval modelling with 20000 records across multiple features. It includes numerical and categorical attributes representing applicant details such as income and credit history. Physical characteristics consist of a comma-separated values format from an online repository.</w:t>
      </w:r>
    </w:p>
    <w:p>
      <w:pPr>
        <w:spacing w:before="40" w:after="100" w:line="276" w:lineRule="auto"/>
      </w:pPr>
      <w:r>
        <w:rPr>
          <w:rFonts w:ascii="Calibri" w:hAnsi="Calibri"/>
          <w:b w:val="0"/>
          <w:i w:val="0"/>
          <w:color w:val="1A1A1A"/>
          <w:sz w:val="22"/>
        </w:rPr>
        <w:t>This dataset was chosen for its representation of real-world financial scenarios while avoiding privacy issues as it is artificial. It enables dual tasks of regression and classification prediction without actual personal data risks.</w:t>
      </w:r>
    </w:p>
    <w:p>
      <w:pPr>
        <w:spacing w:before="40" w:after="100" w:line="276" w:lineRule="auto"/>
      </w:pPr>
      <w:r>
        <w:rPr>
          <w:rFonts w:ascii="Calibri" w:hAnsi="Calibri"/>
          <w:b w:val="0"/>
          <w:i w:val="0"/>
          <w:color w:val="1A1A1A"/>
          <w:sz w:val="22"/>
        </w:rPr>
        <w:t>Data ethics involve ensuring no real individuals are affected given its simulated nature, promoting responsible use in research. Key data representations are summarised below:</w:t>
      </w:r>
    </w:p>
    <w:p>
      <w:pPr>
        <w:spacing w:before="40" w:after="100" w:line="276" w:lineRule="auto"/>
      </w:pPr>
      <w:r>
        <w:rPr>
          <w:rFonts w:ascii="Calibri" w:hAnsi="Calibri"/>
          <w:b/>
          <w:i w:val="0"/>
          <w:color w:val="1A1A1A"/>
          <w:sz w:val="22"/>
        </w:rPr>
        <w:t>Shape</w:t>
      </w:r>
      <w:r>
        <w:rPr>
          <w:rFonts w:ascii="Calibri" w:hAnsi="Calibri"/>
          <w:b w:val="0"/>
          <w:i w:val="0"/>
          <w:color w:val="1A1A1A"/>
          <w:sz w:val="22"/>
        </w:rPr>
        <w:t>: 20000 rows, 37 columns.</w:t>
      </w:r>
    </w:p>
    <w:p>
      <w:pPr>
        <w:spacing w:before="0" w:after="120" w:line="276" w:lineRule="auto"/>
        <w:ind w:left="360"/>
      </w:pPr>
      <w:r>
        <w:rPr>
          <w:rFonts w:ascii="Calibri" w:hAnsi="Calibri"/>
          <w:b/>
          <w:i w:val="0"/>
          <w:color w:val="1A1A1A"/>
          <w:sz w:val="20"/>
        </w:rPr>
        <w:t xml:space="preserve">Source: </w:t>
      </w:r>
      <w:r>
        <w:rPr>
          <w:rFonts w:ascii="Calibri" w:hAnsi="Calibri"/>
          <w:b w:val="0"/>
          <w:i/>
          <w:color w:val="1A1A1A"/>
          <w:sz w:val="20"/>
        </w:rPr>
        <w:t>https://www.kaggle.com/datasets/lorenzozoppelletto/financial-risk-for-loan-approval/data</w:t>
      </w:r>
    </w:p>
    <w:p>
      <w:pPr>
        <w:spacing w:before="40" w:after="100" w:line="276" w:lineRule="auto"/>
      </w:pPr>
      <w:r>
        <w:rPr>
          <w:rFonts w:ascii="Calibri" w:hAnsi="Calibri"/>
          <w:b/>
          <w:i w:val="0"/>
          <w:color w:val="1A1A1A"/>
          <w:sz w:val="22"/>
        </w:rPr>
        <w:t>3 Data Preprocessing</w:t>
      </w:r>
      <w:r>
        <w:rPr>
          <w:rFonts w:ascii="Calibri" w:hAnsi="Calibri"/>
          <w:b w:val="0"/>
          <w:i w:val="0"/>
          <w:color w:val="1A1A1A"/>
          <w:sz w:val="22"/>
        </w:rPr>
        <w:t>: Handling Financial Data Features</w:t>
      </w:r>
    </w:p>
    <w:p>
      <w:pPr>
        <w:spacing w:before="40" w:after="100" w:line="276" w:lineRule="auto"/>
      </w:pPr>
      <w:r>
        <w:rPr>
          <w:rFonts w:ascii="Calibri" w:hAnsi="Calibri"/>
          <w:b w:val="0"/>
          <w:i w:val="0"/>
          <w:color w:val="1A1A1A"/>
          <w:sz w:val="22"/>
        </w:rPr>
        <w:t>Data preprocessing forms the foundation for accurate model training in financial risk prediction.</w:t>
      </w:r>
    </w:p>
    <w:p>
      <w:pPr>
        <w:spacing w:before="160" w:after="40" w:line="276" w:lineRule="auto"/>
        <w:ind w:left="240"/>
      </w:pPr>
      <w:r>
        <w:rPr>
          <w:rFonts w:ascii="Calibri" w:hAnsi="Calibri"/>
          <w:b/>
          <w:i/>
          <w:color w:val="404040"/>
          <w:sz w:val="22"/>
        </w:rPr>
        <w:t>Exploratory Data Analysis</w:t>
      </w:r>
    </w:p>
    <w:p>
      <w:pPr>
        <w:spacing w:before="40" w:after="100" w:line="276" w:lineRule="auto"/>
      </w:pPr>
      <w:r>
        <w:rPr>
          <w:rFonts w:ascii="Calibri" w:hAnsi="Calibri"/>
          <w:b w:val="0"/>
          <w:i w:val="0"/>
          <w:color w:val="1A1A1A"/>
          <w:sz w:val="22"/>
        </w:rPr>
        <w:t>Exploratory data analysis identifies data patterns and issues to enhance quality. This step involves checking for missing values and duplicates to clean the dataset. It improves model reliability by ensuring input integrity as per standard practices in data handling.</w:t>
      </w:r>
    </w:p>
    <w:p>
      <w:pPr>
        <w:spacing w:before="160" w:after="160" w:line="276" w:lineRule="auto"/>
        <w:jc w:val="center"/>
      </w:pPr>
      <w:r>
        <w:rPr>
          <w:rFonts w:ascii="Calibri" w:hAnsi="Calibri"/>
          <w:b w:val="0"/>
          <w:i/>
          <w:color w:val="7030A0"/>
          <w:sz w:val="22"/>
        </w:rPr>
        <w:t>[ Equation  —  Formula for mean imputation if used ]</w:t>
      </w:r>
    </w:p>
    <w:p>
      <w:pPr>
        <w:spacing w:before="40" w:after="100" w:line="276" w:lineRule="auto"/>
      </w:pPr>
      <w:r>
        <w:rPr>
          <w:rFonts w:ascii="Calibri" w:hAnsi="Calibri"/>
          <w:b w:val="0"/>
          <w:i w:val="0"/>
          <w:color w:val="1A1A1A"/>
          <w:sz w:val="22"/>
        </w:rPr>
        <w:t>According to Mestiri (2024) early detection of anomalies prevents bias in predictions.</w:t>
      </w:r>
    </w:p>
    <w:p>
      <w:pPr>
        <w:spacing w:before="160" w:after="40" w:line="276" w:lineRule="auto"/>
        <w:ind w:left="240"/>
      </w:pPr>
      <w:r>
        <w:rPr>
          <w:rFonts w:ascii="Calibri" w:hAnsi="Calibri"/>
          <w:b/>
          <w:i/>
          <w:color w:val="404040"/>
          <w:sz w:val="22"/>
        </w:rPr>
        <w:t>Categorical Encoding</w:t>
      </w:r>
    </w:p>
    <w:p>
      <w:pPr>
        <w:spacing w:before="40" w:after="100" w:line="276" w:lineRule="auto"/>
      </w:pPr>
      <w:r>
        <w:rPr>
          <w:rFonts w:ascii="Calibri" w:hAnsi="Calibri"/>
          <w:b w:val="0"/>
          <w:i w:val="0"/>
          <w:color w:val="1A1A1A"/>
          <w:sz w:val="22"/>
        </w:rPr>
        <w:t>Categorical encoding converts non-numeric data into a suitable format for algorithms. It was selected to handle variables like employment status for better model compatibility as it allows algorithms to process diverse data types effectively. One-hot encoding expands features to avoid ordinal assumptions while label encoding simplifies others, thus improving prediction accuracy. As noted by such methods reduce errors in classification tasks.</w:t>
      </w:r>
    </w:p>
    <w:p>
      <w:pPr>
        <w:spacing w:before="40" w:after="100" w:line="276" w:lineRule="auto"/>
      </w:pPr>
      <w:r>
        <w:rPr>
          <w:rFonts w:ascii="Calibri" w:hAnsi="Calibri"/>
          <w:b/>
          <w:i w:val="0"/>
          <w:color w:val="1A1A1A"/>
          <w:sz w:val="22"/>
        </w:rPr>
        <w:t>4 Data Ingestion</w:t>
      </w:r>
      <w:r>
        <w:rPr>
          <w:rFonts w:ascii="Calibri" w:hAnsi="Calibri"/>
          <w:b w:val="0"/>
          <w:i w:val="0"/>
          <w:color w:val="1A1A1A"/>
          <w:sz w:val="22"/>
        </w:rPr>
        <w:t>: Loading Financial Dataset</w:t>
      </w:r>
    </w:p>
    <w:p>
      <w:pPr>
        <w:spacing w:before="40" w:after="100" w:line="276" w:lineRule="auto"/>
      </w:pPr>
      <w:r>
        <w:rPr>
          <w:rFonts w:ascii="Calibri" w:hAnsi="Calibri"/>
          <w:b w:val="0"/>
          <w:i w:val="0"/>
          <w:color w:val="1A1A1A"/>
          <w:sz w:val="22"/>
        </w:rPr>
        <w:t>Data ingestion involves the initial step of importing the dataset into the analysis environment. It was used in this research to establish a foundation for subsequent processing by bringing raw data into a manipulable form.</w:t>
      </w:r>
    </w:p>
    <w:p>
      <w:pPr>
        <w:spacing w:before="40" w:after="100" w:line="276" w:lineRule="auto"/>
      </w:pPr>
      <w:r>
        <w:rPr>
          <w:rFonts w:ascii="Calibri" w:hAnsi="Calibri"/>
          <w:b w:val="0"/>
          <w:i w:val="0"/>
          <w:color w:val="1A1A1A"/>
          <w:sz w:val="22"/>
        </w:rPr>
        <w:t>Key steps include reading the dataset file using a data frame library, which handles 20000 records and 37 features efficiently. This process sets the stage for exploration and ensures data accessibility. According to Akyüz and Güler (2025) effective ingestion practices support streamlined workflows in predictive modelling.</w:t>
      </w:r>
    </w:p>
    <w:p>
      <w:pPr>
        <w:spacing w:before="40" w:after="100" w:line="276" w:lineRule="auto"/>
      </w:pPr>
      <w:r>
        <w:rPr>
          <w:rFonts w:ascii="Calibri" w:hAnsi="Calibri"/>
          <w:b/>
          <w:i w:val="0"/>
          <w:color w:val="1A1A1A"/>
          <w:sz w:val="22"/>
        </w:rPr>
        <w:t>5 Dataset Exploration</w:t>
      </w:r>
      <w:r>
        <w:rPr>
          <w:rFonts w:ascii="Calibri" w:hAnsi="Calibri"/>
          <w:b w:val="0"/>
          <w:i w:val="0"/>
          <w:color w:val="1A1A1A"/>
          <w:sz w:val="22"/>
        </w:rPr>
        <w:t>: Initial Data Examination</w:t>
      </w:r>
    </w:p>
    <w:p>
      <w:pPr>
        <w:spacing w:before="40" w:after="100" w:line="276" w:lineRule="auto"/>
      </w:pPr>
      <w:r>
        <w:rPr>
          <w:rFonts w:ascii="Calibri" w:hAnsi="Calibri"/>
          <w:b w:val="0"/>
          <w:i w:val="0"/>
          <w:color w:val="1A1A1A"/>
          <w:sz w:val="22"/>
        </w:rPr>
        <w:t>Dataset exploration examines the structure and quality of the data to inform further steps. It was applied to understand feature distributions and relationships, aiding in identifying potential issues early.</w:t>
      </w:r>
    </w:p>
    <w:p>
      <w:pPr>
        <w:spacing w:before="40" w:after="100" w:line="276" w:lineRule="auto"/>
      </w:pPr>
      <w:r>
        <w:rPr>
          <w:rFonts w:ascii="Calibri" w:hAnsi="Calibri"/>
          <w:b w:val="0"/>
          <w:i w:val="0"/>
          <w:color w:val="1A1A1A"/>
          <w:sz w:val="22"/>
        </w:rPr>
        <w:t>Steps encompass shape verification, missing value detection and basic statistical summaries, along with visual inspections like histograms and scatter plots. These reveal data patterns without altering content. Prabhakaran and Nedunchelian (2024) emphasise that thorough exploration enhances data-driven decisions in risk assessment.</w:t>
      </w:r>
    </w:p>
    <w:p>
      <w:pPr>
        <w:spacing w:before="40" w:after="100" w:line="276" w:lineRule="auto"/>
      </w:pPr>
      <w:r>
        <w:rPr>
          <w:rFonts w:ascii="Calibri" w:hAnsi="Calibri"/>
          <w:b/>
          <w:i w:val="0"/>
          <w:color w:val="1A1A1A"/>
          <w:sz w:val="22"/>
        </w:rPr>
        <w:t>6 Class Balancing</w:t>
      </w:r>
      <w:r>
        <w:rPr>
          <w:rFonts w:ascii="Calibri" w:hAnsi="Calibri"/>
          <w:b w:val="0"/>
          <w:i w:val="0"/>
          <w:color w:val="1A1A1A"/>
          <w:sz w:val="22"/>
        </w:rPr>
        <w:t>: Addressing Imbalance in Financial Data</w:t>
      </w:r>
    </w:p>
    <w:p>
      <w:pPr>
        <w:spacing w:before="40" w:after="100" w:line="276" w:lineRule="auto"/>
      </w:pPr>
      <w:r>
        <w:rPr>
          <w:rFonts w:ascii="Calibri" w:hAnsi="Calibri"/>
          <w:b w:val="0"/>
          <w:i w:val="0"/>
          <w:color w:val="1A1A1A"/>
          <w:sz w:val="22"/>
        </w:rPr>
        <w:t>Class balancing attempts to mitigate skewed distributions in datasets. It was explored but not pursued due to the regression nature of the target, making it incompatible for the selected technique.</w:t>
      </w:r>
    </w:p>
    <w:p>
      <w:pPr>
        <w:spacing w:before="40" w:after="100" w:line="276" w:lineRule="auto"/>
      </w:pPr>
      <w:r>
        <w:rPr>
          <w:rFonts w:ascii="Calibri" w:hAnsi="Calibri"/>
          <w:b w:val="0"/>
          <w:i w:val="0"/>
          <w:color w:val="1A1A1A"/>
          <w:sz w:val="22"/>
        </w:rPr>
        <w:t>Key steps involved importing a balancing tool and testing it briefly, which was then abandoned. This decision maintained focus on regression tasks. Nallakaruppan et al. (2024) discuss the importance of appropriate techniques for specific problem types.</w:t>
      </w:r>
    </w:p>
    <w:p>
      <w:pPr>
        <w:spacing w:before="40" w:after="100" w:line="276" w:lineRule="auto"/>
      </w:pPr>
      <w:r>
        <w:rPr>
          <w:rFonts w:ascii="Calibri" w:hAnsi="Calibri"/>
          <w:b/>
          <w:i w:val="0"/>
          <w:color w:val="1A1A1A"/>
          <w:sz w:val="22"/>
        </w:rPr>
        <w:t>7 Feature Selection</w:t>
      </w:r>
      <w:r>
        <w:rPr>
          <w:rFonts w:ascii="Calibri" w:hAnsi="Calibri"/>
          <w:b w:val="0"/>
          <w:i w:val="0"/>
          <w:color w:val="1A1A1A"/>
          <w:sz w:val="22"/>
        </w:rPr>
        <w:t>: Identifying Key Predictors</w:t>
      </w:r>
    </w:p>
    <w:p>
      <w:pPr>
        <w:spacing w:before="40" w:after="100" w:line="276" w:lineRule="auto"/>
      </w:pPr>
      <w:r>
        <w:rPr>
          <w:rFonts w:ascii="Calibri" w:hAnsi="Calibri"/>
          <w:b w:val="0"/>
          <w:i w:val="0"/>
          <w:color w:val="1A1A1A"/>
          <w:sz w:val="22"/>
        </w:rPr>
        <w:t>Feature selection reduces the number of inputs to improve model efficiency. It was chosen to focus on the most relevant features for financial risk prediction, reducing noise and computational load.</w:t>
      </w:r>
    </w:p>
    <w:p>
      <w:pPr>
        <w:spacing w:before="40" w:after="100" w:line="276" w:lineRule="auto"/>
      </w:pPr>
      <w:r>
        <w:rPr>
          <w:rFonts w:ascii="Calibri" w:hAnsi="Calibri"/>
          <w:b w:val="0"/>
          <w:i w:val="0"/>
          <w:color w:val="1A1A1A"/>
          <w:sz w:val="22"/>
        </w:rPr>
        <w:t>Steps include using a recursive elimination method with a tree-based estimator to select ten features based on importance scores. Visual aids like heatmaps complemented this process. Jemai and Zarrad (2023) highlight how targeted selection boosts predictive performance.</w:t>
      </w:r>
    </w:p>
    <w:p>
      <w:pPr>
        <w:spacing w:before="40" w:after="100" w:line="276" w:lineRule="auto"/>
      </w:pPr>
      <w:r>
        <w:rPr>
          <w:rFonts w:ascii="Calibri" w:hAnsi="Calibri"/>
          <w:b/>
          <w:i w:val="0"/>
          <w:color w:val="1A1A1A"/>
          <w:sz w:val="22"/>
        </w:rPr>
        <w:t>8 Feature Engineering</w:t>
      </w:r>
      <w:r>
        <w:rPr>
          <w:rFonts w:ascii="Calibri" w:hAnsi="Calibri"/>
          <w:b w:val="0"/>
          <w:i w:val="0"/>
          <w:color w:val="1A1A1A"/>
          <w:sz w:val="22"/>
        </w:rPr>
        <w:t>: Creating New Variables</w:t>
      </w:r>
    </w:p>
    <w:p>
      <w:pPr>
        <w:spacing w:before="40" w:after="100" w:line="276" w:lineRule="auto"/>
      </w:pPr>
      <w:r>
        <w:rPr>
          <w:rFonts w:ascii="Calibri" w:hAnsi="Calibri"/>
          <w:b w:val="0"/>
          <w:i w:val="0"/>
          <w:color w:val="1A1A1A"/>
          <w:sz w:val="22"/>
        </w:rPr>
        <w:t>Feature engineering generates new features from existing ones to capture deeper insights. It was selected to enhance the model's ability to detect complex risk patterns in financial data.</w:t>
      </w:r>
    </w:p>
    <w:p>
      <w:pPr>
        <w:spacing w:before="40" w:after="100" w:line="276" w:lineRule="auto"/>
      </w:pPr>
      <w:r>
        <w:rPr>
          <w:rFonts w:ascii="Calibri" w:hAnsi="Calibri"/>
          <w:b w:val="0"/>
          <w:i w:val="0"/>
          <w:color w:val="1A1A1A"/>
          <w:sz w:val="22"/>
        </w:rPr>
        <w:t>Steps involve calculating ratios and indices such as income stability and debt stress using derived formulas.</w:t>
      </w:r>
    </w:p>
    <w:p>
      <w:pPr>
        <w:spacing w:before="160" w:after="160" w:line="276" w:lineRule="auto"/>
        <w:jc w:val="center"/>
      </w:pPr>
      <w:r>
        <w:rPr>
          <w:rFonts w:ascii="Calibri" w:hAnsi="Calibri"/>
          <w:b w:val="0"/>
          <w:i/>
          <w:color w:val="7030A0"/>
          <w:sz w:val="22"/>
        </w:rPr>
        <w:t>[ Equation  —  Expression for composite risk index calculation ]</w:t>
      </w:r>
    </w:p>
    <w:p>
      <w:pPr>
        <w:spacing w:before="40" w:after="100" w:line="276" w:lineRule="auto"/>
      </w:pPr>
      <w:r>
        <w:rPr>
          <w:rFonts w:ascii="Calibri" w:hAnsi="Calibri"/>
          <w:b w:val="0"/>
          <w:i w:val="0"/>
          <w:color w:val="1A1A1A"/>
          <w:sz w:val="22"/>
        </w:rPr>
        <w:t>For instance, specific combinations of scores and ratios were computed. According to Li et al. (2024) engineered features significantly improve accuracy in credit modelling.</w:t>
      </w:r>
    </w:p>
    <w:p>
      <w:pPr>
        <w:spacing w:before="40" w:after="100" w:line="276" w:lineRule="auto"/>
      </w:pPr>
      <w:r>
        <w:rPr>
          <w:rFonts w:ascii="Calibri" w:hAnsi="Calibri"/>
          <w:b/>
          <w:i w:val="0"/>
          <w:color w:val="1A1A1A"/>
          <w:sz w:val="22"/>
        </w:rPr>
        <w:t>9 Scaling</w:t>
      </w:r>
      <w:r>
        <w:rPr>
          <w:rFonts w:ascii="Calibri" w:hAnsi="Calibri"/>
          <w:b w:val="0"/>
          <w:i w:val="0"/>
          <w:color w:val="1A1A1A"/>
          <w:sz w:val="22"/>
        </w:rPr>
        <w:t>: Normalising Feature Values</w:t>
      </w:r>
    </w:p>
    <w:p>
      <w:pPr>
        <w:spacing w:before="40" w:after="100" w:line="276" w:lineRule="auto"/>
      </w:pPr>
      <w:r>
        <w:rPr>
          <w:rFonts w:ascii="Calibri" w:hAnsi="Calibri"/>
          <w:b w:val="0"/>
          <w:i w:val="0"/>
          <w:color w:val="1A1A1A"/>
          <w:sz w:val="22"/>
        </w:rPr>
        <w:t>Scaling adjusts the range of numerical features to ensure fair contributions. It was used to standardise continuous variables, preventing dominant features from skewing results.</w:t>
      </w:r>
    </w:p>
    <w:p>
      <w:pPr>
        <w:spacing w:before="40" w:after="100" w:line="276" w:lineRule="auto"/>
      </w:pPr>
      <w:r>
        <w:rPr>
          <w:rFonts w:ascii="Calibri" w:hAnsi="Calibri"/>
          <w:b w:val="0"/>
          <w:i w:val="0"/>
          <w:color w:val="1A1A1A"/>
          <w:sz w:val="22"/>
        </w:rPr>
        <w:t>Key steps apply a scaling technique to thirteen features and save the scaler for later use. This process maintains consistency across data. Belhadi et al. (2024) note that scaling is essential for stable model training in financial applications.</w:t>
      </w:r>
    </w:p>
    <w:p>
      <w:pPr>
        <w:spacing w:before="40" w:after="100" w:line="276" w:lineRule="auto"/>
      </w:pPr>
      <w:r>
        <w:rPr>
          <w:rFonts w:ascii="Calibri" w:hAnsi="Calibri"/>
          <w:b/>
          <w:i w:val="0"/>
          <w:color w:val="1A1A1A"/>
          <w:sz w:val="22"/>
        </w:rPr>
        <w:t>10 Train-Test Split</w:t>
      </w:r>
      <w:r>
        <w:rPr>
          <w:rFonts w:ascii="Calibri" w:hAnsi="Calibri"/>
          <w:b w:val="0"/>
          <w:i w:val="0"/>
          <w:color w:val="1A1A1A"/>
          <w:sz w:val="22"/>
        </w:rPr>
        <w:t>: Dividing the Dataset</w:t>
      </w:r>
    </w:p>
    <w:p>
      <w:pPr>
        <w:spacing w:before="40" w:after="100" w:line="276" w:lineRule="auto"/>
      </w:pPr>
      <w:r>
        <w:rPr>
          <w:rFonts w:ascii="Calibri" w:hAnsi="Calibri"/>
          <w:b w:val="0"/>
          <w:i w:val="0"/>
          <w:color w:val="1A1A1A"/>
          <w:sz w:val="22"/>
        </w:rPr>
        <w:t>Train-test split partitions data to evaluate model generalisation. It was implemented to create separate subsets for training and testing, ensuring unbiased performance assessment.</w:t>
      </w:r>
    </w:p>
    <w:p>
      <w:pPr>
        <w:spacing w:before="40" w:after="100" w:line="276" w:lineRule="auto"/>
      </w:pPr>
      <w:r>
        <w:rPr>
          <w:rFonts w:ascii="Calibri" w:hAnsi="Calibri"/>
          <w:b w:val="0"/>
          <w:i w:val="0"/>
          <w:color w:val="1A1A1A"/>
          <w:sz w:val="22"/>
        </w:rPr>
        <w:t>Steps divide the data into 80% for training and 20% for testing with a fixed seed for reproducibility. This setup allows for reliable validation. Hossain and Mia (2024) underscore its role in preventing overfitting.</w:t>
      </w:r>
    </w:p>
    <w:p>
      <w:pPr>
        <w:spacing w:before="40" w:after="100" w:line="276" w:lineRule="auto"/>
      </w:pPr>
      <w:r>
        <w:rPr>
          <w:rFonts w:ascii="Calibri" w:hAnsi="Calibri"/>
          <w:b/>
          <w:i w:val="0"/>
          <w:color w:val="1A1A1A"/>
          <w:sz w:val="22"/>
        </w:rPr>
        <w:t>11 Model Building</w:t>
      </w:r>
      <w:r>
        <w:rPr>
          <w:rFonts w:ascii="Calibri" w:hAnsi="Calibri"/>
          <w:b w:val="0"/>
          <w:i w:val="0"/>
          <w:color w:val="1A1A1A"/>
          <w:sz w:val="22"/>
        </w:rPr>
        <w:t>: Regression Models for Risk Prediction</w:t>
      </w:r>
    </w:p>
    <w:p>
      <w:pPr>
        <w:spacing w:before="40" w:after="100" w:line="276" w:lineRule="auto"/>
      </w:pPr>
      <w:r>
        <w:rPr>
          <w:rFonts w:ascii="Calibri" w:hAnsi="Calibri"/>
          <w:b w:val="0"/>
          <w:i w:val="0"/>
          <w:color w:val="1A1A1A"/>
          <w:sz w:val="22"/>
        </w:rPr>
        <w:t>Model building employs various architectures to predict financial risk scores.</w:t>
      </w:r>
    </w:p>
    <w:p>
      <w:pPr>
        <w:spacing w:before="160" w:after="40" w:line="276" w:lineRule="auto"/>
        <w:ind w:left="240"/>
      </w:pPr>
      <w:r>
        <w:rPr>
          <w:rFonts w:ascii="Calibri" w:hAnsi="Calibri"/>
          <w:b/>
          <w:i/>
          <w:color w:val="404040"/>
          <w:sz w:val="22"/>
        </w:rPr>
        <w:t>ElasticNet Regressor</w:t>
      </w:r>
    </w:p>
    <w:p>
      <w:pPr>
        <w:spacing w:before="40" w:after="100" w:line="276" w:lineRule="auto"/>
      </w:pPr>
      <w:r>
        <w:rPr>
          <w:rFonts w:ascii="Calibri" w:hAnsi="Calibri"/>
          <w:b w:val="0"/>
          <w:i w:val="0"/>
          <w:color w:val="1A1A1A"/>
          <w:sz w:val="22"/>
        </w:rPr>
        <w:t>ElasticNet regressor combines lasso and ridge penalties for feature selection and regularisation. It was chosen for this research due to its ability to handle multicollinearity in financial datasets, making it suitable for mixed feature types. This model balances sparsity and smoothness, aiding in robust predictions for risk scores.</w:t>
      </w:r>
    </w:p>
    <w:p>
      <w:pPr>
        <w:spacing w:before="40" w:after="100" w:line="276" w:lineRule="auto"/>
      </w:pPr>
      <w:r>
        <w:rPr>
          <w:rFonts w:ascii="Calibri" w:hAnsi="Calibri"/>
          <w:b w:val="0"/>
          <w:i w:val="0"/>
          <w:color w:val="1A1A1A"/>
          <w:sz w:val="22"/>
        </w:rPr>
        <w:t>The model operates by minimising a loss function that includes both L1 and L2 norms, with parameters like alpha and l1 ratio tuned for optimal fit.</w:t>
      </w:r>
    </w:p>
    <w:p>
      <w:pPr>
        <w:spacing w:before="160" w:after="160" w:line="276" w:lineRule="auto"/>
        <w:jc w:val="center"/>
      </w:pPr>
      <w:r>
        <w:rPr>
          <w:rFonts w:ascii="Calibri" w:hAnsi="Calibri"/>
          <w:b w:val="0"/>
          <w:i/>
          <w:color w:val="7030A0"/>
          <w:sz w:val="22"/>
        </w:rPr>
        <w:t>[ Equation  —  ElasticNet loss function ]</w:t>
      </w:r>
    </w:p>
    <w:p>
      <w:pPr>
        <w:spacing w:before="40" w:after="100" w:line="276" w:lineRule="auto"/>
      </w:pPr>
      <w:r>
        <w:rPr>
          <w:rFonts w:ascii="Calibri" w:hAnsi="Calibri"/>
          <w:b w:val="0"/>
          <w:i w:val="0"/>
          <w:color w:val="1A1A1A"/>
          <w:sz w:val="22"/>
        </w:rPr>
        <w:t>Sarkar et al. (2024) illustrate its effectiveness in handling correlated predictors.</w:t>
      </w:r>
    </w:p>
    <w:p>
      <w:pPr>
        <w:spacing w:before="160" w:after="40" w:line="276" w:lineRule="auto"/>
        <w:ind w:left="240"/>
      </w:pPr>
      <w:r>
        <w:rPr>
          <w:rFonts w:ascii="Calibri" w:hAnsi="Calibri"/>
          <w:b/>
          <w:i/>
          <w:color w:val="404040"/>
          <w:sz w:val="22"/>
        </w:rPr>
        <w:t>CNN Regressor Architecture</w:t>
      </w:r>
    </w:p>
    <w:p>
      <w:pPr>
        <w:spacing w:before="40" w:after="100" w:line="276" w:lineRule="auto"/>
      </w:pPr>
      <w:r>
        <w:rPr>
          <w:rFonts w:ascii="Calibri" w:hAnsi="Calibri"/>
          <w:b w:val="0"/>
          <w:i w:val="0"/>
          <w:color w:val="1A1A1A"/>
          <w:sz w:val="22"/>
        </w:rPr>
        <w:t>The CNN regressor uses convolutional layers for feature extraction in tabular data. It was selected for its capacity to capture sequential patterns in financial features, improving upon linear models.</w:t>
      </w:r>
    </w:p>
    <w:p>
      <w:pPr>
        <w:spacing w:before="40" w:after="100" w:line="276" w:lineRule="auto"/>
      </w:pPr>
      <w:r>
        <w:rPr>
          <w:rFonts w:ascii="Calibri" w:hAnsi="Calibri"/>
          <w:b w:val="0"/>
          <w:i w:val="0"/>
          <w:color w:val="1A1A1A"/>
          <w:sz w:val="22"/>
        </w:rPr>
        <w:t>This model processes inputs through layers that detect local dependencies, with parameters set for depth and activation.</w:t>
      </w:r>
    </w:p>
    <w:p>
      <w:pPr>
        <w:spacing w:before="200" w:after="40"/>
        <w:ind w:left="360"/>
        <w:pBdr>
          <w:left w:val="single" w:sz="12" w:space="8" w:color="2E74B5"/>
        </w:pBdr>
      </w:pPr>
      <w:r>
        <w:rPr>
          <w:rFonts w:ascii="Calibri" w:hAnsi="Calibri"/>
          <w:b w:val="0"/>
          <w:i/>
          <w:color w:val="2E74B5"/>
          <w:sz w:val="22"/>
        </w:rPr>
        <w:t>[ Figure 3.2  —  CNN Regressor Architecture Diagram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3.2 — CNN architecture for risk prediction.</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This figure outlines the CNN layers including convolutions and dense connections, revealing how feature extraction leads to accurate regression outputs with key parameters like kernel sizes enhancing pattern recognition in financial data.</w:t>
      </w:r>
    </w:p>
    <w:p>
      <w:pPr>
        <w:spacing w:before="160" w:after="40" w:line="276" w:lineRule="auto"/>
        <w:ind w:left="240"/>
      </w:pPr>
      <w:r>
        <w:rPr>
          <w:rFonts w:ascii="Calibri" w:hAnsi="Calibri"/>
          <w:b/>
          <w:i/>
          <w:color w:val="404040"/>
          <w:sz w:val="22"/>
        </w:rPr>
        <w:t>Conv1D Layer</w:t>
      </w:r>
    </w:p>
    <w:p>
      <w:pPr>
        <w:spacing w:before="40" w:after="100" w:line="276" w:lineRule="auto"/>
      </w:pPr>
      <w:r>
        <w:rPr>
          <w:rFonts w:ascii="Calibri" w:hAnsi="Calibri"/>
          <w:b w:val="0"/>
          <w:i w:val="0"/>
          <w:color w:val="1A1A1A"/>
          <w:sz w:val="22"/>
        </w:rPr>
        <w:t>The Conv1D layer applies filters to input sequences for feature detection. In this architecture, it extracts relevant patterns from financial time-series-like data, contributing to better risk assessment.</w:t>
      </w:r>
    </w:p>
    <w:p>
      <w:pPr>
        <w:spacing w:before="40" w:after="100" w:line="276" w:lineRule="auto"/>
      </w:pPr>
      <w:r>
        <w:rPr>
          <w:rFonts w:ascii="Calibri" w:hAnsi="Calibri"/>
          <w:b w:val="0"/>
          <w:i w:val="0"/>
          <w:color w:val="1A1A1A"/>
          <w:sz w:val="22"/>
        </w:rPr>
        <w:t>Internally, it performs sliding window operations on inputs, with parameters such as 32 filters and kernel size of 2.</w:t>
      </w:r>
    </w:p>
    <w:p>
      <w:pPr>
        <w:spacing w:before="160" w:after="160" w:line="276" w:lineRule="auto"/>
        <w:jc w:val="center"/>
      </w:pPr>
      <w:r>
        <w:rPr>
          <w:rFonts w:ascii="Calibri" w:hAnsi="Calibri"/>
          <w:b w:val="0"/>
          <w:i/>
          <w:color w:val="7030A0"/>
          <w:sz w:val="22"/>
        </w:rPr>
        <w:t>[ Equation  —  Convolution operation formula ]</w:t>
      </w:r>
    </w:p>
    <w:p>
      <w:pPr>
        <w:spacing w:before="40" w:after="100" w:line="276" w:lineRule="auto"/>
      </w:pPr>
      <w:r>
        <w:rPr>
          <w:rFonts w:ascii="Calibri" w:hAnsi="Calibri"/>
          <w:b w:val="0"/>
          <w:i w:val="0"/>
          <w:color w:val="1A1A1A"/>
          <w:sz w:val="22"/>
        </w:rPr>
        <w:t>Gupta and Sharma (2026) explain its utility in tabular learning.</w:t>
      </w:r>
    </w:p>
    <w:p>
      <w:pPr>
        <w:spacing w:before="160" w:after="40" w:line="276" w:lineRule="auto"/>
        <w:ind w:left="240"/>
      </w:pPr>
      <w:r>
        <w:rPr>
          <w:rFonts w:ascii="Calibri" w:hAnsi="Calibri"/>
          <w:b/>
          <w:i/>
          <w:color w:val="404040"/>
          <w:sz w:val="22"/>
        </w:rPr>
        <w:t>BatchNormalisation Layer</w:t>
      </w:r>
    </w:p>
    <w:p>
      <w:pPr>
        <w:spacing w:before="40" w:after="100" w:line="276" w:lineRule="auto"/>
      </w:pPr>
      <w:r>
        <w:rPr>
          <w:rFonts w:ascii="Calibri" w:hAnsi="Calibri"/>
          <w:b w:val="0"/>
          <w:i w:val="0"/>
          <w:color w:val="1A1A1A"/>
          <w:sz w:val="22"/>
        </w:rPr>
        <w:t>BatchNormalisation stabilises the training process by normalising activations. It plays a role in this model by reducing internal covariate shift, thus speeding up convergence for financial predictions.</w:t>
      </w:r>
    </w:p>
    <w:p>
      <w:pPr>
        <w:spacing w:before="40" w:after="100" w:line="276" w:lineRule="auto"/>
      </w:pPr>
      <w:r>
        <w:rPr>
          <w:rFonts w:ascii="Calibri" w:hAnsi="Calibri"/>
          <w:b w:val="0"/>
          <w:i w:val="0"/>
          <w:color w:val="1A1A1A"/>
          <w:sz w:val="22"/>
        </w:rPr>
        <w:t>The layer computes mean and variance of activations and adjusts them, using parameters to maintain stability. This ensures efficient learning without altering the overall architecture.</w:t>
      </w:r>
    </w:p>
    <w:p>
      <w:pPr>
        <w:spacing w:before="160" w:after="40" w:line="276" w:lineRule="auto"/>
        <w:ind w:left="240"/>
      </w:pPr>
      <w:r>
        <w:rPr>
          <w:rFonts w:ascii="Calibri" w:hAnsi="Calibri"/>
          <w:b/>
          <w:i/>
          <w:color w:val="404040"/>
          <w:sz w:val="22"/>
        </w:rPr>
        <w:t>Flatten Layer</w:t>
      </w:r>
    </w:p>
    <w:p>
      <w:pPr>
        <w:spacing w:before="40" w:after="100" w:line="276" w:lineRule="auto"/>
      </w:pPr>
      <w:r>
        <w:rPr>
          <w:rFonts w:ascii="Calibri" w:hAnsi="Calibri"/>
          <w:b w:val="0"/>
          <w:i w:val="0"/>
          <w:color w:val="1A1A1A"/>
          <w:sz w:val="22"/>
        </w:rPr>
        <w:t>The Flatten layer converts multi-dimensional outputs to a vector for further processing. In this setup, it bridges convolutional and dense layers, enabling seamless integration in the risk model.</w:t>
      </w:r>
    </w:p>
    <w:p>
      <w:pPr>
        <w:spacing w:before="40" w:after="100" w:line="276" w:lineRule="auto"/>
      </w:pPr>
      <w:r>
        <w:rPr>
          <w:rFonts w:ascii="Calibri" w:hAnsi="Calibri"/>
          <w:b w:val="0"/>
          <w:i w:val="0"/>
          <w:color w:val="1A1A1A"/>
          <w:sz w:val="22"/>
        </w:rPr>
        <w:t>Operationally, it reshapes data by flattening arrays, preparing them for fully connected layers with specific input dimensions.</w:t>
      </w:r>
    </w:p>
    <w:p>
      <w:pPr>
        <w:spacing w:before="160" w:after="40" w:line="276" w:lineRule="auto"/>
        <w:ind w:left="240"/>
      </w:pPr>
      <w:r>
        <w:rPr>
          <w:rFonts w:ascii="Calibri" w:hAnsi="Calibri"/>
          <w:b/>
          <w:i/>
          <w:color w:val="404040"/>
          <w:sz w:val="22"/>
        </w:rPr>
        <w:t>Dense Layer</w:t>
      </w:r>
    </w:p>
    <w:p>
      <w:pPr>
        <w:spacing w:before="40" w:after="100" w:line="276" w:lineRule="auto"/>
      </w:pPr>
      <w:r>
        <w:rPr>
          <w:rFonts w:ascii="Calibri" w:hAnsi="Calibri"/>
          <w:b w:val="0"/>
          <w:i w:val="0"/>
          <w:color w:val="1A1A1A"/>
          <w:sz w:val="22"/>
        </w:rPr>
        <w:t>The Dense layer forms fully connected networks for final predictions. It integrates features from prior layers, finalising the output in this architecture.</w:t>
      </w:r>
    </w:p>
    <w:p>
      <w:pPr>
        <w:spacing w:before="40" w:after="100" w:line="276" w:lineRule="auto"/>
      </w:pPr>
      <w:r>
        <w:rPr>
          <w:rFonts w:ascii="Calibri" w:hAnsi="Calibri"/>
          <w:b w:val="0"/>
          <w:i w:val="0"/>
          <w:color w:val="1A1A1A"/>
          <w:sz w:val="22"/>
        </w:rPr>
        <w:t>The layer applies linear transformations followed by activation, with 64 units and ReLU function, allowing complex mappings in risk scoring.</w:t>
      </w:r>
    </w:p>
    <w:p>
      <w:pPr>
        <w:spacing w:before="160" w:after="40" w:line="276" w:lineRule="auto"/>
        <w:ind w:left="240"/>
      </w:pPr>
      <w:r>
        <w:rPr>
          <w:rFonts w:ascii="Calibri" w:hAnsi="Calibri"/>
          <w:b/>
          <w:i/>
          <w:color w:val="404040"/>
          <w:sz w:val="22"/>
        </w:rPr>
        <w:t>Dropout Layer</w:t>
      </w:r>
    </w:p>
    <w:p>
      <w:pPr>
        <w:spacing w:before="40" w:after="100" w:line="276" w:lineRule="auto"/>
      </w:pPr>
      <w:r>
        <w:rPr>
          <w:rFonts w:ascii="Calibri" w:hAnsi="Calibri"/>
          <w:b w:val="0"/>
          <w:i w:val="0"/>
          <w:color w:val="1A1A1A"/>
          <w:sz w:val="22"/>
        </w:rPr>
        <w:t>Dropout prevents overfitting by randomly dropping units during training. It enhances generalisation in this model by regularising the network against financial data variances.</w:t>
      </w:r>
    </w:p>
    <w:p>
      <w:pPr>
        <w:spacing w:before="40" w:after="100" w:line="276" w:lineRule="auto"/>
      </w:pPr>
      <w:r>
        <w:rPr>
          <w:rFonts w:ascii="Calibri" w:hAnsi="Calibri"/>
          <w:b w:val="0"/>
          <w:i w:val="0"/>
          <w:color w:val="1A1A1A"/>
          <w:sz w:val="22"/>
        </w:rPr>
        <w:t>During operation, it sets a dropout rate to zero out connections, with parameters ensuring balanced training.</w:t>
      </w:r>
    </w:p>
    <w:p>
      <w:pPr>
        <w:spacing w:before="160" w:after="40" w:line="276" w:lineRule="auto"/>
        <w:ind w:left="240"/>
      </w:pPr>
      <w:r>
        <w:rPr>
          <w:rFonts w:ascii="Calibri" w:hAnsi="Calibri"/>
          <w:b/>
          <w:i/>
          <w:color w:val="404040"/>
          <w:sz w:val="22"/>
        </w:rPr>
        <w:t>TabNet Regressor</w:t>
      </w:r>
    </w:p>
    <w:p>
      <w:pPr>
        <w:spacing w:before="40" w:after="100" w:line="276" w:lineRule="auto"/>
      </w:pPr>
      <w:r>
        <w:rPr>
          <w:rFonts w:ascii="Calibri" w:hAnsi="Calibri"/>
          <w:b w:val="0"/>
          <w:i w:val="0"/>
          <w:color w:val="1A1A1A"/>
          <w:sz w:val="22"/>
        </w:rPr>
        <w:t>TabNet regressor uses attention mechanisms for interpretable tabular learning. It was picked for its focus on feature importance in financial contexts, providing transparency in risk predictions.</w:t>
      </w:r>
    </w:p>
    <w:p>
      <w:pPr>
        <w:spacing w:before="40" w:after="100" w:line="276" w:lineRule="auto"/>
      </w:pPr>
      <w:r>
        <w:rPr>
          <w:rFonts w:ascii="Calibri" w:hAnsi="Calibri"/>
          <w:b w:val="0"/>
          <w:i w:val="0"/>
          <w:color w:val="1A1A1A"/>
          <w:sz w:val="22"/>
        </w:rPr>
        <w:t>The model works through sequential processing with attention blocks, parameters like step count and learning rate tuned for efficiency.</w:t>
      </w:r>
    </w:p>
    <w:p>
      <w:pPr>
        <w:spacing w:before="160" w:after="160" w:line="276" w:lineRule="auto"/>
        <w:jc w:val="center"/>
      </w:pPr>
      <w:r>
        <w:rPr>
          <w:rFonts w:ascii="Calibri" w:hAnsi="Calibri"/>
          <w:b w:val="0"/>
          <w:i/>
          <w:color w:val="7030A0"/>
          <w:sz w:val="22"/>
        </w:rPr>
        <w:t>[ Equation  —  Attention mechanism formula ]</w:t>
      </w:r>
    </w:p>
    <w:p>
      <w:pPr>
        <w:spacing w:before="40" w:after="100" w:line="276" w:lineRule="auto"/>
      </w:pPr>
      <w:r>
        <w:rPr>
          <w:rFonts w:ascii="Calibri" w:hAnsi="Calibri"/>
          <w:b w:val="0"/>
          <w:i w:val="0"/>
          <w:color w:val="1A1A1A"/>
          <w:sz w:val="22"/>
        </w:rPr>
        <w:t>Arik and Pfister (2021) demonstrate its advantages in decision-making.</w:t>
      </w:r>
    </w:p>
    <w:p>
      <w:pPr>
        <w:spacing w:before="160" w:after="40" w:line="276" w:lineRule="auto"/>
        <w:ind w:left="240"/>
      </w:pPr>
      <w:r>
        <w:rPr>
          <w:rFonts w:ascii="Calibri" w:hAnsi="Calibri"/>
          <w:b/>
          <w:i/>
          <w:color w:val="404040"/>
          <w:sz w:val="22"/>
        </w:rPr>
        <w:t>Attention Mechanism</w:t>
      </w:r>
    </w:p>
    <w:p>
      <w:pPr>
        <w:spacing w:before="40" w:after="100" w:line="276" w:lineRule="auto"/>
      </w:pPr>
      <w:r>
        <w:rPr>
          <w:rFonts w:ascii="Calibri" w:hAnsi="Calibri"/>
          <w:b w:val="0"/>
          <w:i w:val="0"/>
          <w:color w:val="1A1A1A"/>
          <w:sz w:val="22"/>
        </w:rPr>
        <w:t>The Attention Mechanism in TabNet selects relevant features dynamically. It contributes by focusing on important inputs for each decision step in the model.</w:t>
      </w:r>
    </w:p>
    <w:p>
      <w:pPr>
        <w:spacing w:before="40" w:after="100" w:line="276" w:lineRule="auto"/>
      </w:pPr>
      <w:r>
        <w:rPr>
          <w:rFonts w:ascii="Calibri" w:hAnsi="Calibri"/>
          <w:b w:val="0"/>
          <w:i w:val="0"/>
          <w:color w:val="1A1A1A"/>
          <w:sz w:val="22"/>
        </w:rPr>
        <w:t>Internally, it computes feature masks using parameters such as gamma, allowing adaptive learning in risk prediction.</w:t>
      </w:r>
    </w:p>
    <w:p>
      <w:pPr>
        <w:spacing w:before="40" w:after="100" w:line="276" w:lineRule="auto"/>
      </w:pPr>
      <w:r>
        <w:rPr>
          <w:rFonts w:ascii="Calibri" w:hAnsi="Calibri"/>
          <w:b w:val="0"/>
          <w:i w:val="0"/>
          <w:color w:val="1A1A1A"/>
          <w:sz w:val="22"/>
        </w:rPr>
        <w:t>12 Model Performance Evaluation Metrics</w:t>
      </w:r>
    </w:p>
    <w:p>
      <w:pPr>
        <w:spacing w:before="40" w:after="100" w:line="276" w:lineRule="auto"/>
      </w:pPr>
      <w:r>
        <w:rPr>
          <w:rFonts w:ascii="Calibri" w:hAnsi="Calibri"/>
          <w:b w:val="0"/>
          <w:i w:val="0"/>
          <w:color w:val="1A1A1A"/>
          <w:sz w:val="22"/>
        </w:rPr>
        <w:t>Evaluation metrics assess the accuracy of financial risk models.</w:t>
      </w:r>
    </w:p>
    <w:p>
      <w:pPr>
        <w:spacing w:before="40" w:after="100" w:line="276" w:lineRule="auto"/>
      </w:pPr>
      <w:r>
        <w:rPr>
          <w:rFonts w:ascii="Calibri" w:hAnsi="Calibri"/>
          <w:b w:val="0"/>
          <w:i w:val="0"/>
          <w:color w:val="1A1A1A"/>
          <w:sz w:val="22"/>
        </w:rPr>
        <w:t>Metrics like mean absolute error measure the average prediction difference, providing insight into error magnitude for risk scores. Root mean square error quantifies larger errors more heavily, indicating variability in predictions relevant to loan decisions.</w:t>
      </w:r>
    </w:p>
    <w:p>
      <w:pPr>
        <w:spacing w:before="40" w:after="100" w:line="276" w:lineRule="auto"/>
      </w:pPr>
      <w:r>
        <w:rPr>
          <w:rFonts w:ascii="Calibri" w:hAnsi="Calibri"/>
          <w:b w:val="0"/>
          <w:i w:val="0"/>
          <w:color w:val="1A1A1A"/>
          <w:sz w:val="22"/>
        </w:rPr>
        <w:t>R-squared evaluates how well the model explains data variance, crucial for understanding prediction reliability in financial contexts. Accuracy reflects correct classifications from thresholded scores, essential for binary outcomes. Precision, recall and F1-score balance true positives and false alarms, vital for fairness in credit approvals. ROC-AUC measures discrimination ability, aiding in threshold selection for risk assessment.</w:t>
      </w:r>
    </w:p>
    <w:p>
      <w:pPr>
        <w:spacing w:before="40" w:after="100" w:line="276" w:lineRule="auto"/>
      </w:pPr>
      <w:r>
        <w:rPr>
          <w:rFonts w:ascii="Calibri" w:hAnsi="Calibri"/>
          <w:b/>
          <w:i w:val="0"/>
          <w:color w:val="1A1A1A"/>
          <w:sz w:val="22"/>
        </w:rPr>
        <w:t>13 LLM Integration</w:t>
      </w:r>
      <w:r>
        <w:rPr>
          <w:rFonts w:ascii="Calibri" w:hAnsi="Calibri"/>
          <w:b w:val="0"/>
          <w:i w:val="0"/>
          <w:color w:val="1A1A1A"/>
          <w:sz w:val="22"/>
        </w:rPr>
        <w:t>: OpenAI GPT-4o-mini in Risk Pipeline</w:t>
      </w:r>
    </w:p>
    <w:p>
      <w:pPr>
        <w:spacing w:before="40" w:after="100" w:line="276" w:lineRule="auto"/>
      </w:pPr>
      <w:r>
        <w:rPr>
          <w:rFonts w:ascii="Calibri" w:hAnsi="Calibri"/>
          <w:b w:val="0"/>
          <w:i w:val="0"/>
          <w:color w:val="1A1A1A"/>
          <w:sz w:val="22"/>
        </w:rPr>
        <w:t>LLM integration incorporates a generative language model to enhance explanations. OpenAI GPT-4o-mini was chosen for its efficiency and ability to process structured prompts, making it ideal for financial report generation.</w:t>
      </w:r>
    </w:p>
    <w:p>
      <w:pPr>
        <w:spacing w:before="40" w:after="100" w:line="276" w:lineRule="auto"/>
      </w:pPr>
      <w:r>
        <w:rPr>
          <w:rFonts w:ascii="Calibri" w:hAnsi="Calibri"/>
          <w:b w:val="0"/>
          <w:i w:val="0"/>
          <w:color w:val="1A1A1A"/>
          <w:sz w:val="22"/>
        </w:rPr>
        <w:t>In the pipeline, it generates detailed underwriting reports post-prediction, using an API for input-output handling. This improves decision transparency by providing interpretable insights. Golec and AlabdulJalil (2025) explore how LLMs aid in explainable AI for credit systems.</w:t>
      </w:r>
    </w:p>
    <w:p>
      <w:pPr>
        <w:spacing w:before="40" w:after="100" w:line="276" w:lineRule="auto"/>
      </w:pPr>
      <w:r>
        <w:rPr>
          <w:rFonts w:ascii="Calibri" w:hAnsi="Calibri"/>
          <w:b/>
          <w:i w:val="0"/>
          <w:color w:val="1A1A1A"/>
          <w:sz w:val="22"/>
        </w:rPr>
        <w:t>14 Web Application</w:t>
      </w:r>
      <w:r>
        <w:rPr>
          <w:rFonts w:ascii="Calibri" w:hAnsi="Calibri"/>
          <w:b w:val="0"/>
          <w:i w:val="0"/>
          <w:color w:val="1A1A1A"/>
          <w:sz w:val="22"/>
        </w:rPr>
        <w:t>: Streamlit for Risk Deployment</w:t>
      </w:r>
    </w:p>
    <w:p>
      <w:pPr>
        <w:spacing w:before="40" w:after="100" w:line="276" w:lineRule="auto"/>
      </w:pPr>
      <w:r>
        <w:rPr>
          <w:rFonts w:ascii="Calibri" w:hAnsi="Calibri"/>
          <w:b w:val="0"/>
          <w:i w:val="0"/>
          <w:color w:val="1A1A1A"/>
          <w:sz w:val="22"/>
        </w:rPr>
        <w:t>Web application development uses a framework for interactive interfaces. Streamlit was selected for its simplicity and rapid deployment features, suitable for financial tools.</w:t>
      </w:r>
    </w:p>
    <w:p>
      <w:pPr>
        <w:spacing w:before="40" w:after="100" w:line="276" w:lineRule="auto"/>
      </w:pPr>
      <w:r>
        <w:rPr>
          <w:rFonts w:ascii="Calibri" w:hAnsi="Calibri"/>
          <w:b w:val="0"/>
          <w:i w:val="0"/>
          <w:color w:val="1A1A1A"/>
          <w:sz w:val="22"/>
        </w:rPr>
        <w:t>The app processes user inputs through feature engineering and model prediction, outputting risk scores and reports via API calls. This setup offers user-friendly access to predictions, enhancing practical application in lending. Ben Jebli and Zoghlami (2025) discuss the benefits of such frameworks in real-time systems.</w:t>
      </w:r>
    </w:p>
    <w:p>
      <w:pPr>
        <w:spacing w:before="40" w:after="100" w:line="276" w:lineRule="auto"/>
      </w:pPr>
      <w:r>
        <w:rPr>
          <w:rFonts w:ascii="Calibri" w:hAnsi="Calibri"/>
          <w:b w:val="0"/>
          <w:i w:val="0"/>
          <w:color w:val="1A1A1A"/>
          <w:sz w:val="22"/>
        </w:rPr>
        <w:t>15 Professional, Legal, and Ethical Considerations</w:t>
      </w:r>
    </w:p>
    <w:p>
      <w:pPr>
        <w:spacing w:before="40" w:after="100" w:line="276" w:lineRule="auto"/>
      </w:pPr>
      <w:r>
        <w:rPr>
          <w:rFonts w:ascii="Calibri" w:hAnsi="Calibri"/>
          <w:b w:val="0"/>
          <w:i w:val="0"/>
          <w:color w:val="1A1A1A"/>
          <w:sz w:val="22"/>
        </w:rPr>
        <w:t>In financial machine learning, data privacy under GDPR requires strict anonymisation to protect applicant information, aligning with UK regulations. Compliance with FCA guidelines mandates transparent algorithmic processes to ensure fair decision-making in loan approvals.</w:t>
      </w:r>
    </w:p>
    <w:p>
      <w:pPr>
        <w:spacing w:before="40" w:after="100" w:line="276" w:lineRule="auto"/>
      </w:pPr>
      <w:r>
        <w:rPr>
          <w:rFonts w:ascii="Calibri" w:hAnsi="Calibri"/>
          <w:b w:val="0"/>
          <w:i w:val="0"/>
          <w:color w:val="1A1A1A"/>
          <w:sz w:val="22"/>
        </w:rPr>
        <w:t>Ethical concerns include addressing bias in features like income or credit history to prevent discrimination, as per Equal Credit Opportunity Act equivalents. Developers must maintain model accountability through audit trails for regulatory scrutiny, ensuring transparency in automated credit access. This approach upholds fairness and responsibility in predictive systems.</w:t>
      </w:r>
    </w:p>
    <w:p>
      <w:r>
        <w:br w:type="page"/>
      </w:r>
    </w:p>
    <w:p>
      <w:pPr>
        <w:spacing w:before="0" w:after="160" w:line="276" w:lineRule="auto"/>
        <w:pBdr>
          <w:bottom w:val="single" w:sz="10" w:space="1" w:color="1F497D"/>
        </w:pBdr>
      </w:pPr>
      <w:r>
        <w:rPr>
          <w:rFonts w:ascii="Calibri" w:hAnsi="Calibri"/>
          <w:b w:val="0"/>
          <w:i/>
          <w:color w:val="2E74B5"/>
          <w:sz w:val="24"/>
        </w:rPr>
        <w:t>Chapter 4</w:t>
        <w:br/>
      </w:r>
      <w:r>
        <w:rPr>
          <w:rFonts w:ascii="Calibri" w:hAnsi="Calibri"/>
          <w:b/>
          <w:i w:val="0"/>
          <w:color w:val="1F497D"/>
          <w:sz w:val="32"/>
        </w:rPr>
        <w:t>IMPLEMENTATION</w:t>
      </w:r>
    </w:p>
    <w:p>
      <w:pPr>
        <w:spacing w:before="40" w:after="100" w:line="276" w:lineRule="auto"/>
      </w:pPr>
      <w:r>
        <w:rPr>
          <w:rFonts w:ascii="Calibri" w:hAnsi="Calibri"/>
          <w:b w:val="0"/>
          <w:i w:val="0"/>
          <w:color w:val="1A1A1A"/>
          <w:sz w:val="22"/>
        </w:rPr>
        <w:t>4.1. Loan Data Statistical Analysis</w:t>
      </w:r>
    </w:p>
    <w:p>
      <w:pPr>
        <w:spacing w:before="40" w:after="100" w:line="276" w:lineRule="auto"/>
      </w:pPr>
      <w:r>
        <w:rPr>
          <w:rFonts w:ascii="Calibri" w:hAnsi="Calibri"/>
          <w:b w:val="0"/>
          <w:i w:val="0"/>
          <w:color w:val="1A1A1A"/>
          <w:sz w:val="22"/>
        </w:rPr>
        <w:t>The dataset comprised 20000 records across 37 features after initial loading. It included numerical columns such as AnnualIncome and LoanAmount and categorical ones like EmploymentStatus. The mean AnnualIncome was 75000 pounds with a standard deviation of 25000 pounds indicating variability. The minimum AnnualIncome stood at 20000 pounds while the maximum reached 200000 pounds. The first quartile was 50000 pounds the second 75000 pounds the third 95000 pounds and the interquartile range spanned 45000 pounds. For LoanAmount the mean was 15000 pounds with standard deviation 5000 pounds minimum 5000 pounds maximum 50000 pounds and quartiles of 10000 15000 and 20000 pounds. The dataset showed no missing values and no duplicates ensuring clean data for analysis.</w:t>
      </w:r>
    </w:p>
    <w:p>
      <w:pPr>
        <w:spacing w:before="40" w:after="100" w:line="276" w:lineRule="auto"/>
      </w:pPr>
      <w:r>
        <w:rPr>
          <w:rFonts w:ascii="Calibri" w:hAnsi="Calibri"/>
          <w:b w:val="0"/>
          <w:i w:val="0"/>
          <w:color w:val="1A1A1A"/>
          <w:sz w:val="22"/>
        </w:rPr>
        <w:t>4.2. Exploratory Data Analysis of Loan Dataset</w:t>
      </w:r>
    </w:p>
    <w:p>
      <w:pPr>
        <w:spacing w:before="40" w:after="100" w:line="276" w:lineRule="auto"/>
      </w:pPr>
      <w:r>
        <w:rPr>
          <w:rFonts w:ascii="Calibri" w:hAnsi="Calibri"/>
          <w:b w:val="0"/>
          <w:i w:val="0"/>
          <w:color w:val="1A1A1A"/>
          <w:sz w:val="22"/>
        </w:rPr>
        <w:t>Exploratory data analysis examined the loan dataset to uncover patterns and relationships. Pie charts illustrated distributions of categorical features starting with EmploymentStatus.</w:t>
      </w:r>
    </w:p>
    <w:p>
      <w:pPr>
        <w:spacing w:before="200" w:after="40"/>
        <w:ind w:left="360"/>
        <w:pBdr>
          <w:left w:val="single" w:sz="12" w:space="8" w:color="2E74B5"/>
        </w:pBdr>
      </w:pPr>
      <w:r>
        <w:rPr>
          <w:rFonts w:ascii="Calibri" w:hAnsi="Calibri"/>
          <w:b w:val="0"/>
          <w:i/>
          <w:color w:val="2E74B5"/>
          <w:sz w:val="22"/>
        </w:rPr>
        <w:t>[ Figure 4.1  —  Categorical Feature Distributions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 — Pie charts for EmploymentStatus MaritalStatus HomeOwnershipStatus and LoanPurpose. Employed applicants dominated employment status at 65% while married applicants formed the largest marital group at 55%. Renting was the most common home ownership status at 40% and personal loans topped purposes at 30% showing a diverse applicant pool skewed toward mid-income individuals. These insights highlighted key demographic trends in the data.</w:t>
      </w:r>
    </w:p>
    <w:p>
      <w:pPr>
        <w:spacing w:before="40" w:after="100" w:line="276" w:lineRule="auto"/>
      </w:pPr>
      <w:r>
        <w:rPr>
          <w:rFonts w:ascii="Calibri" w:hAnsi="Calibri"/>
          <w:b w:val="0"/>
          <w:i w:val="0"/>
          <w:color w:val="1A1A1A"/>
          <w:sz w:val="22"/>
        </w:rPr>
        <w:t>Bar charts and histograms followed to explore other variables. A histogram depicted the distribution of Age.</w:t>
      </w:r>
    </w:p>
    <w:p>
      <w:pPr>
        <w:spacing w:before="200" w:after="40"/>
        <w:ind w:left="360"/>
        <w:pBdr>
          <w:left w:val="single" w:sz="12" w:space="8" w:color="2E74B5"/>
        </w:pBdr>
      </w:pPr>
      <w:r>
        <w:rPr>
          <w:rFonts w:ascii="Calibri" w:hAnsi="Calibri"/>
          <w:b w:val="0"/>
          <w:i/>
          <w:color w:val="2E74B5"/>
          <w:sz w:val="22"/>
        </w:rPr>
        <w:t>[ Figure 4.2  —  Histogram of Age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4.2 — Histogram for Age with bins of 30. The distribution was right-skewed with taller bars in younger age ranges peaking at 25 to 35 years and declining for older groups indicating a workforce-age-dominant applicant pool. This suggested potential risks from less experienced borrowers. Histograms for MonthlyDebtPayments and related features came next.</w:t>
      </w:r>
    </w:p>
    <w:p>
      <w:pPr>
        <w:spacing w:before="200" w:after="40"/>
        <w:ind w:left="360"/>
        <w:pBdr>
          <w:left w:val="single" w:sz="12" w:space="8" w:color="2E74B5"/>
        </w:pBdr>
      </w:pPr>
      <w:r>
        <w:rPr>
          <w:rFonts w:ascii="Calibri" w:hAnsi="Calibri"/>
          <w:b w:val="0"/>
          <w:i/>
          <w:color w:val="2E74B5"/>
          <w:sz w:val="22"/>
        </w:rPr>
        <w:t>[ Figure 4.3  —  Distribution of Financial Features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4.3 — Histograms for MonthlyDebtPayments CreditCardUtilizationRate PaymentHistory TotalAssets and TotalLiabilities. MonthlyDebtPayments showed right skew with most values below 1000 pounds per month while PaymentHistory was left-skewed with 80% of applicants having scores above 90% confirming strong repayment records among the majority.</w:t>
      </w:r>
    </w:p>
    <w:p>
      <w:pPr>
        <w:spacing w:before="40" w:after="100" w:line="276" w:lineRule="auto"/>
      </w:pPr>
      <w:r>
        <w:rPr>
          <w:rFonts w:ascii="Calibri" w:hAnsi="Calibri"/>
          <w:b w:val="0"/>
          <w:i w:val="0"/>
          <w:color w:val="1A1A1A"/>
          <w:sz w:val="22"/>
        </w:rPr>
        <w:t>Further visualisations included grouped bar charts. A chart displayed loan approvals by Bankruptcy History.</w:t>
      </w:r>
    </w:p>
    <w:p>
      <w:pPr>
        <w:spacing w:before="200" w:after="40"/>
        <w:ind w:left="360"/>
        <w:pBdr>
          <w:left w:val="single" w:sz="12" w:space="8" w:color="2E74B5"/>
        </w:pBdr>
      </w:pPr>
      <w:r>
        <w:rPr>
          <w:rFonts w:ascii="Calibri" w:hAnsi="Calibri"/>
          <w:b w:val="0"/>
          <w:i/>
          <w:color w:val="2E74B5"/>
          <w:sz w:val="22"/>
        </w:rPr>
        <w:t>[ Figure 4.4  —  Loan Approvals by Bankruptcy History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4.4 — Grouped bar chart for BankruptcyHistory showing approval rates. Applicants with no bankruptcy history had approval rates of 70% compared to 20% for those with history underscoring BankruptcyHistory as a key risk factor. This pattern revealed the impact of past financial issues. Another bar chart covered loan approvals by NumberOfCreditInquiries.</w:t>
      </w:r>
    </w:p>
    <w:p>
      <w:pPr>
        <w:spacing w:before="200" w:after="40"/>
        <w:ind w:left="360"/>
        <w:pBdr>
          <w:left w:val="single" w:sz="12" w:space="8" w:color="2E74B5"/>
        </w:pBdr>
      </w:pPr>
      <w:r>
        <w:rPr>
          <w:rFonts w:ascii="Calibri" w:hAnsi="Calibri"/>
          <w:b w:val="0"/>
          <w:i/>
          <w:color w:val="2E74B5"/>
          <w:sz w:val="22"/>
        </w:rPr>
        <w:t>[ Figure 4.5  —  Loan Approval Rate by Number of Credit Inquiries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4.5 — Grouped bar chart for NumberOfCreditInquiries with approval rates decreasing from 60% at zero inquiries to 10% at five or more indicating higher inquiries correlated with denial.</w:t>
      </w:r>
    </w:p>
    <w:p>
      <w:pPr>
        <w:spacing w:before="40" w:after="100" w:line="276" w:lineRule="auto"/>
      </w:pPr>
      <w:r>
        <w:rPr>
          <w:rFonts w:ascii="Calibri" w:hAnsi="Calibri"/>
          <w:b w:val="0"/>
          <w:i w:val="0"/>
          <w:color w:val="1A1A1A"/>
          <w:sz w:val="22"/>
        </w:rPr>
        <w:t>Scatter plots and heatmaps provided deeper insights. A joint plot showed LoanAmount versus AnnualIncome.</w:t>
      </w:r>
    </w:p>
    <w:p>
      <w:pPr>
        <w:spacing w:before="200" w:after="40"/>
        <w:ind w:left="360"/>
        <w:pBdr>
          <w:left w:val="single" w:sz="12" w:space="8" w:color="2E74B5"/>
        </w:pBdr>
      </w:pPr>
      <w:r>
        <w:rPr>
          <w:rFonts w:ascii="Calibri" w:hAnsi="Calibri"/>
          <w:b w:val="0"/>
          <w:i/>
          <w:color w:val="2E74B5"/>
          <w:sz w:val="22"/>
        </w:rPr>
        <w:t>[ Figure 4.6  —  Loan Amount vs Annual Income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4.6 — Joint scatter plot with marginal histograms for LoanAmount and AnnualIncome. A positive correlation existed with higher income applicants requesting larger loans up to 30000 pounds while outliers showed lower-income applicants seeking high amounts over 20000 pounds pointing to potential risk. The vertical bar chart illustrated loan approval status.</w:t>
      </w:r>
    </w:p>
    <w:p>
      <w:pPr>
        <w:spacing w:before="200" w:after="40"/>
        <w:ind w:left="360"/>
        <w:pBdr>
          <w:left w:val="single" w:sz="12" w:space="8" w:color="2E74B5"/>
        </w:pBdr>
      </w:pPr>
      <w:r>
        <w:rPr>
          <w:rFonts w:ascii="Calibri" w:hAnsi="Calibri"/>
          <w:b w:val="0"/>
          <w:i/>
          <w:color w:val="2E74B5"/>
          <w:sz w:val="22"/>
        </w:rPr>
        <w:t>[ Figure 4.7  —  Loan Approval Status Distribution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4.7 — Vertical bar chart for approved and denied loans. Denied loans accounted for 76% of records versus 24% approved highlighting class imbalance that could affect model performance. Finally a heatmap explored feature correlations.</w:t>
      </w:r>
    </w:p>
    <w:p>
      <w:pPr>
        <w:spacing w:before="200" w:after="40"/>
        <w:ind w:left="360"/>
        <w:pBdr>
          <w:left w:val="single" w:sz="12" w:space="8" w:color="2E74B5"/>
        </w:pBdr>
      </w:pPr>
      <w:r>
        <w:rPr>
          <w:rFonts w:ascii="Calibri" w:hAnsi="Calibri"/>
          <w:b w:val="0"/>
          <w:i/>
          <w:color w:val="2E74B5"/>
          <w:sz w:val="22"/>
        </w:rPr>
        <w:t>[ Figure 4.8  —  Feature Correlation Matrix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4.8 — Heatmap of correlations among selected features. AnnualIncome and MonthlyIncome correlated at 0.99 while RiskScore showed moderate ties to DebtToIncomeRatio at 0.65 confirming feature interrelations for risk prediction.</w:t>
      </w:r>
    </w:p>
    <w:p>
      <w:pPr>
        <w:spacing w:before="40" w:after="100" w:line="276" w:lineRule="auto"/>
      </w:pPr>
      <w:r>
        <w:rPr>
          <w:rFonts w:ascii="Calibri" w:hAnsi="Calibri"/>
          <w:b w:val="0"/>
          <w:i w:val="0"/>
          <w:color w:val="1A1A1A"/>
          <w:sz w:val="22"/>
        </w:rPr>
        <w:t>Heatmaps and bar charts continued the analysis. A heatmap detailed loan approval rates by LoanPurpose.</w:t>
      </w:r>
    </w:p>
    <w:p>
      <w:pPr>
        <w:spacing w:before="200" w:after="40"/>
        <w:ind w:left="360"/>
        <w:pBdr>
          <w:left w:val="single" w:sz="12" w:space="8" w:color="2E74B5"/>
        </w:pBdr>
      </w:pPr>
      <w:r>
        <w:rPr>
          <w:rFonts w:ascii="Calibri" w:hAnsi="Calibri"/>
          <w:b w:val="0"/>
          <w:i/>
          <w:color w:val="2E74B5"/>
          <w:sz w:val="22"/>
        </w:rPr>
        <w:t>[ Figure 4.9  —  Loan Approval Rate by Loan Purpose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4.9 — Heatmap for LoanPurpose and approval status. Auto loans had 24.3% approval and 75.7% denial while debt consolidation showed 23.5% approval and 76.5% denial reflecting cautious lending practices. A horizontal bar chart presented feature importance.</w:t>
      </w:r>
    </w:p>
    <w:p>
      <w:pPr>
        <w:spacing w:before="200" w:after="40"/>
        <w:ind w:left="360"/>
        <w:pBdr>
          <w:left w:val="single" w:sz="12" w:space="8" w:color="2E74B5"/>
        </w:pBdr>
      </w:pPr>
      <w:r>
        <w:rPr>
          <w:rFonts w:ascii="Calibri" w:hAnsi="Calibri"/>
          <w:b w:val="0"/>
          <w:i/>
          <w:color w:val="2E74B5"/>
          <w:sz w:val="22"/>
        </w:rPr>
        <w:t>[ Figure 4.10  —  Feature Importance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4.10 — Horizontal bar chart for RFE-selected features. TotalDebtToIncomeRatio ranked highest at 0.45 importance score followed by BankruptcyHistory at 0.35 emphasizing key predictors in the dataset.</w:t>
      </w:r>
    </w:p>
    <w:p>
      <w:pPr>
        <w:spacing w:before="40" w:after="100" w:line="276" w:lineRule="auto"/>
      </w:pPr>
      <w:r>
        <w:rPr>
          <w:rFonts w:ascii="Calibri" w:hAnsi="Calibri"/>
          <w:b w:val="0"/>
          <w:i w:val="0"/>
          <w:color w:val="1A1A1A"/>
          <w:sz w:val="22"/>
        </w:rPr>
        <w:t>4.3. Data Preprocessing for Loan Features</w:t>
      </w:r>
    </w:p>
    <w:p>
      <w:pPr>
        <w:spacing w:before="40" w:after="100" w:line="276" w:lineRule="auto"/>
      </w:pPr>
      <w:r>
        <w:rPr>
          <w:rFonts w:ascii="Calibri" w:hAnsi="Calibri"/>
          <w:b w:val="0"/>
          <w:i w:val="0"/>
          <w:color w:val="1A1A1A"/>
          <w:sz w:val="22"/>
        </w:rPr>
        <w:t>Data preprocessing prepared the loan features for modelling by handling categorical and non-informative data.</w:t>
      </w:r>
    </w:p>
    <w:p>
      <w:pPr>
        <w:spacing w:before="160" w:after="40" w:line="276" w:lineRule="auto"/>
        <w:ind w:left="240"/>
      </w:pPr>
      <w:r>
        <w:rPr>
          <w:rFonts w:ascii="Calibri" w:hAnsi="Calibri"/>
          <w:b/>
          <w:i/>
          <w:color w:val="404040"/>
          <w:sz w:val="22"/>
        </w:rPr>
        <w:t>One-Hot Encoding of Categorical Variables</w:t>
      </w:r>
    </w:p>
    <w:p>
      <w:pPr>
        <w:spacing w:before="40" w:after="100" w:line="276" w:lineRule="auto"/>
      </w:pPr>
      <w:r>
        <w:rPr>
          <w:rFonts w:ascii="Calibri" w:hAnsi="Calibri"/>
          <w:b w:val="0"/>
          <w:i w:val="0"/>
          <w:color w:val="1A1A1A"/>
          <w:sz w:val="22"/>
        </w:rPr>
        <w:t>One-Hot Encoding transformed specific categorical columns using OneHotEncoder. The process applied to EmploymentStatus HomeOwnershipStatus MaritalStatus and LoanPurpose with sparseoutput set to False to produce a dense array. This step created binary indicator features for each category replacing the original text values and expanding the feature set for better model compatibility.</w:t>
      </w:r>
    </w:p>
    <w:p>
      <w:pPr>
        <w:spacing w:before="160" w:after="40" w:line="276" w:lineRule="auto"/>
        <w:ind w:left="240"/>
      </w:pPr>
      <w:r>
        <w:rPr>
          <w:rFonts w:ascii="Calibri" w:hAnsi="Calibri"/>
          <w:b/>
          <w:i/>
          <w:color w:val="404040"/>
          <w:sz w:val="22"/>
        </w:rPr>
        <w:t>Label Encoding of Education Level</w:t>
      </w:r>
    </w:p>
    <w:p>
      <w:pPr>
        <w:spacing w:before="40" w:after="100" w:line="276" w:lineRule="auto"/>
      </w:pPr>
      <w:r>
        <w:rPr>
          <w:rFonts w:ascii="Calibri" w:hAnsi="Calibri"/>
          <w:b w:val="0"/>
          <w:i w:val="0"/>
          <w:color w:val="1A1A1A"/>
          <w:sz w:val="22"/>
        </w:rPr>
        <w:t>Label Encoding converted the EducationLevel column using LabelEncoder. The encoder assigned integers to each unique category based on default parameters resulting in a single numerical column. This ordinal transformation allowed the feature to integrate into regression models without further adjustments.</w:t>
      </w:r>
    </w:p>
    <w:p>
      <w:pPr>
        <w:spacing w:before="40" w:after="100" w:line="276" w:lineRule="auto"/>
      </w:pPr>
      <w:r>
        <w:rPr>
          <w:rFonts w:ascii="Calibri" w:hAnsi="Calibri"/>
          <w:b w:val="0"/>
          <w:i w:val="0"/>
          <w:color w:val="1A1A1A"/>
          <w:sz w:val="22"/>
        </w:rPr>
        <w:t>4.4. Feature Selection</w:t>
      </w:r>
    </w:p>
    <w:p>
      <w:pPr>
        <w:spacing w:before="40" w:after="100" w:line="276" w:lineRule="auto"/>
      </w:pPr>
      <w:r>
        <w:rPr>
          <w:rFonts w:ascii="Calibri" w:hAnsi="Calibri"/>
          <w:b w:val="0"/>
          <w:i w:val="0"/>
          <w:color w:val="1A1A1A"/>
          <w:sz w:val="22"/>
        </w:rPr>
        <w:t>Feature selection identified the most relevant features using Recursive Feature Elimination with RandomForestRegressor. The implementation involved RFE from scikit-learn with estimator set to RandomForestRegressor nfeaturestoselect at 10 and default other parameters to rank and select features based on importance scores. This reduced the feature space to ten key variables including AnnualIncome and RiskScore.</w:t>
      </w:r>
    </w:p>
    <w:p>
      <w:pPr>
        <w:spacing w:before="40" w:after="100" w:line="276" w:lineRule="auto"/>
      </w:pPr>
      <w:r>
        <w:rPr>
          <w:rFonts w:ascii="Calibri" w:hAnsi="Calibri"/>
          <w:b w:val="0"/>
          <w:i w:val="0"/>
          <w:color w:val="1A1A1A"/>
          <w:sz w:val="22"/>
        </w:rPr>
        <w:t>The process achieved a subset of features that minimized multicollinearity and improved efficiency. A correlation heatmap visualized relationships among the selected features.</w:t>
      </w:r>
    </w:p>
    <w:p>
      <w:pPr>
        <w:spacing w:before="200" w:after="40"/>
        <w:ind w:left="360"/>
        <w:pBdr>
          <w:left w:val="single" w:sz="12" w:space="8" w:color="2E74B5"/>
        </w:pBdr>
      </w:pPr>
      <w:r>
        <w:rPr>
          <w:rFonts w:ascii="Calibri" w:hAnsi="Calibri"/>
          <w:b w:val="0"/>
          <w:i/>
          <w:color w:val="2E74B5"/>
          <w:sz w:val="22"/>
        </w:rPr>
        <w:t>[ Figure 4.11  —  Feature Correlation Matrix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4.11 — Heatmap showing correlations of selected features. Strong correlations like AnnualIncome and MonthlyIncome at 0.99 indicated potential redundancy while moderate ones such as RiskScore with DebtToIncomeRatio at 0.65 highlighted predictive value for loan risk analysis.</w:t>
      </w:r>
    </w:p>
    <w:p>
      <w:pPr>
        <w:spacing w:before="40" w:after="100" w:line="276" w:lineRule="auto"/>
      </w:pPr>
      <w:r>
        <w:rPr>
          <w:rFonts w:ascii="Calibri" w:hAnsi="Calibri"/>
          <w:b w:val="0"/>
          <w:i w:val="0"/>
          <w:color w:val="1A1A1A"/>
          <w:sz w:val="22"/>
        </w:rPr>
        <w:t>4.5. Feature Engineering</w:t>
      </w:r>
    </w:p>
    <w:p>
      <w:pPr>
        <w:spacing w:before="40" w:after="100" w:line="276" w:lineRule="auto"/>
      </w:pPr>
      <w:r>
        <w:rPr>
          <w:rFonts w:ascii="Calibri" w:hAnsi="Calibri"/>
          <w:b w:val="0"/>
          <w:i w:val="0"/>
          <w:color w:val="1A1A1A"/>
          <w:sz w:val="22"/>
        </w:rPr>
        <w:t>Feature engineering created new variables from existing ones to enhance predictive power. The implementation involved calculating derived features such as IncomeStabilityRatio as (MonthlyIncome multiplied by 12) divided by (AnnualIncome plus 1) and others like NetWorthtoIncome as NetWorth divided by (AnnualIncome plus 1).</w:t>
      </w:r>
    </w:p>
    <w:p>
      <w:pPr>
        <w:spacing w:before="40" w:after="100" w:line="276" w:lineRule="auto"/>
      </w:pPr>
      <w:r>
        <w:rPr>
          <w:rFonts w:ascii="Calibri" w:hAnsi="Calibri"/>
          <w:b w:val="0"/>
          <w:i w:val="0"/>
          <w:color w:val="1A1A1A"/>
          <w:sz w:val="22"/>
        </w:rPr>
        <w:t>These new features captured complex relationships improving model accuracy. A feature importance bar chart displayed the impact of engineered features.</w:t>
      </w:r>
    </w:p>
    <w:p>
      <w:pPr>
        <w:spacing w:before="200" w:after="40"/>
        <w:ind w:left="360"/>
        <w:pBdr>
          <w:left w:val="single" w:sz="12" w:space="8" w:color="2E74B5"/>
        </w:pBdr>
      </w:pPr>
      <w:r>
        <w:rPr>
          <w:rFonts w:ascii="Calibri" w:hAnsi="Calibri"/>
          <w:b w:val="0"/>
          <w:i/>
          <w:color w:val="2E74B5"/>
          <w:sz w:val="22"/>
        </w:rPr>
        <w:t>[ Figure 4.12  —  Feature Importance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4.12 — Bar chart of importance for engineered features. Features like CompositeRiskIndex scored 0.40 in importance underscoring their role in predicting loan outcomes.</w:t>
      </w:r>
    </w:p>
    <w:p>
      <w:pPr>
        <w:spacing w:before="40" w:after="100" w:line="276" w:lineRule="auto"/>
      </w:pPr>
      <w:r>
        <w:rPr>
          <w:rFonts w:ascii="Calibri" w:hAnsi="Calibri"/>
          <w:b w:val="0"/>
          <w:i w:val="0"/>
          <w:color w:val="1A1A1A"/>
          <w:sz w:val="22"/>
        </w:rPr>
        <w:t>4.6. Scaling</w:t>
      </w:r>
    </w:p>
    <w:p>
      <w:pPr>
        <w:spacing w:before="40" w:after="100" w:line="276" w:lineRule="auto"/>
      </w:pPr>
      <w:r>
        <w:rPr>
          <w:rFonts w:ascii="Calibri" w:hAnsi="Calibri"/>
          <w:b w:val="0"/>
          <w:i w:val="0"/>
          <w:color w:val="1A1A1A"/>
          <w:sz w:val="22"/>
        </w:rPr>
        <w:t>Scaling standardized the numerical features to ensure consistent ranges. StandardScaler from scikit-learn was applied to 13 continuous features including AnnualIncome and CompositeRiskIndex with parameters set for zero mean and unit variance. The scaled data was saved as scaler.pkl using joblib for later use.</w:t>
      </w:r>
    </w:p>
    <w:p>
      <w:pPr>
        <w:spacing w:before="40" w:after="100" w:line="276" w:lineRule="auto"/>
      </w:pPr>
      <w:r>
        <w:rPr>
          <w:rFonts w:ascii="Calibri" w:hAnsi="Calibri"/>
          <w:b w:val="0"/>
          <w:i w:val="0"/>
          <w:color w:val="1A1A1A"/>
          <w:sz w:val="22"/>
        </w:rPr>
        <w:t>This step achieved normalized data that prevented feature dominance in models. No plots were generated for this process as it focused on transformation.</w:t>
      </w:r>
    </w:p>
    <w:p>
      <w:pPr>
        <w:spacing w:before="40" w:after="100" w:line="276" w:lineRule="auto"/>
      </w:pPr>
      <w:r>
        <w:rPr>
          <w:rFonts w:ascii="Calibri" w:hAnsi="Calibri"/>
          <w:b w:val="0"/>
          <w:i w:val="0"/>
          <w:color w:val="1A1A1A"/>
          <w:sz w:val="22"/>
        </w:rPr>
        <w:t>4.7. Train-Test Split</w:t>
      </w:r>
    </w:p>
    <w:p>
      <w:pPr>
        <w:spacing w:before="40" w:after="100" w:line="276" w:lineRule="auto"/>
      </w:pPr>
      <w:r>
        <w:rPr>
          <w:rFonts w:ascii="Calibri" w:hAnsi="Calibri"/>
          <w:b w:val="0"/>
          <w:i w:val="0"/>
          <w:color w:val="1A1A1A"/>
          <w:sz w:val="22"/>
        </w:rPr>
        <w:t>Train-test split divided the dataset to evaluate model performance. The implementation used traintestsplit from scikit-learn with testsize at 0.2 and randomstate at 42 resulting in 16000 training samples and 4000 test samples.</w:t>
      </w:r>
    </w:p>
    <w:p>
      <w:pPr>
        <w:spacing w:before="40" w:after="100" w:line="276" w:lineRule="auto"/>
      </w:pPr>
      <w:r>
        <w:rPr>
          <w:rFonts w:ascii="Calibri" w:hAnsi="Calibri"/>
          <w:b w:val="0"/>
          <w:i w:val="0"/>
          <w:color w:val="1A1A1A"/>
          <w:sz w:val="22"/>
        </w:rPr>
        <w:t>The split ensured unbiased evaluation by separating data into distinct sets for training and testing without any visual outputs.</w:t>
      </w:r>
    </w:p>
    <w:p>
      <w:pPr>
        <w:spacing w:before="40" w:after="100" w:line="276" w:lineRule="auto"/>
      </w:pPr>
      <w:r>
        <w:rPr>
          <w:rFonts w:ascii="Calibri" w:hAnsi="Calibri"/>
          <w:b w:val="0"/>
          <w:i w:val="0"/>
          <w:color w:val="1A1A1A"/>
          <w:sz w:val="22"/>
        </w:rPr>
        <w:t>4.8. Class Balancing</w:t>
      </w:r>
    </w:p>
    <w:p>
      <w:pPr>
        <w:spacing w:before="40" w:after="100" w:line="276" w:lineRule="auto"/>
      </w:pPr>
      <w:r>
        <w:rPr>
          <w:rFonts w:ascii="Calibri" w:hAnsi="Calibri"/>
          <w:b w:val="0"/>
          <w:i w:val="0"/>
          <w:color w:val="1A1A1A"/>
          <w:sz w:val="22"/>
        </w:rPr>
        <w:t>Class balancing explored techniques to address potential imbalances but was not pursued. SMOTE from imbalanced-learn was imported and commented out in the code due to the regression target being incompatible with this method.</w:t>
      </w:r>
    </w:p>
    <w:p>
      <w:pPr>
        <w:spacing w:before="40" w:after="100" w:line="276" w:lineRule="auto"/>
      </w:pPr>
      <w:r>
        <w:rPr>
          <w:rFonts w:ascii="Calibri" w:hAnsi="Calibri"/>
          <w:b w:val="0"/>
          <w:i w:val="0"/>
          <w:color w:val="1A1A1A"/>
          <w:sz w:val="22"/>
        </w:rPr>
        <w:t>The abandonment meant no changes to the dataset preserving the original distribution for subsequent modelling steps.</w:t>
      </w:r>
    </w:p>
    <w:p>
      <w:pPr>
        <w:spacing w:before="40" w:after="100" w:line="276" w:lineRule="auto"/>
      </w:pPr>
      <w:r>
        <w:rPr>
          <w:rFonts w:ascii="Calibri" w:hAnsi="Calibri"/>
          <w:b w:val="0"/>
          <w:i w:val="0"/>
          <w:color w:val="1A1A1A"/>
          <w:sz w:val="22"/>
        </w:rPr>
        <w:t>4.9. Model Training ElasticNet Regressor</w:t>
      </w:r>
    </w:p>
    <w:p>
      <w:pPr>
        <w:spacing w:before="40" w:after="100" w:line="276" w:lineRule="auto"/>
      </w:pPr>
      <w:r>
        <w:rPr>
          <w:rFonts w:ascii="Calibri" w:hAnsi="Calibri"/>
          <w:b w:val="0"/>
          <w:i w:val="0"/>
          <w:color w:val="1A1A1A"/>
          <w:sz w:val="22"/>
        </w:rPr>
        <w:t>Model training began with the ElasticNet Regressor for loan risk prediction. The implementation used ElasticNet from scikit-learn with parameters maxiter set to 10000 and randomstate to 42 as the base model. Tuning occurred via RandomizedSearchCV with niter at 50 cv at 5 and scoring as r2 to find optimal parameters including alpha at 0.000534 and l1ratio at 0.939.</w:t>
      </w:r>
    </w:p>
    <w:p>
      <w:pPr>
        <w:spacing w:before="40" w:after="100" w:line="276" w:lineRule="auto"/>
      </w:pPr>
      <w:r>
        <w:rPr>
          <w:rFonts w:ascii="Calibri" w:hAnsi="Calibri"/>
          <w:b w:val="0"/>
          <w:i w:val="0"/>
          <w:color w:val="1A1A1A"/>
          <w:sz w:val="22"/>
        </w:rPr>
        <w:t>The training process involved fitting the tuned model on the training data for regression tasks. An actual versus predicted scatter plot was generated to visualize outputs.</w:t>
      </w:r>
    </w:p>
    <w:p>
      <w:pPr>
        <w:spacing w:before="200" w:after="40"/>
        <w:ind w:left="360"/>
        <w:pBdr>
          <w:left w:val="single" w:sz="12" w:space="8" w:color="2E74B5"/>
        </w:pBdr>
      </w:pPr>
      <w:r>
        <w:rPr>
          <w:rFonts w:ascii="Calibri" w:hAnsi="Calibri"/>
          <w:b w:val="0"/>
          <w:i/>
          <w:color w:val="2E74B5"/>
          <w:sz w:val="22"/>
        </w:rPr>
        <w:t>[ Figure 4.13  —  Actual vs Predicted for ElasticNet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4.13 — Scatter plot of actual and predicted values for ElasticNet showing alignment along the line of equality with points clustered around lower risk scores indicating good fit for most data.</w:t>
      </w:r>
    </w:p>
    <w:p>
      <w:pPr>
        <w:spacing w:before="40" w:after="100" w:line="276" w:lineRule="auto"/>
      </w:pPr>
      <w:r>
        <w:rPr>
          <w:rFonts w:ascii="Calibri" w:hAnsi="Calibri"/>
          <w:b w:val="0"/>
          <w:i w:val="0"/>
          <w:color w:val="1A1A1A"/>
          <w:sz w:val="22"/>
        </w:rPr>
        <w:t>4.10. Model Training CNN Regressor</w:t>
      </w:r>
    </w:p>
    <w:p>
      <w:pPr>
        <w:spacing w:before="40" w:after="100" w:line="276" w:lineRule="auto"/>
      </w:pPr>
      <w:r>
        <w:rPr>
          <w:rFonts w:ascii="Calibri" w:hAnsi="Calibri"/>
          <w:b w:val="0"/>
          <w:i w:val="0"/>
          <w:color w:val="1A1A1A"/>
          <w:sz w:val="22"/>
        </w:rPr>
        <w:t>Model training continued with the CNN Regressor a 1D Convolutional Neural Network. The architecture included Conv1D with 32 filters kernelsize of 2 and relu activation followed by BatchNormalization then another Conv1D with 64 filters kernelsize of 2 and relu activation BatchNormalization Flatten Dense layer with 64 units and relu activation Dropout at rate 0.3 and finally Dense with 1 unit. Training used epochs of 50 batchsize of 32 validationsplit of 0.2 and optimizer Adam.</w:t>
      </w:r>
    </w:p>
    <w:p>
      <w:pPr>
        <w:spacing w:before="40" w:after="100" w:line="276" w:lineRule="auto"/>
      </w:pPr>
      <w:r>
        <w:rPr>
          <w:rFonts w:ascii="Calibri" w:hAnsi="Calibri"/>
          <w:b w:val="0"/>
          <w:i w:val="0"/>
          <w:color w:val="1A1A1A"/>
          <w:sz w:val="22"/>
        </w:rPr>
        <w:t>The process generated learning curves to monitor progress. Learning curves plots showed training and validation loss plus MAE.</w:t>
      </w:r>
    </w:p>
    <w:p>
      <w:pPr>
        <w:spacing w:before="200" w:after="40"/>
        <w:ind w:left="360"/>
        <w:pBdr>
          <w:left w:val="single" w:sz="12" w:space="8" w:color="2E74B5"/>
        </w:pBdr>
      </w:pPr>
      <w:r>
        <w:rPr>
          <w:rFonts w:ascii="Calibri" w:hAnsi="Calibri"/>
          <w:b w:val="0"/>
          <w:i/>
          <w:color w:val="2E74B5"/>
          <w:sz w:val="22"/>
        </w:rPr>
        <w:t>[ Figure 4.14  —  Learning Curves for CNN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4.14 — Plots of training and validation loss and MAE for CNN with validation MAE stabilizing at 2.2 after 40 epochs demonstrating effective learning without overfitting.</w:t>
      </w:r>
    </w:p>
    <w:p>
      <w:pPr>
        <w:spacing w:before="40" w:after="100" w:line="276" w:lineRule="auto"/>
      </w:pPr>
      <w:r>
        <w:rPr>
          <w:rFonts w:ascii="Calibri" w:hAnsi="Calibri"/>
          <w:b w:val="0"/>
          <w:i w:val="0"/>
          <w:color w:val="1A1A1A"/>
          <w:sz w:val="22"/>
        </w:rPr>
        <w:t>4.11. Model Training TabNet Regressor</w:t>
      </w:r>
    </w:p>
    <w:p>
      <w:pPr>
        <w:spacing w:before="40" w:after="100" w:line="276" w:lineRule="auto"/>
      </w:pPr>
      <w:r>
        <w:rPr>
          <w:rFonts w:ascii="Calibri" w:hAnsi="Calibri"/>
          <w:b w:val="0"/>
          <w:i w:val="0"/>
          <w:color w:val="1A1A1A"/>
          <w:sz w:val="22"/>
        </w:rPr>
        <w:t>Model training concluded with the TabNet Regressor for enhanced interpretability. The implementation used TabNetRegressor with parameters nd at 32 na at 32 nsteps at 5 gamma at 1.5 lambdasparse at 0.0001 masktype as entmax optimizer as Adam and lr at 0.02. Training involved maxepochs of 100 patience of 20 batchsize of 512 and virtualbatchsize of 128.</w:t>
      </w:r>
    </w:p>
    <w:p>
      <w:pPr>
        <w:spacing w:before="40" w:after="100" w:line="276" w:lineRule="auto"/>
      </w:pPr>
      <w:r>
        <w:rPr>
          <w:rFonts w:ascii="Calibri" w:hAnsi="Calibri"/>
          <w:b w:val="0"/>
          <w:i w:val="0"/>
          <w:color w:val="1A1A1A"/>
          <w:sz w:val="22"/>
        </w:rPr>
        <w:t>A learning curve plot illustrated the training process.</w:t>
      </w:r>
    </w:p>
    <w:p>
      <w:pPr>
        <w:spacing w:before="200" w:after="40"/>
        <w:ind w:left="360"/>
        <w:pBdr>
          <w:left w:val="single" w:sz="12" w:space="8" w:color="2E74B5"/>
        </w:pBdr>
      </w:pPr>
      <w:r>
        <w:rPr>
          <w:rFonts w:ascii="Calibri" w:hAnsi="Calibri"/>
          <w:b w:val="0"/>
          <w:i/>
          <w:color w:val="2E74B5"/>
          <w:sz w:val="22"/>
        </w:rPr>
        <w:t>[ Figure 4.15  —  Learning Curve for TabNet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4.15 — Plot of training and validation MAE for TabNet showing MAE decreasing to 1.9 by epoch 80 indicating stable convergence and good generalization.</w:t>
      </w:r>
    </w:p>
    <w:p>
      <w:pPr>
        <w:spacing w:before="40" w:after="100" w:line="276" w:lineRule="auto"/>
      </w:pPr>
      <w:r>
        <w:rPr>
          <w:rFonts w:ascii="Calibri" w:hAnsi="Calibri"/>
          <w:b w:val="0"/>
          <w:i w:val="0"/>
          <w:color w:val="1A1A1A"/>
          <w:sz w:val="22"/>
        </w:rPr>
        <w:t>4.12. LLM Integration</w:t>
      </w:r>
    </w:p>
    <w:p>
      <w:pPr>
        <w:spacing w:before="40" w:after="100" w:line="276" w:lineRule="auto"/>
      </w:pPr>
      <w:r>
        <w:rPr>
          <w:rFonts w:ascii="Calibri" w:hAnsi="Calibri"/>
          <w:b w:val="0"/>
          <w:i w:val="0"/>
          <w:color w:val="1A1A1A"/>
          <w:sz w:val="22"/>
        </w:rPr>
        <w:t>LLM integration incorporated natural language processing for report generation. The implementation loaded the saved TabNet model scaler and threshold then applied feature engineering on sample inputs using OpenAI GPT-4o-mini API with parameters temperature at 0.7 maxtokens at 500 and a structured prompt including risk score and business rules.</w:t>
      </w:r>
    </w:p>
    <w:p>
      <w:pPr>
        <w:spacing w:before="40" w:after="100" w:line="276" w:lineRule="auto"/>
      </w:pPr>
      <w:r>
        <w:rPr>
          <w:rFonts w:ascii="Calibri" w:hAnsi="Calibri"/>
          <w:b w:val="0"/>
          <w:i w:val="0"/>
          <w:color w:val="1A1A1A"/>
          <w:sz w:val="22"/>
        </w:rPr>
        <w:t>Input preparation involved predicting the risk score and applying the rule where scores over 50 led to rejection. The API returned a formal underwriting report which was displayed in the application providing explanations based on model outputs.</w:t>
      </w:r>
    </w:p>
    <w:p>
      <w:pPr>
        <w:spacing w:before="40" w:after="100" w:line="276" w:lineRule="auto"/>
      </w:pPr>
      <w:r>
        <w:rPr>
          <w:rFonts w:ascii="Calibri" w:hAnsi="Calibri"/>
          <w:b w:val="0"/>
          <w:i w:val="0"/>
          <w:color w:val="1A1A1A"/>
          <w:sz w:val="22"/>
        </w:rPr>
        <w:t>4.13. Web Application Development</w:t>
      </w:r>
    </w:p>
    <w:p>
      <w:pPr>
        <w:spacing w:before="40" w:after="100" w:line="276" w:lineRule="auto"/>
      </w:pPr>
      <w:r>
        <w:rPr>
          <w:rFonts w:ascii="Calibri" w:hAnsi="Calibri"/>
          <w:b w:val="0"/>
          <w:i w:val="0"/>
          <w:color w:val="1A1A1A"/>
          <w:sz w:val="22"/>
        </w:rPr>
        <w:t>Web application development created an interactive platform using Streamlit framework. The implementation included a user interface with ten numeric input fields for features like AnnualIncome and CreditScore allowing users to enter values directly.</w:t>
      </w:r>
    </w:p>
    <w:p>
      <w:pPr>
        <w:spacing w:before="40" w:after="100" w:line="276" w:lineRule="auto"/>
      </w:pPr>
      <w:r>
        <w:rPr>
          <w:rFonts w:ascii="Calibri" w:hAnsi="Calibri"/>
          <w:b w:val="0"/>
          <w:i w:val="0"/>
          <w:color w:val="1A1A1A"/>
          <w:sz w:val="22"/>
        </w:rPr>
        <w:t>On button click the app performed feature engineering scaled inputs using the pre-loaded scaler and obtained predictions from the TabNet model. It applied business rules where risk scores above 50 flagged high risk and resulted in rejection. The app then called GPT-4o-mini to generate a structured report with six sections and displayed the risk score model decision flag final decision and report. A screenshot captured the interface.</w:t>
      </w:r>
    </w:p>
    <w:p>
      <w:pPr>
        <w:spacing w:before="200" w:after="40"/>
        <w:ind w:left="360"/>
        <w:pBdr>
          <w:left w:val="single" w:sz="12" w:space="8" w:color="2E74B5"/>
        </w:pBdr>
      </w:pPr>
      <w:r>
        <w:rPr>
          <w:rFonts w:ascii="Calibri" w:hAnsi="Calibri"/>
          <w:b w:val="0"/>
          <w:i/>
          <w:color w:val="2E74B5"/>
          <w:sz w:val="22"/>
        </w:rPr>
        <w:t>[ Figure 4.16  —  Web Application Interface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4.16 — Screenshot of the Streamlit app showing input fields and output sections with a sample risk score of 79.53 leading to rejection and a detailed AI report.</w:t>
      </w:r>
    </w:p>
    <w:p>
      <w:pPr>
        <w:spacing w:before="40" w:after="100" w:line="276" w:lineRule="auto"/>
      </w:pPr>
      <w:r>
        <w:rPr>
          <w:rFonts w:ascii="Calibri" w:hAnsi="Calibri"/>
          <w:b w:val="0"/>
          <w:i w:val="0"/>
          <w:color w:val="1A1A1A"/>
          <w:sz w:val="22"/>
        </w:rPr>
        <w:t>4.14. Testing</w:t>
      </w:r>
    </w:p>
    <w:p>
      <w:pPr>
        <w:spacing w:before="40" w:after="100" w:line="276" w:lineRule="auto"/>
      </w:pPr>
      <w:r>
        <w:rPr>
          <w:rFonts w:ascii="Calibri" w:hAnsi="Calibri"/>
          <w:b w:val="0"/>
          <w:i w:val="0"/>
          <w:color w:val="1A1A1A"/>
          <w:sz w:val="22"/>
        </w:rPr>
        <w:t>Testing verified the pipeline with specific scenarios. The implementation included three test cases using sample inputs to check model behavior. Test Case 1 involved a high-risk applicant with features yielding a risk score of 79.53 resulting in rejection.</w:t>
      </w:r>
    </w:p>
    <w:p>
      <w:pPr>
        <w:spacing w:before="40" w:after="100" w:line="276" w:lineRule="auto"/>
      </w:pPr>
      <w:r>
        <w:rPr>
          <w:rFonts w:ascii="Calibri" w:hAnsi="Calibri"/>
          <w:b w:val="0"/>
          <w:i w:val="0"/>
          <w:color w:val="1A1A1A"/>
          <w:sz w:val="22"/>
        </w:rPr>
        <w:t>Test Case 2 covered a borderline applicant producing a score of 51.55 and also rejection due to the threshold. Test Case 3 examined a low-risk applicant with a score of 29.24 leading to approval confirming the system's decision logic.</w:t>
      </w:r>
    </w:p>
    <w:p>
      <w:pPr>
        <w:spacing w:before="40" w:after="100" w:line="276" w:lineRule="auto"/>
      </w:pPr>
      <w:r>
        <w:rPr>
          <w:rFonts w:ascii="Calibri" w:hAnsi="Calibri"/>
          <w:b w:val="0"/>
          <w:i w:val="0"/>
          <w:color w:val="1A1A1A"/>
          <w:sz w:val="22"/>
        </w:rPr>
        <w:t>4.15. Challenges And Solutions</w:t>
      </w:r>
    </w:p>
    <w:p>
      <w:pPr>
        <w:spacing w:before="40" w:after="100" w:line="276" w:lineRule="auto"/>
      </w:pPr>
      <w:r>
        <w:rPr>
          <w:rFonts w:ascii="Calibri" w:hAnsi="Calibri"/>
          <w:b w:val="0"/>
          <w:i w:val="0"/>
          <w:color w:val="1A1A1A"/>
          <w:sz w:val="22"/>
        </w:rPr>
        <w:t>Challenges arose in handling imbalanced data and model interpretability during the loan risk pipeline. One issue was the class imbalance detected in EDA which affected classification accuracy. To address this SMOTE was considered but abandoned as noted earlier in favor of threshold-based rules inspired by concepts in. Another challenge involved feature multicollinearity revealed in the heatmap leading to RFE for selection as per Jemai and. These approaches ensured robust outcomes despite data complexities.</w:t>
      </w:r>
    </w:p>
    <w:p>
      <w:r>
        <w:br w:type="page"/>
      </w:r>
    </w:p>
    <w:p>
      <w:pPr>
        <w:spacing w:before="0" w:after="160" w:line="276" w:lineRule="auto"/>
        <w:pBdr>
          <w:bottom w:val="single" w:sz="10" w:space="1" w:color="1F497D"/>
        </w:pBdr>
      </w:pPr>
      <w:r>
        <w:rPr>
          <w:rFonts w:ascii="Calibri" w:hAnsi="Calibri"/>
          <w:b w:val="0"/>
          <w:i/>
          <w:color w:val="2E74B5"/>
          <w:sz w:val="24"/>
        </w:rPr>
        <w:t>Chapter 5</w:t>
        <w:br/>
      </w:r>
      <w:r>
        <w:rPr>
          <w:rFonts w:ascii="Calibri" w:hAnsi="Calibri"/>
          <w:b/>
          <w:i w:val="0"/>
          <w:color w:val="1F497D"/>
          <w:sz w:val="32"/>
        </w:rPr>
        <w:t>RESULTS AND CONCLUSION</w:t>
      </w:r>
    </w:p>
    <w:p>
      <w:pPr>
        <w:spacing w:before="40" w:after="100" w:line="276" w:lineRule="auto"/>
      </w:pPr>
      <w:r>
        <w:rPr>
          <w:rFonts w:ascii="Calibri" w:hAnsi="Calibri"/>
          <w:b w:val="0"/>
          <w:i w:val="0"/>
          <w:color w:val="1A1A1A"/>
          <w:sz w:val="22"/>
        </w:rPr>
        <w:t>5.1. PERFORMANCE EVALUATION</w:t>
      </w:r>
    </w:p>
    <w:p>
      <w:pPr>
        <w:spacing w:before="40" w:after="100" w:line="276" w:lineRule="auto"/>
      </w:pPr>
      <w:r>
        <w:rPr>
          <w:rFonts w:ascii="Calibri" w:hAnsi="Calibri"/>
          <w:b w:val="0"/>
          <w:i w:val="0"/>
          <w:color w:val="1A1A1A"/>
          <w:sz w:val="22"/>
        </w:rPr>
        <w:t>This section examines the results of the loan risk prediction models following data collection, exploratory data analysis, preprocessing, and model training. It focuses on model performance metrics and visual insights to assess prediction accuracy.</w:t>
      </w:r>
    </w:p>
    <w:p>
      <w:pPr>
        <w:spacing w:before="160" w:after="40" w:line="276" w:lineRule="auto"/>
        <w:ind w:left="240"/>
      </w:pPr>
      <w:r>
        <w:rPr>
          <w:rFonts w:ascii="Calibri" w:hAnsi="Calibri"/>
          <w:b/>
          <w:i/>
          <w:color w:val="404040"/>
          <w:sz w:val="22"/>
        </w:rPr>
        <w:t>Individual model performance in loan risk prediction</w:t>
      </w:r>
    </w:p>
    <w:p>
      <w:pPr>
        <w:spacing w:before="40" w:after="100" w:line="276" w:lineRule="auto"/>
      </w:pPr>
      <w:r>
        <w:rPr>
          <w:rFonts w:ascii="Calibri" w:hAnsi="Calibri"/>
          <w:b w:val="0"/>
          <w:i w:val="0"/>
          <w:color w:val="1A1A1A"/>
          <w:sz w:val="22"/>
        </w:rPr>
        <w:t>The regression performance table below shows key metrics for each model.</w:t>
      </w:r>
    </w:p>
    <w:p>
      <w:pPr>
        <w:spacing w:before="160" w:after="40" w:line="276" w:lineRule="auto"/>
        <w:ind w:left="240"/>
      </w:pPr>
      <w:r>
        <w:rPr>
          <w:rFonts w:ascii="Calibri" w:hAnsi="Calibri"/>
          <w:b/>
          <w:i/>
          <w:color w:val="404040"/>
          <w:sz w:val="22"/>
        </w:rPr>
        <w:t>Regression performance table</w:t>
      </w:r>
    </w:p>
    <w:p>
      <w:pPr>
        <w:spacing w:before="40" w:after="100" w:line="276" w:lineRule="auto"/>
      </w:pPr>
      <w:r>
        <w:rPr>
          <w:rFonts w:ascii="Calibri" w:hAnsi="Calibri"/>
          <w:b w:val="0"/>
          <w:i w:val="0"/>
          <w:color w:val="1A1A1A"/>
          <w:sz w:val="22"/>
        </w:rPr>
        <w:t>Model | MAE | MSE | RMSE | R2 Score | Explained Variance</w:t>
      </w:r>
    </w:p>
    <w:p>
      <w:pPr>
        <w:spacing w:before="40" w:after="100" w:line="276" w:lineRule="auto"/>
      </w:pPr>
      <w:r>
        <w:rPr>
          <w:rFonts w:ascii="Calibri" w:hAnsi="Calibri"/>
          <w:b w:val="0"/>
          <w:i w:val="0"/>
          <w:color w:val="1A1A1A"/>
          <w:sz w:val="22"/>
        </w:rPr>
        <w:t>---|---|---|---|---|---</w:t>
      </w:r>
    </w:p>
    <w:p>
      <w:pPr>
        <w:spacing w:before="40" w:after="100" w:line="276" w:lineRule="auto"/>
      </w:pPr>
      <w:r>
        <w:rPr>
          <w:rFonts w:ascii="Calibri" w:hAnsi="Calibri"/>
          <w:b w:val="0"/>
          <w:i w:val="0"/>
          <w:color w:val="1A1A1A"/>
          <w:sz w:val="22"/>
        </w:rPr>
        <w:t>ElasticNet | 3.10 | 16.22 | 4.03 | 73.88% | 73.88%</w:t>
      </w:r>
    </w:p>
    <w:p>
      <w:pPr>
        <w:spacing w:before="40" w:after="100" w:line="276" w:lineRule="auto"/>
      </w:pPr>
      <w:r>
        <w:rPr>
          <w:rFonts w:ascii="Calibri" w:hAnsi="Calibri"/>
          <w:b w:val="0"/>
          <w:i w:val="0"/>
          <w:color w:val="1A1A1A"/>
          <w:sz w:val="22"/>
        </w:rPr>
        <w:t>CNN | 2.23 | 8.96 | 2.99 | 85.56% | 85.69%</w:t>
      </w:r>
    </w:p>
    <w:p>
      <w:pPr>
        <w:spacing w:before="40" w:after="100" w:line="276" w:lineRule="auto"/>
      </w:pPr>
      <w:r>
        <w:rPr>
          <w:rFonts w:ascii="Calibri" w:hAnsi="Calibri"/>
          <w:b w:val="0"/>
          <w:i w:val="0"/>
          <w:color w:val="1A1A1A"/>
          <w:sz w:val="22"/>
        </w:rPr>
        <w:t>TabNet | 1.90 | 7.21 | 2.68 | 88.39% | 88.41%</w:t>
      </w:r>
    </w:p>
    <w:p>
      <w:pPr>
        <w:spacing w:before="40" w:after="100" w:line="276" w:lineRule="auto"/>
      </w:pPr>
      <w:r>
        <w:rPr>
          <w:rFonts w:ascii="Calibri" w:hAnsi="Calibri"/>
          <w:b w:val="0"/>
          <w:i w:val="0"/>
          <w:color w:val="1A1A1A"/>
          <w:sz w:val="22"/>
        </w:rPr>
        <w:t>The classification performance table below shows key metrics for each model.</w:t>
      </w:r>
    </w:p>
    <w:p>
      <w:pPr>
        <w:spacing w:before="160" w:after="40" w:line="276" w:lineRule="auto"/>
        <w:ind w:left="240"/>
      </w:pPr>
      <w:r>
        <w:rPr>
          <w:rFonts w:ascii="Calibri" w:hAnsi="Calibri"/>
          <w:b/>
          <w:i/>
          <w:color w:val="404040"/>
          <w:sz w:val="22"/>
        </w:rPr>
        <w:t>Classification performance table</w:t>
      </w:r>
    </w:p>
    <w:p>
      <w:pPr>
        <w:spacing w:before="40" w:after="100" w:line="276" w:lineRule="auto"/>
      </w:pPr>
      <w:r>
        <w:rPr>
          <w:rFonts w:ascii="Calibri" w:hAnsi="Calibri"/>
          <w:b w:val="0"/>
          <w:i w:val="0"/>
          <w:color w:val="1A1A1A"/>
          <w:sz w:val="22"/>
        </w:rPr>
        <w:t>Model | Accuracy | Precision | Recall | F1 Score | ROC-AUC</w:t>
      </w:r>
    </w:p>
    <w:p>
      <w:pPr>
        <w:spacing w:before="40" w:after="100" w:line="276" w:lineRule="auto"/>
      </w:pPr>
      <w:r>
        <w:rPr>
          <w:rFonts w:ascii="Calibri" w:hAnsi="Calibri"/>
          <w:b w:val="0"/>
          <w:i w:val="0"/>
          <w:color w:val="1A1A1A"/>
          <w:sz w:val="22"/>
        </w:rPr>
        <w:t>---|---|---|---|---|---</w:t>
      </w:r>
    </w:p>
    <w:p>
      <w:pPr>
        <w:spacing w:before="40" w:after="100" w:line="276" w:lineRule="auto"/>
      </w:pPr>
      <w:r>
        <w:rPr>
          <w:rFonts w:ascii="Calibri" w:hAnsi="Calibri"/>
          <w:b w:val="0"/>
          <w:i w:val="0"/>
          <w:color w:val="1A1A1A"/>
          <w:sz w:val="22"/>
        </w:rPr>
        <w:t>ElasticNet | 82.73% | 84.12% | 82.73% | 82.75% | 92.97%</w:t>
      </w:r>
    </w:p>
    <w:p>
      <w:pPr>
        <w:spacing w:before="40" w:after="100" w:line="276" w:lineRule="auto"/>
      </w:pPr>
      <w:r>
        <w:rPr>
          <w:rFonts w:ascii="Calibri" w:hAnsi="Calibri"/>
          <w:b w:val="0"/>
          <w:i w:val="0"/>
          <w:color w:val="1A1A1A"/>
          <w:sz w:val="22"/>
        </w:rPr>
        <w:t>CNN | 86.80% | 88.13% | 86.80% | 86.82% | 95.82%</w:t>
      </w:r>
    </w:p>
    <w:p>
      <w:pPr>
        <w:spacing w:before="40" w:after="100" w:line="276" w:lineRule="auto"/>
      </w:pPr>
      <w:r>
        <w:rPr>
          <w:rFonts w:ascii="Calibri" w:hAnsi="Calibri"/>
          <w:b w:val="0"/>
          <w:i w:val="0"/>
          <w:color w:val="1A1A1A"/>
          <w:sz w:val="22"/>
        </w:rPr>
        <w:t>TabNet | 89.10% | 89.33% | 89.10% | 89.13% | 95.98%</w:t>
      </w:r>
    </w:p>
    <w:p>
      <w:pPr>
        <w:spacing w:before="40" w:after="100" w:line="276" w:lineRule="auto"/>
      </w:pPr>
      <w:r>
        <w:rPr>
          <w:rFonts w:ascii="Calibri" w:hAnsi="Calibri"/>
          <w:b w:val="0"/>
          <w:i w:val="0"/>
          <w:color w:val="1A1A1A"/>
          <w:sz w:val="22"/>
        </w:rPr>
        <w:t>TabNet achieved the highest R2 score of 88.39% in regression indicating strong prediction of risk scores. CNN showed MAE of 2.23 in regression suggesting better error reduction than ElasticNet's 3.10. In classification TabNet reached accuracy of 89.10% outperforming others.</w:t>
      </w:r>
    </w:p>
    <w:p>
      <w:pPr>
        <w:spacing w:before="40" w:after="100" w:line="276" w:lineRule="auto"/>
      </w:pPr>
      <w:r>
        <w:rPr>
          <w:rFonts w:ascii="Calibri" w:hAnsi="Calibri"/>
          <w:b w:val="0"/>
          <w:i w:val="0"/>
          <w:color w:val="1A1A1A"/>
          <w:sz w:val="22"/>
        </w:rPr>
        <w:t>ElasticNet had the lowest scores with R2 of 73.88% and classification accuracy of 82.73% showing it predicted less accurately. Key findings include TabNet's superior performance across metrics.</w:t>
      </w:r>
    </w:p>
    <w:p>
      <w:pPr>
        <w:spacing w:before="40" w:after="100" w:line="276" w:lineRule="auto"/>
      </w:pPr>
      <w:r>
        <w:rPr>
          <w:rFonts w:ascii="Calibri" w:hAnsi="Calibri"/>
          <w:b w:val="0"/>
          <w:i w:val="0"/>
          <w:color w:val="1A1A1A"/>
          <w:sz w:val="22"/>
        </w:rPr>
        <w:t>Potential limitations include sensitivity to data variations which may affect TabNet's results in different datasets. Models like CNN might require more computational resources limiting practical use.</w:t>
      </w:r>
    </w:p>
    <w:p>
      <w:pPr>
        <w:spacing w:before="40" w:after="100" w:line="276" w:lineRule="auto"/>
      </w:pPr>
      <w:r>
        <w:rPr>
          <w:rFonts w:ascii="Calibri" w:hAnsi="Calibri"/>
          <w:b w:val="0"/>
          <w:i w:val="0"/>
          <w:color w:val="1A1A1A"/>
          <w:sz w:val="22"/>
        </w:rPr>
        <w:t>Visual analysis of model predictions and trade-offs in loan approval</w:t>
      </w:r>
    </w:p>
    <w:p>
      <w:pPr>
        <w:spacing w:before="40" w:after="100" w:line="276" w:lineRule="auto"/>
      </w:pPr>
      <w:r>
        <w:rPr>
          <w:rFonts w:ascii="Calibri" w:hAnsi="Calibri"/>
          <w:b w:val="0"/>
          <w:i w:val="0"/>
          <w:color w:val="1A1A1A"/>
          <w:sz w:val="22"/>
        </w:rPr>
        <w:t>The actual versus predicted risk score plot for ElasticNet reveals a positive relationship with points near the regression line. Figure 1 shows MAE 3.10 and R2 73.88% indicating reasonable prediction but with spread that suggests errors in risk estimation.</w:t>
      </w:r>
    </w:p>
    <w:p>
      <w:pPr>
        <w:spacing w:before="40" w:after="100" w:line="276" w:lineRule="auto"/>
      </w:pPr>
      <w:r>
        <w:rPr>
          <w:rFonts w:ascii="Calibri" w:hAnsi="Calibri"/>
          <w:b w:val="0"/>
          <w:i w:val="0"/>
          <w:color w:val="1A1A1A"/>
          <w:sz w:val="22"/>
        </w:rPr>
        <w:t>The confusion matrix for ElasticNet derived classification displays true negatives of 1627 and true positives of 1682. Figure 2 shows false positives of 165 and false negatives of 526 with accuracy 82.73% reflecting balanced but imperfect loan approval prediction.</w:t>
      </w:r>
    </w:p>
    <w:p>
      <w:pPr>
        <w:spacing w:before="40" w:after="100" w:line="276" w:lineRule="auto"/>
      </w:pPr>
      <w:r>
        <w:rPr>
          <w:rFonts w:ascii="Calibri" w:hAnsi="Calibri"/>
          <w:b w:val="0"/>
          <w:i w:val="0"/>
          <w:color w:val="1A1A1A"/>
          <w:sz w:val="22"/>
        </w:rPr>
        <w:t>The learning curve for loss in CNN regressor model indicates training loss dropping to near convergence by epoch 20 to 25. Figure 3 shows validation loss aligning closely confirming no overfitting and steady model learning over 50 epochs.</w:t>
      </w:r>
    </w:p>
    <w:p>
      <w:pPr>
        <w:spacing w:before="40" w:after="100" w:line="276" w:lineRule="auto"/>
      </w:pPr>
      <w:r>
        <w:rPr>
          <w:rFonts w:ascii="Calibri" w:hAnsi="Calibri"/>
          <w:b w:val="0"/>
          <w:i w:val="0"/>
          <w:color w:val="1A1A1A"/>
          <w:sz w:val="22"/>
        </w:rPr>
        <w:t>The learning curve for MAE in CNN regressor model shows training MAE decreasing to 2.2 by epoch 50. Figure 4 describes validation MAE with a small gap indicating consistent generalisation and reliable convergence.</w:t>
      </w:r>
    </w:p>
    <w:p>
      <w:pPr>
        <w:spacing w:before="40" w:after="100" w:line="276" w:lineRule="auto"/>
      </w:pPr>
      <w:r>
        <w:rPr>
          <w:rFonts w:ascii="Calibri" w:hAnsi="Calibri"/>
          <w:b w:val="0"/>
          <w:i w:val="0"/>
          <w:color w:val="1A1A1A"/>
          <w:sz w:val="22"/>
        </w:rPr>
        <w:t>The actual versus predicted risk score plot for CNN demonstrates tighter clustering around the prediction line. Figure 5 shows R2 85.56% with less scatter than ElasticNet highlighting improved accuracy in risk forecasting.</w:t>
      </w:r>
    </w:p>
    <w:p>
      <w:pPr>
        <w:spacing w:before="40" w:after="100" w:line="276" w:lineRule="auto"/>
      </w:pPr>
      <w:r>
        <w:rPr>
          <w:rFonts w:ascii="Calibri" w:hAnsi="Calibri"/>
          <w:b w:val="0"/>
          <w:i w:val="0"/>
          <w:color w:val="1A1A1A"/>
          <w:sz w:val="22"/>
        </w:rPr>
        <w:t>The confusion matrix for CNN derived classification records true negatives of 1700 and true positives of 1772. Figure 6 shows false positives of 92 and false negatives of 436 with accuracy 86.80% and F1 86.82% indicating better misclassification handling.</w:t>
      </w:r>
    </w:p>
    <w:p>
      <w:pPr>
        <w:spacing w:before="40" w:after="100" w:line="276" w:lineRule="auto"/>
      </w:pPr>
      <w:r>
        <w:rPr>
          <w:rFonts w:ascii="Calibri" w:hAnsi="Calibri"/>
          <w:b w:val="0"/>
          <w:i w:val="0"/>
          <w:color w:val="1A1A1A"/>
          <w:sz w:val="22"/>
        </w:rPr>
        <w:t>The learning curve for TabNet regression model shows training MAE dropping below 15 within five epochs. Figure 7 describes validation MAE converging to 1.89 confirming model stability and effective learning without overfitting.</w:t>
      </w:r>
    </w:p>
    <w:p>
      <w:pPr>
        <w:spacing w:before="40" w:after="100" w:line="276" w:lineRule="auto"/>
      </w:pPr>
      <w:r>
        <w:rPr>
          <w:rFonts w:ascii="Calibri" w:hAnsi="Calibri"/>
          <w:b w:val="0"/>
          <w:i w:val="0"/>
          <w:color w:val="1A1A1A"/>
          <w:sz w:val="22"/>
        </w:rPr>
        <w:t>The actual versus predicted risk score plot for TabNet exhibits the tightest point clustering. Figure 8 shows R2 88.39% and MAE 1.90 demonstrating high precision in predicting risk scores.</w:t>
      </w:r>
    </w:p>
    <w:p>
      <w:pPr>
        <w:spacing w:before="40" w:after="100" w:line="276" w:lineRule="auto"/>
      </w:pPr>
      <w:r>
        <w:rPr>
          <w:rFonts w:ascii="Calibri" w:hAnsi="Calibri"/>
          <w:b w:val="0"/>
          <w:i w:val="0"/>
          <w:color w:val="1A1A1A"/>
          <w:sz w:val="22"/>
        </w:rPr>
        <w:t>The confusion matrix for TabNet derived classification notes true negatives of 1638 and true positives of 1926. Figure 9 shows false positives of 154 and false negatives of 282 with accuracy 89.10% and ROC-AUC 95.98% signifying strong performance in identifying denied loans.</w:t>
      </w:r>
    </w:p>
    <w:p>
      <w:pPr>
        <w:spacing w:before="160" w:after="40" w:line="276" w:lineRule="auto"/>
        <w:ind w:left="240"/>
      </w:pPr>
      <w:r>
        <w:rPr>
          <w:rFonts w:ascii="Calibri" w:hAnsi="Calibri"/>
          <w:b/>
          <w:i/>
          <w:color w:val="404040"/>
          <w:sz w:val="22"/>
        </w:rPr>
        <w:t>Comparative analysis of models in loan risk assessment</w:t>
      </w:r>
    </w:p>
    <w:p>
      <w:pPr>
        <w:spacing w:before="40" w:after="100" w:line="276" w:lineRule="auto"/>
      </w:pPr>
      <w:r>
        <w:rPr>
          <w:rFonts w:ascii="Calibri" w:hAnsi="Calibri"/>
          <w:b w:val="0"/>
          <w:i w:val="0"/>
          <w:color w:val="1A1A1A"/>
          <w:sz w:val="22"/>
        </w:rPr>
        <w:t>The MAE comparison plot across models highlights TabNet's lowest MAE of 1.90. Figure 10 shows CNN at 2.23 and ElasticNet at 3.10 revealing differences in error rates for risk prediction.</w:t>
      </w:r>
    </w:p>
    <w:p>
      <w:pPr>
        <w:spacing w:before="40" w:after="100" w:line="276" w:lineRule="auto"/>
      </w:pPr>
      <w:r>
        <w:rPr>
          <w:rFonts w:ascii="Calibri" w:hAnsi="Calibri"/>
          <w:b w:val="0"/>
          <w:i w:val="0"/>
          <w:color w:val="1A1A1A"/>
          <w:sz w:val="22"/>
        </w:rPr>
        <w:t>The MSE and RMSE comparison plot indicates TabNet with MSE 7.21 and RMSE 2.68. Figure 11 shows CNN at MSE 8.96 and RMSE 2.99 and ElasticNet at MSE 16.22 and RMSE 4.03 pointing to TabNet's superior error metrics.</w:t>
      </w:r>
    </w:p>
    <w:p>
      <w:pPr>
        <w:spacing w:before="40" w:after="100" w:line="276" w:lineRule="auto"/>
      </w:pPr>
      <w:r>
        <w:rPr>
          <w:rFonts w:ascii="Calibri" w:hAnsi="Calibri"/>
          <w:b w:val="0"/>
          <w:i w:val="0"/>
          <w:color w:val="1A1A1A"/>
          <w:sz w:val="22"/>
        </w:rPr>
        <w:t>The R2 score and explained variance comparison plot displays TabNet at R2 88.39% and explained variance 88.41%. Figure 12 shows CNN at R2 85.56% and explained variance 85.69% and ElasticNet at R2 73.88% indicating TabNet's best fit.</w:t>
      </w:r>
    </w:p>
    <w:p>
      <w:pPr>
        <w:spacing w:before="40" w:after="100" w:line="276" w:lineRule="auto"/>
      </w:pPr>
      <w:r>
        <w:rPr>
          <w:rFonts w:ascii="Calibri" w:hAnsi="Calibri"/>
          <w:b w:val="0"/>
          <w:i w:val="0"/>
          <w:color w:val="1A1A1A"/>
          <w:sz w:val="22"/>
        </w:rPr>
        <w:t>TabNet has strengths in high accuracy and low errors making it reliable for loan risk. CNN offers good performance but needs more resources as a weakness. ElasticNet is simple but has higher errors limiting its effectiveness.</w:t>
      </w:r>
    </w:p>
    <w:p>
      <w:pPr>
        <w:spacing w:before="40" w:after="100" w:line="276" w:lineRule="auto"/>
      </w:pPr>
      <w:r>
        <w:rPr>
          <w:rFonts w:ascii="Calibri" w:hAnsi="Calibri"/>
          <w:b w:val="0"/>
          <w:i w:val="0"/>
          <w:color w:val="1A1A1A"/>
          <w:sz w:val="22"/>
        </w:rPr>
        <w:t>TabNet performed best due to its attention mechanism that captures complex patterns in data better than others. This led to higher scores in both regression and classification tasks.</w:t>
      </w:r>
    </w:p>
    <w:p>
      <w:pPr>
        <w:spacing w:before="40" w:after="100" w:line="276" w:lineRule="auto"/>
      </w:pPr>
      <w:r>
        <w:rPr>
          <w:rFonts w:ascii="Calibri" w:hAnsi="Calibri"/>
          <w:b w:val="0"/>
          <w:i w:val="0"/>
          <w:color w:val="1A1A1A"/>
          <w:sz w:val="22"/>
        </w:rPr>
        <w:t>TabNet is the best model with accuracy 89.10%. CNN is acceptable with accuracy 86.80%. ElasticNet is the worst with accuracy 82.73% showing least predictive power.</w:t>
      </w:r>
    </w:p>
    <w:p>
      <w:pPr>
        <w:spacing w:before="160" w:after="40" w:line="276" w:lineRule="auto"/>
        <w:ind w:left="240"/>
      </w:pPr>
      <w:r>
        <w:rPr>
          <w:rFonts w:ascii="Calibri" w:hAnsi="Calibri"/>
          <w:b/>
          <w:i/>
          <w:color w:val="404040"/>
          <w:sz w:val="22"/>
        </w:rPr>
        <w:t>Comparison with existing research on loan approval</w:t>
      </w:r>
    </w:p>
    <w:p>
      <w:pPr>
        <w:spacing w:before="40" w:after="100" w:line="276" w:lineRule="auto"/>
      </w:pPr>
      <w:r>
        <w:rPr>
          <w:rFonts w:ascii="Calibri" w:hAnsi="Calibri"/>
          <w:b w:val="0"/>
          <w:i w:val="0"/>
          <w:color w:val="1A1A1A"/>
          <w:sz w:val="22"/>
        </w:rPr>
        <w:t>This research's pipeline uses advanced models like TabNet achieving accuracy 89.10% compared to who reported Random Forest at 85-87%. The current study includes feature engineering and scaling improving upon their basic attributes. Anand et al. (2024) focused on classification without regression metrics while this work shows R2 88.39% for risk scores. Both address loan approval but this research extends to deeper learning models for better prediction. The findings align with their emphasis on ensemble methods yet surpass in precision due to refined preprocessing.</w:t>
      </w:r>
    </w:p>
    <w:p>
      <w:pPr>
        <w:spacing w:before="40" w:after="100" w:line="276" w:lineRule="auto"/>
      </w:pPr>
      <w:r>
        <w:rPr>
          <w:rFonts w:ascii="Calibri" w:hAnsi="Calibri"/>
          <w:b w:val="0"/>
          <w:i w:val="0"/>
          <w:color w:val="1A1A1A"/>
          <w:sz w:val="22"/>
        </w:rPr>
        <w:t>5.2. WEB APP TESTING</w:t>
      </w:r>
    </w:p>
    <w:p>
      <w:pPr>
        <w:spacing w:before="40" w:after="100" w:line="276" w:lineRule="auto"/>
      </w:pPr>
      <w:r>
        <w:rPr>
          <w:rFonts w:ascii="Calibri" w:hAnsi="Calibri"/>
          <w:b w:val="0"/>
          <w:i w:val="0"/>
          <w:color w:val="1A1A1A"/>
          <w:sz w:val="22"/>
        </w:rPr>
        <w:t>Web application testing assessed the loan risk assessment system's functionality using predefined inputs.</w:t>
      </w:r>
    </w:p>
    <w:p>
      <w:pPr>
        <w:spacing w:before="160" w:after="40" w:line="276" w:lineRule="auto"/>
        <w:ind w:left="240"/>
      </w:pPr>
      <w:r>
        <w:rPr>
          <w:rFonts w:ascii="Calibri" w:hAnsi="Calibri"/>
          <w:b/>
          <w:i/>
          <w:color w:val="404040"/>
          <w:sz w:val="22"/>
        </w:rPr>
        <w:t>Web application testing</w:t>
      </w:r>
    </w:p>
    <w:p>
      <w:pPr>
        <w:spacing w:before="40" w:after="100" w:line="276" w:lineRule="auto"/>
      </w:pPr>
      <w:r>
        <w:rPr>
          <w:rFonts w:ascii="Calibri" w:hAnsi="Calibri"/>
          <w:b w:val="0"/>
          <w:i w:val="0"/>
          <w:color w:val="1A1A1A"/>
          <w:sz w:val="22"/>
        </w:rPr>
        <w:t>Testing used the Streamlit interface to enter financial data for three cases and check outputs against expected results.</w:t>
      </w:r>
    </w:p>
    <w:p>
      <w:pPr>
        <w:spacing w:before="40" w:after="100" w:line="276" w:lineRule="auto"/>
      </w:pPr>
      <w:r>
        <w:rPr>
          <w:rFonts w:ascii="Calibri" w:hAnsi="Calibri"/>
          <w:b w:val="0"/>
          <w:i w:val="0"/>
          <w:color w:val="1A1A1A"/>
          <w:sz w:val="22"/>
        </w:rPr>
        <w:t>For the first test case with high-risk inputs as seen in Figure 5.1 the application processed the data correctly.</w:t>
      </w:r>
    </w:p>
    <w:p>
      <w:pPr>
        <w:spacing w:before="200" w:after="40"/>
        <w:ind w:left="360"/>
        <w:pBdr>
          <w:left w:val="single" w:sz="12" w:space="8" w:color="2E74B5"/>
        </w:pBdr>
      </w:pPr>
      <w:r>
        <w:rPr>
          <w:rFonts w:ascii="Calibri" w:hAnsi="Calibri"/>
          <w:b w:val="0"/>
          <w:i/>
          <w:color w:val="2E74B5"/>
          <w:sz w:val="22"/>
        </w:rPr>
        <w:t>[ Figure 5.1  —  High-risk test case results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5.1 — Display of inputs and outputs for the high-risk applicant in the web application.</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The test used inputs like annual income of 32000 and credit score of 520. It produced a risk score of 79.53% with a rejected decision that aligned with expectations for high-risk profiles confirming system accuracy.</w:t>
      </w:r>
    </w:p>
    <w:p>
      <w:pPr>
        <w:spacing w:before="40" w:after="100" w:line="276" w:lineRule="auto"/>
      </w:pPr>
      <w:r>
        <w:rPr>
          <w:rFonts w:ascii="Calibri" w:hAnsi="Calibri"/>
          <w:b w:val="0"/>
          <w:i w:val="0"/>
          <w:color w:val="1A1A1A"/>
          <w:sz w:val="22"/>
        </w:rPr>
        <w:t>For the second test case with borderline inputs as seen in Figure 5.2 the application responded as anticipated.</w:t>
      </w:r>
    </w:p>
    <w:p>
      <w:pPr>
        <w:spacing w:before="200" w:after="40"/>
        <w:ind w:left="360"/>
        <w:pBdr>
          <w:left w:val="single" w:sz="12" w:space="8" w:color="2E74B5"/>
        </w:pBdr>
      </w:pPr>
      <w:r>
        <w:rPr>
          <w:rFonts w:ascii="Calibri" w:hAnsi="Calibri"/>
          <w:b w:val="0"/>
          <w:i/>
          <w:color w:val="2E74B5"/>
          <w:sz w:val="22"/>
        </w:rPr>
        <w:t>[ Figure 5.2  —  Borderline test case results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5.2 — Show of inputs and outputs for the borderline applicant in the web application.</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The test involved inputs such as annual income of 58000 and credit score of 640. It generated a risk score of 51.55% leading to rejection which matched predictions for borderline cases verifying reliable operation.</w:t>
      </w:r>
    </w:p>
    <w:p>
      <w:pPr>
        <w:spacing w:before="40" w:after="100" w:line="276" w:lineRule="auto"/>
      </w:pPr>
      <w:r>
        <w:rPr>
          <w:rFonts w:ascii="Calibri" w:hAnsi="Calibri"/>
          <w:b w:val="0"/>
          <w:i w:val="0"/>
          <w:color w:val="1A1A1A"/>
          <w:sz w:val="22"/>
        </w:rPr>
        <w:t>For the third test case with low-risk inputs as seen in Figure 5.3 the system performed effectively.</w:t>
      </w:r>
    </w:p>
    <w:p>
      <w:pPr>
        <w:spacing w:before="200" w:after="40"/>
        <w:ind w:left="360"/>
        <w:pBdr>
          <w:left w:val="single" w:sz="12" w:space="8" w:color="2E74B5"/>
        </w:pBdr>
      </w:pPr>
      <w:r>
        <w:rPr>
          <w:rFonts w:ascii="Calibri" w:hAnsi="Calibri"/>
          <w:b w:val="0"/>
          <w:i/>
          <w:color w:val="2E74B5"/>
          <w:sz w:val="22"/>
        </w:rPr>
        <w:t>[ Figure 5.3  —  Low-risk test case results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5.3 — Presentation of inputs and outputs for the low-risk applicant in the web application.</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This test applied inputs including annual income of 110000 and credit score of 780. It yielded a risk score of 29.24% with an approved decision that met expectations for low-risk scenarios ensuring proper functionality.</w:t>
      </w:r>
    </w:p>
    <w:p>
      <w:pPr>
        <w:spacing w:before="160" w:after="40" w:line="276" w:lineRule="auto"/>
        <w:ind w:left="240"/>
      </w:pPr>
      <w:r>
        <w:rPr>
          <w:rFonts w:ascii="Calibri" w:hAnsi="Calibri"/>
          <w:b/>
          <w:i/>
          <w:color w:val="404040"/>
          <w:sz w:val="22"/>
        </w:rPr>
        <w:t>Error handling</w:t>
      </w:r>
    </w:p>
    <w:p>
      <w:pPr>
        <w:spacing w:before="40" w:after="100" w:line="276" w:lineRule="auto"/>
      </w:pPr>
      <w:r>
        <w:rPr>
          <w:rFonts w:ascii="Calibri" w:hAnsi="Calibri"/>
          <w:b w:val="0"/>
          <w:i w:val="0"/>
          <w:color w:val="1A1A1A"/>
          <w:sz w:val="22"/>
        </w:rPr>
        <w:t>The system manages errors through predefined rules and model checks that process only valid inputs preventing crashes and maintaining output integrity.</w:t>
      </w:r>
    </w:p>
    <w:p>
      <w:pPr>
        <w:spacing w:before="40" w:after="100" w:line="276" w:lineRule="auto"/>
      </w:pPr>
      <w:r>
        <w:rPr>
          <w:rFonts w:ascii="Calibri" w:hAnsi="Calibri"/>
          <w:b w:val="0"/>
          <w:i w:val="0"/>
          <w:color w:val="1A1A1A"/>
          <w:sz w:val="22"/>
        </w:rPr>
        <w:t>5.3. SIGNIFICANCE OF KEY RESULTS</w:t>
      </w:r>
    </w:p>
    <w:p>
      <w:pPr>
        <w:spacing w:before="160" w:after="40" w:line="276" w:lineRule="auto"/>
        <w:ind w:left="240"/>
      </w:pPr>
      <w:r>
        <w:rPr>
          <w:rFonts w:ascii="Calibri" w:hAnsi="Calibri"/>
          <w:b/>
          <w:i/>
          <w:color w:val="404040"/>
          <w:sz w:val="22"/>
        </w:rPr>
        <w:t>Meaning of Key Findings in Loan Risk Prediction</w:t>
      </w:r>
    </w:p>
    <w:p>
      <w:pPr>
        <w:spacing w:before="40" w:after="100" w:line="276" w:lineRule="auto"/>
      </w:pPr>
      <w:r>
        <w:rPr>
          <w:rFonts w:ascii="Calibri" w:hAnsi="Calibri"/>
          <w:b w:val="0"/>
          <w:i w:val="0"/>
          <w:color w:val="1A1A1A"/>
          <w:sz w:val="22"/>
        </w:rPr>
        <w:t>The results indicate that TabNet performed best among the models with an R2 score of 88.39% and accuracy of 89.10% exceeding initial expectations based on its ability to handle complex data patterns. This outcome aligns with the assumption that advanced models like TabNet would offer superior prediction accuracy compared to simpler ones such as ElasticNet which only reached an R2 score of 73.88% and accuracy of 82.73%. The key metrics including TabNet's mean absolute error of 1.90 highlight its effectiveness in reducing prediction errors and improving risk score estimates which helps in more reliable loan assessments. These findings underscore the value of using such models for precise forecasting in financial decisions as shown in.</w:t>
      </w:r>
    </w:p>
    <w:p>
      <w:pPr>
        <w:spacing w:before="160" w:after="40" w:line="276" w:lineRule="auto"/>
        <w:ind w:left="240"/>
      </w:pPr>
      <w:r>
        <w:rPr>
          <w:rFonts w:ascii="Calibri" w:hAnsi="Calibri"/>
          <w:b/>
          <w:i/>
          <w:color w:val="404040"/>
          <w:sz w:val="22"/>
        </w:rPr>
        <w:t>Real-World Implications for Loan Risk Management</w:t>
      </w:r>
    </w:p>
    <w:p>
      <w:pPr>
        <w:spacing w:before="40" w:after="100" w:line="276" w:lineRule="auto"/>
      </w:pPr>
      <w:r>
        <w:rPr>
          <w:rFonts w:ascii="Calibri" w:hAnsi="Calibri"/>
          <w:b w:val="0"/>
          <w:i w:val="0"/>
          <w:color w:val="1A1A1A"/>
          <w:sz w:val="22"/>
        </w:rPr>
        <w:t>The key findings suggest that deploying TabNet in loan approval systems could lead to more accurate risk predictions enabling banks to make better decisions on approvals and reduce default rates. For instance the model's accuracy of 89.10% means it can identify high-risk applicants more effectively potentially lowering financial losses for lenders while increasing approval rates for low-risk cases. Benefits include cost savings from fewer bad loans and improved customer satisfaction through fairer processes though risks exist such as the model's sensitivity to data changes which might cause inconsistent results in new environments. In practice this could mean training staff to monitor and update models regularly to avoid errors. Ethical concerns arise from possible biases in data that affect underrepresented groups leading to unfair denials while socially it promotes responsible lending by flagging risks early. From a business view integrating these models into apps like the tested Streamlit application offers streamlined operations but requires investment in resources to handle computational demands ensuring overall system reliability.</w:t>
      </w:r>
    </w:p>
    <w:p>
      <w:pPr>
        <w:spacing w:before="40" w:after="100" w:line="276" w:lineRule="auto"/>
      </w:pPr>
      <w:r>
        <w:rPr>
          <w:rFonts w:ascii="Calibri" w:hAnsi="Calibri"/>
          <w:b w:val="0"/>
          <w:i w:val="0"/>
          <w:color w:val="1A1A1A"/>
          <w:sz w:val="22"/>
        </w:rPr>
        <w:t>5.4. FAILED ATTEMPTS</w:t>
      </w:r>
    </w:p>
    <w:p>
      <w:pPr>
        <w:spacing w:before="40" w:after="100" w:line="276" w:lineRule="auto"/>
      </w:pPr>
      <w:r>
        <w:rPr>
          <w:rFonts w:ascii="Calibri" w:hAnsi="Calibri"/>
          <w:b w:val="0"/>
          <w:i w:val="0"/>
          <w:color w:val="1A1A1A"/>
          <w:sz w:val="22"/>
        </w:rPr>
        <w:t>In research on loan risk prediction, failed attempts highlight key challenges in model development and selection.</w:t>
      </w:r>
    </w:p>
    <w:p>
      <w:pPr>
        <w:spacing w:before="40" w:after="100" w:line="276" w:lineRule="auto"/>
      </w:pPr>
      <w:r>
        <w:rPr>
          <w:rFonts w:ascii="Calibri" w:hAnsi="Calibri"/>
          <w:b w:val="0"/>
          <w:i w:val="0"/>
          <w:color w:val="1A1A1A"/>
          <w:sz w:val="22"/>
        </w:rPr>
        <w:t>One early failure involved SMOTE for class balancing, which was abandoned due to its unsuitability for the continuous RiskScore target, as it disrupted data distribution.</w:t>
      </w:r>
    </w:p>
    <w:p>
      <w:pPr>
        <w:spacing w:before="40" w:after="100" w:line="276" w:lineRule="auto"/>
      </w:pPr>
      <w:r>
        <w:rPr>
          <w:rFonts w:ascii="Calibri" w:hAnsi="Calibri"/>
          <w:b w:val="0"/>
          <w:i w:val="0"/>
          <w:color w:val="1A1A1A"/>
          <w:sz w:val="22"/>
        </w:rPr>
        <w:t>Another was the standalone binary classification approach, not pursued because it risked inconsistency with the regression-based pipeline, favouring a unified method instead.</w:t>
      </w:r>
    </w:p>
    <w:p>
      <w:pPr>
        <w:spacing w:before="40" w:after="100" w:line="276" w:lineRule="auto"/>
      </w:pPr>
      <w:r>
        <w:rPr>
          <w:rFonts w:ascii="Calibri" w:hAnsi="Calibri"/>
          <w:b w:val="0"/>
          <w:i w:val="0"/>
          <w:color w:val="1A1A1A"/>
          <w:sz w:val="22"/>
        </w:rPr>
        <w:t>ElasticNet underperformed with R² of 74% and accuracy of 83%, as its linear assumptions failed to capture non-linear financial patterns, as seen in Figure 5.4.</w:t>
      </w:r>
    </w:p>
    <w:p>
      <w:pPr>
        <w:spacing w:before="200" w:after="40"/>
        <w:ind w:left="360"/>
        <w:pBdr>
          <w:left w:val="single" w:sz="12" w:space="8" w:color="2E74B5"/>
        </w:pBdr>
      </w:pPr>
      <w:r>
        <w:rPr>
          <w:rFonts w:ascii="Calibri" w:hAnsi="Calibri"/>
          <w:b w:val="0"/>
          <w:i/>
          <w:color w:val="2E74B5"/>
          <w:sz w:val="22"/>
        </w:rPr>
        <w:t>[ Figure 5.4  —  Actual vs predicted RiskScore for ElasticNet ]</w:t>
      </w:r>
    </w:p>
    <w:p>
      <w:pPr>
        <w:spacing w:before="0" w:after="40" w:line="276" w:lineRule="auto"/>
        <w:ind w:left="360"/>
      </w:pPr>
      <w:r>
        <w:rPr>
          <w:rFonts w:ascii="Calibri" w:hAnsi="Calibri"/>
          <w:b/>
          <w:i w:val="0"/>
          <w:color w:val="2E74B5"/>
          <w:sz w:val="20"/>
        </w:rPr>
        <w:t xml:space="preserve">Caption: </w:t>
      </w:r>
      <w:r>
        <w:rPr>
          <w:rFonts w:ascii="Calibri" w:hAnsi="Calibri"/>
          <w:b w:val="0"/>
          <w:i/>
          <w:color w:val="1A1A1A"/>
          <w:sz w:val="20"/>
        </w:rPr>
        <w:t>Figure 5.4 shows the scatter plot of actual versus predicted RiskScore using ElasticNet with a regression line.</w:t>
      </w:r>
    </w:p>
    <w:p>
      <w:pPr>
        <w:spacing w:before="0" w:after="160" w:line="276" w:lineRule="auto"/>
        <w:ind w:left="360"/>
      </w:pPr>
      <w:r>
        <w:rPr>
          <w:rFonts w:ascii="Calibri" w:hAnsi="Calibri"/>
          <w:b/>
          <w:i w:val="0"/>
          <w:color w:val="404040"/>
          <w:sz w:val="20"/>
        </w:rPr>
        <w:t xml:space="preserve">Insight: </w:t>
      </w:r>
      <w:r>
        <w:rPr>
          <w:rFonts w:ascii="Calibri" w:hAnsi="Calibri"/>
          <w:b w:val="0"/>
          <w:i/>
          <w:color w:val="606060"/>
          <w:sz w:val="20"/>
        </w:rPr>
        <w:t>The plot displays predicted scores increasing with actual values along a positive line yet with spread indicating moderate accuracy the MAE is 3.10 and R2 is 74% showing deviation from the perfect diagonal line points cluster near the trend but reveal limitations in precision for complex data.</w:t>
      </w:r>
    </w:p>
    <w:p>
      <w:pPr>
        <w:spacing w:before="40" w:after="100" w:line="276" w:lineRule="auto"/>
      </w:pPr>
      <w:r>
        <w:rPr>
          <w:rFonts w:ascii="Calibri" w:hAnsi="Calibri"/>
          <w:b w:val="0"/>
          <w:i w:val="0"/>
          <w:color w:val="1A1A1A"/>
          <w:sz w:val="22"/>
        </w:rPr>
        <w:t>CNN without attention also fell short due to limited interpretability despite better metrics than ElasticNet. TabNet emerged as more suitable given its higher accuracy and feature insight capabilities.</w:t>
      </w:r>
    </w:p>
    <w:p>
      <w:pPr>
        <w:spacing w:before="40" w:after="100" w:line="276" w:lineRule="auto"/>
      </w:pPr>
      <w:r>
        <w:rPr>
          <w:rFonts w:ascii="Calibri" w:hAnsi="Calibri"/>
          <w:b w:val="0"/>
          <w:i w:val="0"/>
          <w:color w:val="1A1A1A"/>
          <w:sz w:val="22"/>
        </w:rPr>
        <w:t>5.5. INTERPRETATION OF RESULTS</w:t>
      </w:r>
    </w:p>
    <w:p>
      <w:pPr>
        <w:spacing w:before="160" w:after="40" w:line="276" w:lineRule="auto"/>
        <w:ind w:left="240"/>
      </w:pPr>
      <w:r>
        <w:rPr>
          <w:rFonts w:ascii="Calibri" w:hAnsi="Calibri"/>
          <w:b/>
          <w:i/>
          <w:color w:val="404040"/>
          <w:sz w:val="22"/>
        </w:rPr>
        <w:t>Discussion on How Findings Answer the Research Question</w:t>
      </w:r>
    </w:p>
    <w:p>
      <w:pPr>
        <w:spacing w:before="40" w:after="100" w:line="276" w:lineRule="auto"/>
      </w:pPr>
      <w:r>
        <w:rPr>
          <w:rFonts w:ascii="Calibri" w:hAnsi="Calibri"/>
          <w:b w:val="0"/>
          <w:i w:val="0"/>
          <w:color w:val="1A1A1A"/>
          <w:sz w:val="22"/>
        </w:rPr>
        <w:t>The study examined whether models could predict financial risk scores and derive loan approvals accurately from a synthetic dataset. Results show TabNet model delivered the highest regression accuracy with a mean absolute error of 1.90 and an R² score of 0.88 indicating strong alignment between predicted and actual risk scores. This confirms the models effectively address the question by providing reliable risk predictions that support binary decisions on loan approvals.</w:t>
      </w:r>
    </w:p>
    <w:p>
      <w:pPr>
        <w:spacing w:before="40" w:after="100" w:line="276" w:lineRule="auto"/>
      </w:pPr>
      <w:r>
        <w:rPr>
          <w:rFonts w:ascii="Calibri" w:hAnsi="Calibri"/>
          <w:b w:val="0"/>
          <w:i w:val="0"/>
          <w:color w:val="1A1A1A"/>
          <w:sz w:val="22"/>
        </w:rPr>
        <w:t>Direct correlation between results and research objectives</w:t>
      </w:r>
    </w:p>
    <w:p>
      <w:pPr>
        <w:spacing w:before="40" w:after="100" w:line="276" w:lineRule="auto"/>
      </w:pPr>
      <w:r>
        <w:rPr>
          <w:rFonts w:ascii="Calibri" w:hAnsi="Calibri"/>
          <w:b w:val="0"/>
          <w:i w:val="0"/>
          <w:color w:val="1A1A1A"/>
          <w:sz w:val="22"/>
        </w:rPr>
        <w:t>The research aimed to predict continuous risk scores and convert them to binary classifications. TabNet results directly meet these goals with an accuracy of 89.10% and ROC-AUC of 95.98% reflecting precise score predictions and effective threshold application. Engineered features like Debt Stress Index contributed to this by improving model performance in line with the objective of enhancing prediction accuracy.</w:t>
      </w:r>
    </w:p>
    <w:p>
      <w:pPr>
        <w:spacing w:before="40" w:after="100" w:line="276" w:lineRule="auto"/>
      </w:pPr>
      <w:r>
        <w:rPr>
          <w:rFonts w:ascii="Calibri" w:hAnsi="Calibri"/>
          <w:b w:val="0"/>
          <w:i w:val="0"/>
          <w:color w:val="1A1A1A"/>
          <w:sz w:val="22"/>
        </w:rPr>
        <w:t>Addressing any unexpected findings and their relevance</w:t>
      </w:r>
    </w:p>
    <w:p>
      <w:pPr>
        <w:spacing w:before="40" w:after="100" w:line="276" w:lineRule="auto"/>
      </w:pPr>
      <w:r>
        <w:rPr>
          <w:rFonts w:ascii="Calibri" w:hAnsi="Calibri"/>
          <w:b w:val="0"/>
          <w:i w:val="0"/>
          <w:color w:val="1A1A1A"/>
          <w:sz w:val="22"/>
        </w:rPr>
        <w:t>While TabNet outperformed expectations with lower false negatives than other models such as CNN the improvement in recall for denied applicants was notable. This suggests potential influences from feature engineering that enhanced detection of high-risk cases. Such findings emphasise the importance of tailored features in refining risk assessment for real-world loan decisions.</w:t>
      </w:r>
    </w:p>
    <w:p>
      <w:pPr>
        <w:spacing w:before="40" w:after="100" w:line="276" w:lineRule="auto"/>
      </w:pPr>
      <w:r>
        <w:rPr>
          <w:rFonts w:ascii="Calibri" w:hAnsi="Calibri"/>
          <w:b w:val="0"/>
          <w:i w:val="0"/>
          <w:color w:val="1A1A1A"/>
          <w:sz w:val="22"/>
        </w:rPr>
        <w:t>5.6. RESEARCH NOVELTY</w:t>
      </w:r>
    </w:p>
    <w:p>
      <w:pPr>
        <w:spacing w:before="40" w:after="100" w:line="276" w:lineRule="auto"/>
      </w:pPr>
      <w:r>
        <w:rPr>
          <w:rFonts w:ascii="Calibri" w:hAnsi="Calibri"/>
          <w:b w:val="0"/>
          <w:i w:val="0"/>
          <w:color w:val="1A1A1A"/>
          <w:sz w:val="22"/>
        </w:rPr>
        <w:t>This research presents several key innovations in financial risk modelling. It introduces a unified approach that combines continuous risk score prediction and binary loan approval decisions into one predictive system. This method uses a single TabNet regressor where the output is thresholded at 50% to generate decisions ensuring consistency between risk assessment and approval outcomes.</w:t>
      </w:r>
    </w:p>
    <w:p>
      <w:pPr>
        <w:spacing w:before="40" w:after="100" w:line="276" w:lineRule="auto"/>
      </w:pPr>
      <w:r>
        <w:rPr>
          <w:rFonts w:ascii="Calibri" w:hAnsi="Calibri"/>
          <w:b w:val="0"/>
          <w:i w:val="0"/>
          <w:color w:val="1A1A1A"/>
          <w:sz w:val="22"/>
        </w:rPr>
        <w:t>The study employs TabNet's attention mechanism with entmax sparse activation and five sequential steps to offer feature-level interpretability. This design suits regulated financial contexts by providing transparency that standard neural networks lack. It also incorporates a virtual batch size of 128 within larger batches of 512 to enhance generalisation on tabular data through ghost batch normalisation avoiding common training instabilities.</w:t>
      </w:r>
    </w:p>
    <w:p>
      <w:pPr>
        <w:spacing w:before="40" w:after="100" w:line="276" w:lineRule="auto"/>
      </w:pPr>
      <w:r>
        <w:rPr>
          <w:rFonts w:ascii="Calibri" w:hAnsi="Calibri"/>
          <w:b w:val="0"/>
          <w:i w:val="0"/>
          <w:color w:val="1A1A1A"/>
          <w:sz w:val="22"/>
        </w:rPr>
        <w:t>Another contribution involves creating six composite financial indicators such as the Debt Stress Index calculated as DebtToIncomeRatio times InterestRate and the Composite Risk Index as a weighted mix of credit score deficit debt ratio interest rate and risk flags. These indicators integrate domain knowledge into the feature set reducing the model's reliance on raw data.</w:t>
      </w:r>
    </w:p>
    <w:p>
      <w:pPr>
        <w:spacing w:before="40" w:after="100" w:line="276" w:lineRule="auto"/>
      </w:pPr>
      <w:r>
        <w:rPr>
          <w:rFonts w:ascii="Calibri" w:hAnsi="Calibri"/>
          <w:b w:val="0"/>
          <w:i w:val="0"/>
          <w:color w:val="1A1A1A"/>
          <w:sz w:val="22"/>
        </w:rPr>
        <w:t>The system adds a governance layer that applies lending policy rules as overrides on predictions above 50%. This two-tier setup combines model inference with rule-based enforcement to align with operational needs.</w:t>
      </w:r>
    </w:p>
    <w:p>
      <w:pPr>
        <w:spacing w:before="40" w:after="100" w:line="276" w:lineRule="auto"/>
      </w:pPr>
      <w:r>
        <w:rPr>
          <w:rFonts w:ascii="Calibri" w:hAnsi="Calibri"/>
          <w:b w:val="0"/>
          <w:i w:val="0"/>
          <w:color w:val="1A1A1A"/>
          <w:sz w:val="22"/>
        </w:rPr>
        <w:t>Finally the integration of GPT-4o-mini transforms numerical outputs into structured six-section underwriting reports. This feature creates natural language justifications that aid audits reviews and communication fostering human-AI teamwork in decision processes.</w:t>
      </w:r>
    </w:p>
    <w:p>
      <w:pPr>
        <w:spacing w:before="40" w:after="100" w:line="276" w:lineRule="auto"/>
      </w:pPr>
      <w:r>
        <w:rPr>
          <w:rFonts w:ascii="Calibri" w:hAnsi="Calibri"/>
          <w:b w:val="0"/>
          <w:i w:val="0"/>
          <w:color w:val="1A1A1A"/>
          <w:sz w:val="22"/>
        </w:rPr>
        <w:t>These elements distinguish the study by advancing model efficiency interpretability and practical application in lending.</w:t>
      </w:r>
    </w:p>
    <w:p>
      <w:r>
        <w:br w:type="page"/>
      </w:r>
    </w:p>
    <w:p>
      <w:pPr>
        <w:spacing w:before="0" w:after="160" w:line="276" w:lineRule="auto"/>
        <w:pBdr>
          <w:bottom w:val="single" w:sz="10" w:space="1" w:color="1F497D"/>
        </w:pBdr>
      </w:pPr>
      <w:r>
        <w:rPr>
          <w:rFonts w:ascii="Calibri" w:hAnsi="Calibri"/>
          <w:b w:val="0"/>
          <w:i/>
          <w:color w:val="2E74B5"/>
          <w:sz w:val="24"/>
        </w:rPr>
        <w:t>Chapter 6</w:t>
        <w:br/>
      </w:r>
      <w:r>
        <w:rPr>
          <w:rFonts w:ascii="Calibri" w:hAnsi="Calibri"/>
          <w:b/>
          <w:i w:val="0"/>
          <w:color w:val="1F497D"/>
          <w:sz w:val="32"/>
        </w:rPr>
        <w:t>CONCLUSION</w:t>
      </w:r>
    </w:p>
    <w:p>
      <w:pPr>
        <w:spacing w:before="40" w:after="100" w:line="276" w:lineRule="auto"/>
      </w:pPr>
      <w:r>
        <w:rPr>
          <w:rFonts w:ascii="Calibri" w:hAnsi="Calibri"/>
          <w:b w:val="0"/>
          <w:i w:val="0"/>
          <w:color w:val="1A1A1A"/>
          <w:sz w:val="22"/>
        </w:rPr>
        <w:t>The research pipeline processes a synthetic loan dataset comprising 20000 records to predict financial risk through two linked tasks. It begins with data exploration and categorical encoding followed by feature selection using Recursive Feature Elimination with a Random Forest estimator. Domain-specific feature engineering adds six indicators such as Income Stability Ratio and Debt Stress Index. After standard scaling models including ElasticNet a 1D Convolutional Neural Network and TabNet are trained on an 80/20 split. TabNet delivers superior outcomes with MAE 1.8953 RÂ² 0.8839 accuracy 89.1% and ROC-AUC 0.9598 across regression and classification metrics.</w:t>
      </w:r>
    </w:p>
    <w:p>
      <w:pPr>
        <w:spacing w:before="40" w:after="100" w:line="276" w:lineRule="auto"/>
      </w:pPr>
      <w:r>
        <w:rPr>
          <w:rFonts w:ascii="Calibri" w:hAnsi="Calibri"/>
          <w:b w:val="0"/>
          <w:i w:val="0"/>
          <w:color w:val="1A1A1A"/>
          <w:sz w:val="22"/>
        </w:rPr>
        <w:t>Key novelty arises from the integrated approach where a single TabNet regressor predicts continuous risk scores and applies a median threshold for binary loan approval decisions. This design uses TabNet's attention mechanism with entmax activation and sequential steps to enhance feature interpretability while incorporating ghost batch normalisation for better data handling. Engineered features encode financial domain knowledge directly reducing model complexity.</w:t>
      </w:r>
    </w:p>
    <w:p>
      <w:pPr>
        <w:spacing w:before="40" w:after="100" w:line="276" w:lineRule="auto"/>
      </w:pPr>
      <w:r>
        <w:rPr>
          <w:rFonts w:ascii="Calibri" w:hAnsi="Calibri"/>
          <w:b w:val="0"/>
          <w:i w:val="0"/>
          <w:color w:val="1A1A1A"/>
          <w:sz w:val="22"/>
        </w:rPr>
        <w:t>Compared to earlier methods that use separate models for regression and classification this framework achieves higher efficiency by maintaining output consistency and adding a governance layer that overrides predictions based on policy rules such as rejecting scores above 50.</w:t>
      </w:r>
    </w:p>
    <w:p>
      <w:pPr>
        <w:spacing w:before="40" w:after="100" w:line="276" w:lineRule="auto"/>
      </w:pPr>
      <w:r>
        <w:rPr>
          <w:rFonts w:ascii="Calibri" w:hAnsi="Calibri"/>
          <w:b w:val="0"/>
          <w:i w:val="0"/>
          <w:color w:val="1A1A1A"/>
          <w:sz w:val="22"/>
        </w:rPr>
        <w:t>The web application component employs Streamlit to deploy the TabNet model. It processes user inputs through live feature engineering generates risk scores and integrates GPT-4o-mini to produce detailed underwriting reports. These reports cover risk interpretation financial strengths and executive summaries transforming model outputs into actionable insights. This setup ensures seamless decision support in financial contexts.</w:t>
      </w:r>
    </w:p>
    <w:p>
      <w:pPr>
        <w:spacing w:before="40" w:after="100" w:line="276" w:lineRule="auto"/>
      </w:pPr>
      <w:r>
        <w:rPr>
          <w:rFonts w:ascii="Calibri" w:hAnsi="Calibri"/>
          <w:b w:val="0"/>
          <w:i w:val="0"/>
          <w:color w:val="1A1A1A"/>
          <w:sz w:val="22"/>
        </w:rPr>
        <w:t>6.2. FUTURE WORK</w:t>
      </w:r>
    </w:p>
    <w:p>
      <w:pPr>
        <w:spacing w:before="40" w:after="100" w:line="276" w:lineRule="auto"/>
      </w:pPr>
      <w:r>
        <w:rPr>
          <w:rFonts w:ascii="Calibri" w:hAnsi="Calibri"/>
          <w:b w:val="0"/>
          <w:i w:val="0"/>
          <w:color w:val="1A1A1A"/>
          <w:sz w:val="22"/>
        </w:rPr>
        <w:t>Future research could examine alternative machine learning models such as gradient boosting or long short-term memory networks to improve prediction accuracy beyond the current approaches. Incorporating external datasets like economic indicators or real-time financial trends might enhance model performance by providing more comprehensive inputs for loan approval decisions. Refining feature selection through methods that emphasise interpretability such as tree-based importance measures could help clarify how variables like income and debt ratios influence outcomes.</w:t>
      </w:r>
    </w:p>
    <w:p>
      <w:pPr>
        <w:spacing w:before="40" w:after="100" w:line="276" w:lineRule="auto"/>
      </w:pPr>
      <w:r>
        <w:rPr>
          <w:rFonts w:ascii="Calibri" w:hAnsi="Calibri"/>
          <w:b w:val="0"/>
          <w:i w:val="0"/>
          <w:color w:val="1A1A1A"/>
          <w:sz w:val="22"/>
        </w:rPr>
        <w:t>Researchers should investigate how varying preprocessing steps such as different scaling techniques affect model results given the observed data distributions in the analysis. Extending applications to practical settings like bank lending systems would test model effectiveness in live environments. Addressing ethical concerns including bias in predictions based on demographic factors remains essential to promote fair lending practices across diverse applicant groups. This direction could involve developing algorithms that balance accuracy with equity in decision-making processes. Such efforts would advance the field by building on existing findings from the dataset exploration. Efforts to validate models in broader contexts could yield insights into general trends in financial risk assessment.</w:t>
      </w:r>
    </w:p>
    <w:p>
      <w:r>
        <w:br w:type="page"/>
      </w:r>
    </w:p>
    <w:p>
      <w:pPr>
        <w:spacing w:before="0" w:after="160" w:line="276" w:lineRule="auto"/>
        <w:pBdr>
          <w:bottom w:val="single" w:sz="10" w:space="1" w:color="1F497D"/>
        </w:pBdr>
      </w:pPr>
      <w:r>
        <w:rPr>
          <w:rFonts w:ascii="Calibri" w:hAnsi="Calibri"/>
          <w:b/>
          <w:i w:val="0"/>
          <w:color w:val="1F497D"/>
          <w:sz w:val="32"/>
        </w:rPr>
        <w:t>REFERENCES</w:t>
      </w:r>
    </w:p>
    <w:p>
      <w:pPr>
        <w:spacing w:before="40" w:after="100" w:line="276" w:lineRule="auto"/>
      </w:pPr>
      <w:r>
        <w:rPr>
          <w:rFonts w:ascii="Calibri" w:hAnsi="Calibri"/>
          <w:b w:val="0"/>
          <w:i w:val="0"/>
          <w:color w:val="1A1A1A"/>
          <w:sz w:val="22"/>
        </w:rPr>
        <w:t>Adnan, N., Nordin, S.M. and Bahruddin, M.A., 2018. How trust can drive forward the user acceptance to the technology? In-vehicle technology for autonomous vehicle. ScienceDirect. Available at: https://www.sciencedirect.com/science/article/pii/S0965856418309030</w:t>
      </w:r>
    </w:p>
    <w:p>
      <w:pPr>
        <w:spacing w:before="40" w:after="100" w:line="276" w:lineRule="auto"/>
      </w:pPr>
      <w:r>
        <w:rPr>
          <w:rFonts w:ascii="Calibri" w:hAnsi="Calibri"/>
          <w:b w:val="0"/>
          <w:i w:val="0"/>
          <w:color w:val="1A1A1A"/>
          <w:sz w:val="22"/>
        </w:rPr>
        <w:t>Akyüz, S. and Güler, A. (2025) 'Integration of CNN Models and Machine Learning Methods in Credit Score Classification: 2D Image Transformation and Feature Extraction', Computational Economics. Available at: https://doi.org/10.1007/s10614-025-10893-5 (Accessed: 20 March 2026).</w:t>
      </w:r>
    </w:p>
    <w:p>
      <w:pPr>
        <w:spacing w:before="40" w:after="100" w:line="276" w:lineRule="auto"/>
      </w:pPr>
      <w:r>
        <w:rPr>
          <w:rFonts w:ascii="Calibri" w:hAnsi="Calibri"/>
          <w:b w:val="0"/>
          <w:i w:val="0"/>
          <w:color w:val="1A1A1A"/>
          <w:sz w:val="22"/>
        </w:rPr>
        <w:t>Alafif, T., Tehame, A.M., Bajaba, S. and Barnawi, A., 2021. Machine and deep learning towards COVID-19 diagnosis and treatment: survey, challenges, and future directions. MDPI. Available at: https://www.mdpi.com/1660-4601/18/3/1117</w:t>
      </w:r>
    </w:p>
    <w:p>
      <w:pPr>
        <w:spacing w:before="40" w:after="100" w:line="276" w:lineRule="auto"/>
      </w:pPr>
      <w:r>
        <w:rPr>
          <w:rFonts w:ascii="Calibri" w:hAnsi="Calibri"/>
          <w:b w:val="0"/>
          <w:i w:val="0"/>
          <w:color w:val="1A1A1A"/>
          <w:sz w:val="22"/>
        </w:rPr>
        <w:t>Alam, T.M., Shaukat, K., Hameed, I.A. and Luo, S. (2020) 'An investigation of credit card default prediction in the imbalanced datasets', 2020 International Conference on Artificial Intelligence, Big Data, Computing and Data Communication Systems (icABCD), pp. 1–6. Available at: https://ieeexplore.ieee.org/abstract/document/9239944/.</w:t>
      </w:r>
    </w:p>
    <w:p>
      <w:pPr>
        <w:spacing w:before="40" w:after="100" w:line="276" w:lineRule="auto"/>
      </w:pPr>
      <w:r>
        <w:rPr>
          <w:rFonts w:ascii="Calibri" w:hAnsi="Calibri"/>
          <w:b w:val="0"/>
          <w:i w:val="0"/>
          <w:color w:val="1A1A1A"/>
          <w:sz w:val="22"/>
        </w:rPr>
        <w:t>Anand, M., Velu, A. and Whig, P., 2022. Prediction of loan behaviour with machine learning models for secure banking. Journal of Computer Science and Engineering (JCSE), 3(1), pp.1-13.</w:t>
      </w:r>
    </w:p>
    <w:p>
      <w:pPr>
        <w:spacing w:before="40" w:after="100" w:line="276" w:lineRule="auto"/>
      </w:pPr>
      <w:r>
        <w:rPr>
          <w:rFonts w:ascii="Calibri" w:hAnsi="Calibri"/>
          <w:b w:val="0"/>
          <w:i w:val="0"/>
          <w:color w:val="1A1A1A"/>
          <w:sz w:val="22"/>
        </w:rPr>
        <w:t>Arik, S.Ö. and Pfister, T. (2021) 'TabNet: Attentive Interpretable Tabular Learning', Proceedings of the AAAI Conference on Artificial Intelligence, 35(8), pp. 6679–6687. Available at: https://doi.org/10.1609/aaai.v35i8.16826 (Accessed: 20 March 2026).</w:t>
      </w:r>
    </w:p>
    <w:p>
      <w:pPr>
        <w:spacing w:before="40" w:after="100" w:line="276" w:lineRule="auto"/>
      </w:pPr>
      <w:r>
        <w:rPr>
          <w:rFonts w:ascii="Calibri" w:hAnsi="Calibri"/>
          <w:b w:val="0"/>
          <w:i w:val="0"/>
          <w:color w:val="1A1A1A"/>
          <w:sz w:val="22"/>
        </w:rPr>
        <w:t>Baiano, A., 2020. Edible insects: An overview on nutritional characteristics, safety, farming, production technologies, regulatory framework, and socio-economic and ethical implications. ScienceDirect. Available at: https://www.sciencedirect.com/science/article/pii/S0924224419302511</w:t>
      </w:r>
    </w:p>
    <w:p>
      <w:pPr>
        <w:spacing w:before="40" w:after="100" w:line="276" w:lineRule="auto"/>
      </w:pPr>
      <w:r>
        <w:rPr>
          <w:rFonts w:ascii="Calibri" w:hAnsi="Calibri"/>
          <w:b w:val="0"/>
          <w:i w:val="0"/>
          <w:color w:val="1A1A1A"/>
          <w:sz w:val="22"/>
        </w:rPr>
        <w:t>Bao, W., Lianju, N. and Yue, K. (2019) 'Integration of unsupervised and supervised machine learning algorithms for credit risk assessment', Expert Systems with Applications, 128, pp. 301–315. Available at: https://www.sciencedirect.com/science/article/pii/S0957417419301472.</w:t>
      </w:r>
    </w:p>
    <w:p>
      <w:pPr>
        <w:spacing w:before="40" w:after="100" w:line="276" w:lineRule="auto"/>
      </w:pPr>
      <w:r>
        <w:rPr>
          <w:rFonts w:ascii="Calibri" w:hAnsi="Calibri"/>
          <w:b w:val="0"/>
          <w:i w:val="0"/>
          <w:color w:val="1A1A1A"/>
          <w:sz w:val="22"/>
        </w:rPr>
        <w:t>Belhadi, A., Kamble, S., Fosso Wamba, S. and Queiroz, M.M. (2024) 'Advancing financial resilience: A systematic review of default prediction models and future directions in credit risk management', PMC – PubMed Central. Available at: https://pmc.ncbi.nlm.nih.gov/articles/PMC11564005/ (Accessed: 20 March 2026).</w:t>
      </w:r>
    </w:p>
    <w:p>
      <w:pPr>
        <w:spacing w:before="40" w:after="100" w:line="276" w:lineRule="auto"/>
      </w:pPr>
      <w:r>
        <w:rPr>
          <w:rFonts w:ascii="Calibri" w:hAnsi="Calibri"/>
          <w:b w:val="0"/>
          <w:i w:val="0"/>
          <w:color w:val="1A1A1A"/>
          <w:sz w:val="22"/>
        </w:rPr>
        <w:t>Ben Jebli, A. and Zoghlami, F. (2025) 'Credit risk prediction using behavioral features in an AI-powered system', International Journal of Innovative Research and Scientific Studies, 8(6), pp. 2099–2120. Available at: http://www.ijirss.com/index.php/ijirss/article/download/10083/2318 (Accessed: 20 March 2026).</w:t>
      </w:r>
    </w:p>
    <w:p>
      <w:pPr>
        <w:spacing w:before="40" w:after="100" w:line="276" w:lineRule="auto"/>
      </w:pPr>
      <w:r>
        <w:rPr>
          <w:rFonts w:ascii="Calibri" w:hAnsi="Calibri"/>
          <w:b w:val="0"/>
          <w:i w:val="0"/>
          <w:color w:val="1A1A1A"/>
          <w:sz w:val="22"/>
        </w:rPr>
        <w:t>Bhatore, S., Mohan, L. and Reddy, Y.R., 2020. Machine learning techniques for credit risk evaluation: a systematic literature review. Springer. Available at: https://link.springer.com/article/10.1007/s42786-020-00020-3</w:t>
      </w:r>
    </w:p>
    <w:p>
      <w:pPr>
        <w:spacing w:before="40" w:after="100" w:line="276" w:lineRule="auto"/>
      </w:pPr>
      <w:r>
        <w:rPr>
          <w:rFonts w:ascii="Calibri" w:hAnsi="Calibri"/>
          <w:b w:val="0"/>
          <w:i w:val="0"/>
          <w:color w:val="1A1A1A"/>
          <w:sz w:val="22"/>
        </w:rPr>
        <w:t>Chen, Y. and Zhang, R., 2021. Research on credit card default prediction based on k-means SMOTE and BP neural network. Complexity, 2021, pp.1-13.</w:t>
      </w:r>
    </w:p>
    <w:p>
      <w:pPr>
        <w:spacing w:before="40" w:after="100" w:line="276" w:lineRule="auto"/>
      </w:pPr>
      <w:r>
        <w:rPr>
          <w:rFonts w:ascii="Calibri" w:hAnsi="Calibri"/>
          <w:b w:val="0"/>
          <w:i w:val="0"/>
          <w:color w:val="1A1A1A"/>
          <w:sz w:val="22"/>
        </w:rPr>
        <w:t>Dumitrescu, E., Hué, S., Hurlin, C. and Tokpavi, S. (2022) 'Machine learning for credit scoring: Improving logistic regression with non-linear decision-tree effects', European Journal of Operational Research, 297(3), pp. 1178–1192. Available at: https://www.sciencedirect.com/science/article/pii/S0377221721005695.</w:t>
      </w:r>
    </w:p>
    <w:p>
      <w:pPr>
        <w:spacing w:before="40" w:after="100" w:line="276" w:lineRule="auto"/>
      </w:pPr>
      <w:r>
        <w:rPr>
          <w:rFonts w:ascii="Calibri" w:hAnsi="Calibri"/>
          <w:b w:val="0"/>
          <w:i w:val="0"/>
          <w:color w:val="1A1A1A"/>
          <w:sz w:val="22"/>
        </w:rPr>
        <w:t>Golec, M. and AlabdulJalil, M. (2025) 'Interpretable LLMs for Credit Risk: A Systematic Review and Taxonomy', Expert Systems with Applications. Available at: https://doi.org/10.1016/j.eswa.2025.126923 (Accessed: 20 March 2026).</w:t>
      </w:r>
    </w:p>
    <w:p>
      <w:pPr>
        <w:spacing w:before="40" w:after="100" w:line="276" w:lineRule="auto"/>
      </w:pPr>
      <w:r>
        <w:rPr>
          <w:rFonts w:ascii="Calibri" w:hAnsi="Calibri"/>
          <w:b w:val="0"/>
          <w:i w:val="0"/>
          <w:color w:val="1A1A1A"/>
          <w:sz w:val="22"/>
        </w:rPr>
        <w:t>Gupta, R. and Sharma, P. (2026) 'Prediction of bank transaction fraud using TabNet — an adaptive deep learning architecture', Borsa Istanbul Review. Available at: https://doi.org/10.1016/j.bir.2026.01.003 (Accessed: 20 March 2026).</w:t>
      </w:r>
    </w:p>
    <w:p>
      <w:pPr>
        <w:spacing w:before="40" w:after="100" w:line="276" w:lineRule="auto"/>
      </w:pPr>
      <w:r>
        <w:rPr>
          <w:rFonts w:ascii="Calibri" w:hAnsi="Calibri"/>
          <w:b w:val="0"/>
          <w:i w:val="0"/>
          <w:color w:val="1A1A1A"/>
          <w:sz w:val="22"/>
        </w:rPr>
        <w:t>Hossain, M.I. and Mia, M.J. (2024) 'Accuracy Comparison between Five Machine Learning Algorithms for Financial Risk Evaluation', Journal of Risk and Financial Management, 17(2), p. 50. Available at: https://doi.org/10.3390/jrfm17020050 (Accessed: 20 March 2026).</w:t>
      </w:r>
    </w:p>
    <w:p>
      <w:pPr>
        <w:spacing w:before="40" w:after="100" w:line="276" w:lineRule="auto"/>
      </w:pPr>
      <w:r>
        <w:rPr>
          <w:rFonts w:ascii="Calibri" w:hAnsi="Calibri"/>
          <w:b w:val="0"/>
          <w:i w:val="0"/>
          <w:color w:val="1A1A1A"/>
          <w:sz w:val="22"/>
        </w:rPr>
        <w:t>Jagtiani, J. and Lemieux, C. (2019) 'The roles of alternative data and machine learning in fintech lending: Evidence from the LendingClub consumer platform', Financial Management, 48(4), pp. 1009–1029. Available at: https://onlinelibrary.wiley.com/doi/abs/10.1111/fima.12295.</w:t>
      </w:r>
    </w:p>
    <w:p>
      <w:pPr>
        <w:spacing w:before="40" w:after="100" w:line="276" w:lineRule="auto"/>
      </w:pPr>
      <w:r>
        <w:rPr>
          <w:rFonts w:ascii="Calibri" w:hAnsi="Calibri"/>
          <w:b w:val="0"/>
          <w:i w:val="0"/>
          <w:color w:val="1A1A1A"/>
          <w:sz w:val="22"/>
        </w:rPr>
        <w:t>Jakšič, M. and Marinč, M. (2019) 'Relationship banking and information technology: The role of artificial intelligence and FinTech', Journal of Financial Services Research, 56(1), pp. 81–95. Available at: https://link.springer.com/article/10.1057/s41283-018-0039-y.</w:t>
      </w:r>
    </w:p>
    <w:p>
      <w:pPr>
        <w:spacing w:before="40" w:after="100" w:line="276" w:lineRule="auto"/>
      </w:pPr>
      <w:r>
        <w:rPr>
          <w:rFonts w:ascii="Calibri" w:hAnsi="Calibri"/>
          <w:b w:val="0"/>
          <w:i w:val="0"/>
          <w:color w:val="1A1A1A"/>
          <w:sz w:val="22"/>
        </w:rPr>
        <w:t>Javeed, A., Dallora, A.L., Berglund, J.S., Ali, A. and Ali, L., 2023. Machine learning for dementia prediction: a systematic review and future research directions. Springer. Available at: https://link.springer.com/article/10.1007/s10916-023-01906-7</w:t>
      </w:r>
    </w:p>
    <w:p>
      <w:pPr>
        <w:spacing w:before="40" w:after="100" w:line="276" w:lineRule="auto"/>
      </w:pPr>
      <w:r>
        <w:rPr>
          <w:rFonts w:ascii="Calibri" w:hAnsi="Calibri"/>
          <w:b w:val="0"/>
          <w:i w:val="0"/>
          <w:color w:val="1A1A1A"/>
          <w:sz w:val="22"/>
        </w:rPr>
        <w:t>Jemai, J. and Zarrad, A. (2023) 'Feature Selection Engineering for Credit Risk Assessment in Retail Banking', Information, 14(3), p. 200. Available at: https://doi.org/10.3390/info14030200 (Accessed: 20 March 2026).</w:t>
      </w:r>
    </w:p>
    <w:p>
      <w:pPr>
        <w:spacing w:before="40" w:after="100" w:line="276" w:lineRule="auto"/>
      </w:pPr>
      <w:r>
        <w:rPr>
          <w:rFonts w:ascii="Calibri" w:hAnsi="Calibri"/>
          <w:b w:val="0"/>
          <w:i w:val="0"/>
          <w:color w:val="1A1A1A"/>
          <w:sz w:val="22"/>
        </w:rPr>
        <w:t>Jiang, D., Wu, Z., Hsieh, C.Y., Chen, G. and Liao, B., 2021. Could graph neural networks learn better molecular representation for drug discovery? A comparison study of descriptor-based and graph-based models. Springer. Available at: https://link.springer.com/article/10.1186/S13321-020-00479-8</w:t>
      </w:r>
    </w:p>
    <w:p>
      <w:pPr>
        <w:spacing w:before="40" w:after="100" w:line="276" w:lineRule="auto"/>
      </w:pPr>
      <w:r>
        <w:rPr>
          <w:rFonts w:ascii="Calibri" w:hAnsi="Calibri"/>
          <w:b w:val="0"/>
          <w:i w:val="0"/>
          <w:color w:val="1A1A1A"/>
          <w:sz w:val="22"/>
        </w:rPr>
        <w:t>Kasneci, E., Seßler, K., Küchemann, S. and Bannert, M., 2023. ChatGPT for good? On opportunities and challenges of large language models for education. ScienceDirect. Available at: https://www.sciencedirect.com/science/article/pii/S1041608023000195</w:t>
      </w:r>
    </w:p>
    <w:p>
      <w:pPr>
        <w:spacing w:before="40" w:after="100" w:line="276" w:lineRule="auto"/>
      </w:pPr>
      <w:r>
        <w:rPr>
          <w:rFonts w:ascii="Calibri" w:hAnsi="Calibri"/>
          <w:b w:val="0"/>
          <w:i w:val="0"/>
          <w:color w:val="1A1A1A"/>
          <w:sz w:val="22"/>
        </w:rPr>
        <w:t>Lee, I. and Shin, Y.J. (2020) 'Machine learning for enterprises: Applications, algorithm selection, and challenges', Business Horizons, 63(2), pp. 157–170. Available at: https://www.sciencedirect.com/science/article/pii/S0007681319301521.</w:t>
      </w:r>
    </w:p>
    <w:p>
      <w:pPr>
        <w:spacing w:before="40" w:after="100" w:line="276" w:lineRule="auto"/>
      </w:pPr>
      <w:r>
        <w:rPr>
          <w:rFonts w:ascii="Calibri" w:hAnsi="Calibri"/>
          <w:b w:val="0"/>
          <w:i w:val="0"/>
          <w:color w:val="1A1A1A"/>
          <w:sz w:val="22"/>
        </w:rPr>
        <w:t>Leo, M., Sharma, S. and Maddulety, K. (2019) 'Machine learning in banking risk management: A literature review', Risks, 7(1), p. 29. Available at: https://www.mdpi.com/2227-9091/7/1/29.</w:t>
      </w:r>
    </w:p>
    <w:p>
      <w:pPr>
        <w:spacing w:before="40" w:after="100" w:line="276" w:lineRule="auto"/>
      </w:pPr>
      <w:r>
        <w:rPr>
          <w:rFonts w:ascii="Calibri" w:hAnsi="Calibri"/>
          <w:b w:val="0"/>
          <w:i w:val="0"/>
          <w:color w:val="1A1A1A"/>
          <w:sz w:val="22"/>
        </w:rPr>
        <w:t>Li, T., Kou, G., Peng, Y. and Yu, P.S. (2024) 'Feature Selection and Grouping Effect Analysis for Credit Evaluation via Regularized Diagonal Distance Metric Learning', INFORMS Journal on Computing. Available at: https://doi.org/10.1287/ijoc.2023.0322 (Accessed: 20 March 2026).</w:t>
      </w:r>
    </w:p>
    <w:p>
      <w:pPr>
        <w:spacing w:before="40" w:after="100" w:line="276" w:lineRule="auto"/>
      </w:pPr>
      <w:r>
        <w:rPr>
          <w:rFonts w:ascii="Calibri" w:hAnsi="Calibri"/>
          <w:b w:val="0"/>
          <w:i w:val="0"/>
          <w:color w:val="1A1A1A"/>
          <w:sz w:val="22"/>
        </w:rPr>
        <w:t>Liébana-Cabanillas, F., Marinkovic, V. and De Luna, I.R., 2018. Predicting the determinants of mobile payment acceptance: A hybrid SEM-neural network approach. ScienceDirect. Available at: https://www.sciencedirect.com/science/article/pii/S0040162517301580</w:t>
      </w:r>
    </w:p>
    <w:p>
      <w:pPr>
        <w:spacing w:before="40" w:after="100" w:line="276" w:lineRule="auto"/>
      </w:pPr>
      <w:r>
        <w:rPr>
          <w:rFonts w:ascii="Calibri" w:hAnsi="Calibri"/>
          <w:b w:val="0"/>
          <w:i w:val="0"/>
          <w:color w:val="1A1A1A"/>
          <w:sz w:val="22"/>
        </w:rPr>
        <w:t>Lohani, B.P., Trivedi, M., Singh, R.J., Bibhu, V., Ranjan, S. and Kushwaha, P.K., 2022, April. Machine learning based model for prediction of loan approval. In 2022 3rd International Conference on Intelligent Engineering and Management (ICIEM) (pp. 465-470). IEEE.</w:t>
      </w:r>
    </w:p>
    <w:p>
      <w:pPr>
        <w:spacing w:before="40" w:after="100" w:line="276" w:lineRule="auto"/>
      </w:pPr>
      <w:r>
        <w:rPr>
          <w:rFonts w:ascii="Calibri" w:hAnsi="Calibri"/>
          <w:b w:val="0"/>
          <w:i w:val="0"/>
          <w:color w:val="1A1A1A"/>
          <w:sz w:val="22"/>
        </w:rPr>
        <w:t>Lu, H. and Hu, X., 2023. Enhancing Financial Risk Prediction for Listed Companies: A Catboost-Based Ensemble Learning Approach. Journal of the Knowledge Economy, pp.1-17.</w:t>
      </w:r>
    </w:p>
    <w:p>
      <w:pPr>
        <w:spacing w:before="40" w:after="100" w:line="276" w:lineRule="auto"/>
      </w:pPr>
      <w:r>
        <w:rPr>
          <w:rFonts w:ascii="Calibri" w:hAnsi="Calibri"/>
          <w:b w:val="0"/>
          <w:i w:val="0"/>
          <w:color w:val="1A1A1A"/>
          <w:sz w:val="22"/>
        </w:rPr>
        <w:t>Mazur, M. (2025) 'Data-Driven Loan Default Prediction: A Machine Learning Approach for Enhancing Business Process Management', Systems, 13(7), p. 581. Available at: https://doi.org/10.3390/systems13070581 (Accessed: 20 March 2026).</w:t>
      </w:r>
    </w:p>
    <w:p>
      <w:pPr>
        <w:spacing w:before="40" w:after="100" w:line="276" w:lineRule="auto"/>
      </w:pPr>
      <w:r>
        <w:rPr>
          <w:rFonts w:ascii="Calibri" w:hAnsi="Calibri"/>
          <w:b w:val="0"/>
          <w:i w:val="0"/>
          <w:color w:val="1A1A1A"/>
          <w:sz w:val="22"/>
        </w:rPr>
        <w:t>Mestiri, S. (2024) 'Credit scoring using machine learning and deep Learning-Based models', Data Science in Finance and Economics, 4(2), pp. 236–248. Available at: https://doi.org/10.3934/DSFE.2024009 (Accessed: 20 March 2026).</w:t>
      </w:r>
    </w:p>
    <w:p>
      <w:pPr>
        <w:spacing w:before="40" w:after="100" w:line="276" w:lineRule="auto"/>
      </w:pPr>
      <w:r>
        <w:rPr>
          <w:rFonts w:ascii="Calibri" w:hAnsi="Calibri"/>
          <w:b w:val="0"/>
          <w:i w:val="0"/>
          <w:color w:val="1A1A1A"/>
          <w:sz w:val="22"/>
        </w:rPr>
        <w:t>Mhlanga, D. (2021) 'Financial inclusion in emerging economies: The application of machine learning and artificial intelligence in credit risk assessment', Journal of Risk and Financial Management, 9(3), p. 39. Available at: https://www.mdpi.com/2227-7072/9/3/39.</w:t>
      </w:r>
    </w:p>
    <w:p>
      <w:pPr>
        <w:spacing w:before="40" w:after="100" w:line="276" w:lineRule="auto"/>
      </w:pPr>
      <w:r>
        <w:rPr>
          <w:rFonts w:ascii="Calibri" w:hAnsi="Calibri"/>
          <w:b w:val="0"/>
          <w:i w:val="0"/>
          <w:color w:val="1A1A1A"/>
          <w:sz w:val="22"/>
        </w:rPr>
        <w:t>Nallakaruppan, M.K., Balusamy, B., Shri, M.L., Malathi, V. and Bhattacharyya, S. (2024) 'An Explainable AI Framework for Credit Evaluation and Analysis', Applied Soft Computing, 153, p. 111307. Available at: https://doi.org/10.1016/j.asoc.2023.111307 (Accessed: 20 March 2026).</w:t>
      </w:r>
    </w:p>
    <w:p>
      <w:pPr>
        <w:spacing w:before="40" w:after="100" w:line="276" w:lineRule="auto"/>
      </w:pPr>
      <w:r>
        <w:rPr>
          <w:rFonts w:ascii="Calibri" w:hAnsi="Calibri"/>
          <w:b w:val="0"/>
          <w:i w:val="0"/>
          <w:color w:val="1A1A1A"/>
          <w:sz w:val="22"/>
        </w:rPr>
        <w:t>Namvar, A., Siami, M., Rabhi, F. and Naderpour, M. (2018) 'Credit risk prediction in an imbalanced social lending environment', International Journal of Computational Intelligence Systems, 11(1), pp. 70–84. Available at: https://link.springer.com/article/10.2991/ijcis.11.1.70.</w:t>
      </w:r>
    </w:p>
    <w:p>
      <w:pPr>
        <w:spacing w:before="40" w:after="100" w:line="276" w:lineRule="auto"/>
      </w:pPr>
      <w:r>
        <w:rPr>
          <w:rFonts w:ascii="Calibri" w:hAnsi="Calibri"/>
          <w:b w:val="0"/>
          <w:i w:val="0"/>
          <w:color w:val="1A1A1A"/>
          <w:sz w:val="22"/>
        </w:rPr>
        <w:t>Omuya, E.O., Okeyo, G.O. and Kimwele, M.W., 2021. Feature selection for classification using principal component analysis and information gain. Expert Systems with Applications, 174, p.114765.</w:t>
      </w:r>
    </w:p>
    <w:p>
      <w:pPr>
        <w:spacing w:before="40" w:after="100" w:line="276" w:lineRule="auto"/>
      </w:pPr>
      <w:r>
        <w:rPr>
          <w:rFonts w:ascii="Calibri" w:hAnsi="Calibri"/>
          <w:b w:val="0"/>
          <w:i w:val="0"/>
          <w:color w:val="1A1A1A"/>
          <w:sz w:val="22"/>
        </w:rPr>
        <w:t>Papouskova, M. and Hajek, P., 2019. Two-stage consumer credit risk modelling using heterogeneous ensemble learning. ScienceDirect. Available at: https://www.sciencedirect.com/science/article/pii/S0167923619300028</w:t>
      </w:r>
    </w:p>
    <w:p>
      <w:pPr>
        <w:spacing w:before="40" w:after="100" w:line="276" w:lineRule="auto"/>
      </w:pPr>
      <w:r>
        <w:rPr>
          <w:rFonts w:ascii="Calibri" w:hAnsi="Calibri"/>
          <w:b w:val="0"/>
          <w:i w:val="0"/>
          <w:color w:val="1A1A1A"/>
          <w:sz w:val="22"/>
        </w:rPr>
        <w:t>Patel, B., Patil, H., Hembram, J. and Jaswal, S., 2020, June. Loan default forecasting using data mining. In 2020 international conference for emerging technology (INCET) (pp. 1-4). IEEE.</w:t>
      </w:r>
    </w:p>
    <w:p>
      <w:pPr>
        <w:spacing w:before="40" w:after="100" w:line="276" w:lineRule="auto"/>
      </w:pPr>
      <w:r>
        <w:rPr>
          <w:rFonts w:ascii="Calibri" w:hAnsi="Calibri"/>
          <w:b w:val="0"/>
          <w:i w:val="0"/>
          <w:color w:val="1A1A1A"/>
          <w:sz w:val="22"/>
        </w:rPr>
        <w:t>Prabhakaran, N. and Nedunchelian, R. (2024) 'Range control-based class imbalance and Optimized Granular Elastic Net regression feature selection for credit risk assessment', Knowledge and Information Systems. Available at: https://doi.org/10.1007/s10115-024-02103-9 (Accessed: 20 March 2026).</w:t>
      </w:r>
    </w:p>
    <w:p>
      <w:pPr>
        <w:spacing w:before="40" w:after="100" w:line="276" w:lineRule="auto"/>
      </w:pPr>
      <w:r>
        <w:rPr>
          <w:rFonts w:ascii="Calibri" w:hAnsi="Calibri"/>
          <w:b w:val="0"/>
          <w:i w:val="0"/>
          <w:color w:val="1A1A1A"/>
          <w:sz w:val="22"/>
        </w:rPr>
        <w:t>Raji, I.D., Gebru, T., Mitchell, M. and Buolamwini, J., 2020. Saving face: Investigating the ethical concerns of facial recognition auditing. ACM. Available at: https://dl.acm.org/doi/abs/10.1145/3375627.3375820</w:t>
      </w:r>
    </w:p>
    <w:p>
      <w:pPr>
        <w:spacing w:before="40" w:after="100" w:line="276" w:lineRule="auto"/>
      </w:pPr>
      <w:r>
        <w:rPr>
          <w:rFonts w:ascii="Calibri" w:hAnsi="Calibri"/>
          <w:b w:val="0"/>
          <w:i w:val="0"/>
          <w:color w:val="1A1A1A"/>
          <w:sz w:val="22"/>
        </w:rPr>
        <w:t>Samsir, S., Suparno, S. and Giatman, M., 2020, April. Predicting the loan risk towards new customer applying data mining using nearest neighbor algorithm. In IOP Conference Series: Materials Science and Engineering (Vol. 830, No. 3, p. 032004). IOP Publishing.</w:t>
      </w:r>
    </w:p>
    <w:p>
      <w:pPr>
        <w:spacing w:before="40" w:after="100" w:line="276" w:lineRule="auto"/>
      </w:pPr>
      <w:r>
        <w:rPr>
          <w:rFonts w:ascii="Calibri" w:hAnsi="Calibri"/>
          <w:b w:val="0"/>
          <w:i w:val="0"/>
          <w:color w:val="1A1A1A"/>
          <w:sz w:val="22"/>
        </w:rPr>
        <w:t>Sarkar, T., Rakhra, M., Sharma, V., Maan, A., Singh, A. and Cheema, G.S. (2024) 'Comparative Study on Loan Approval Prediction Utilising Machine Learning Approaches', in 2024 7th International Conference on Contemporary Computing and Informatics (IC3I), Vol. 7, pp. 72–78. IEEE. Available at: https://ieeexplore.ieee.org/abstract/document/10593355/ (Accessed: 20 March 2026).</w:t>
      </w:r>
    </w:p>
    <w:p>
      <w:pPr>
        <w:spacing w:before="40" w:after="100" w:line="276" w:lineRule="auto"/>
      </w:pPr>
      <w:r>
        <w:rPr>
          <w:rFonts w:ascii="Calibri" w:hAnsi="Calibri"/>
          <w:b w:val="0"/>
          <w:i w:val="0"/>
          <w:color w:val="1A1A1A"/>
          <w:sz w:val="22"/>
        </w:rPr>
        <w:t>Shah, K., Patel, H., Sanghvi, D. and Shah, M., 2020. A comparative analysis of logistic regression, random forest and KNN models for the text classification. Springer. Available at: https://link.springer.com/article/10.1007/s41133-020-00032-0</w:t>
      </w:r>
    </w:p>
    <w:p>
      <w:pPr>
        <w:spacing w:before="40" w:after="100" w:line="276" w:lineRule="auto"/>
      </w:pPr>
      <w:r>
        <w:rPr>
          <w:rFonts w:ascii="Calibri" w:hAnsi="Calibri"/>
          <w:b w:val="0"/>
          <w:i w:val="0"/>
          <w:color w:val="1A1A1A"/>
          <w:sz w:val="22"/>
        </w:rPr>
        <w:t>Sheikh, M.A., Goel, A.K. and Kumar, T., 2020. An approach for prediction of loan approval using machine learning algorithm. IEEE. Available at: https://ieeexplore.ieee.org/abstract/document/9155614/</w:t>
      </w:r>
    </w:p>
    <w:p>
      <w:pPr>
        <w:spacing w:before="40" w:after="100" w:line="276" w:lineRule="auto"/>
      </w:pPr>
      <w:r>
        <w:rPr>
          <w:rFonts w:ascii="Calibri" w:hAnsi="Calibri"/>
          <w:b w:val="0"/>
          <w:i w:val="0"/>
          <w:color w:val="1A1A1A"/>
          <w:sz w:val="22"/>
        </w:rPr>
        <w:t>Shingi, G., 2020, November. A federated learning based approach for loan defaults prediction. In 2020 International Conference on Data Mining Workshops (ICDMW) (pp. 362-368). IEEE.</w:t>
      </w:r>
    </w:p>
    <w:p>
      <w:pPr>
        <w:spacing w:before="40" w:after="100" w:line="276" w:lineRule="auto"/>
      </w:pPr>
      <w:r>
        <w:rPr>
          <w:rFonts w:ascii="Calibri" w:hAnsi="Calibri"/>
          <w:b w:val="0"/>
          <w:i w:val="0"/>
          <w:color w:val="1A1A1A"/>
          <w:sz w:val="22"/>
        </w:rPr>
        <w:t>Singh, V., Yadav, A., Awasthi, R. and Partheeban, G.N., 2021, June. Prediction of modernized loan approval system based on machine learning approach. In 2021 international conference on intelligent technologies (CONIT) (pp. 1-4). IEEE.</w:t>
      </w:r>
    </w:p>
    <w:p>
      <w:pPr>
        <w:spacing w:before="40" w:after="100" w:line="276" w:lineRule="auto"/>
      </w:pPr>
      <w:r>
        <w:rPr>
          <w:rFonts w:ascii="Calibri" w:hAnsi="Calibri"/>
          <w:b w:val="0"/>
          <w:i w:val="0"/>
          <w:color w:val="1A1A1A"/>
          <w:sz w:val="22"/>
        </w:rPr>
        <w:t>Suresh, H. and Guttag, J., 2021. A framework for understanding sources of harm throughout the machine learning life cycle. ACM. Available at: https://dl.acm.org/doi/abs/10.1145/3465416.3483305</w:t>
      </w:r>
    </w:p>
    <w:p>
      <w:pPr>
        <w:spacing w:before="40" w:after="100" w:line="276" w:lineRule="auto"/>
      </w:pPr>
      <w:r>
        <w:rPr>
          <w:rFonts w:ascii="Calibri" w:hAnsi="Calibri"/>
          <w:b w:val="0"/>
          <w:i w:val="0"/>
          <w:color w:val="1A1A1A"/>
          <w:sz w:val="22"/>
        </w:rPr>
        <w:t>Taye, M.M., 2023. Understanding of machine learning with deep learning: architectures, workflow, applications and future directions. MDPI. Available at: https://www.mdpi.com/2073-431X/12/5/91</w:t>
      </w:r>
    </w:p>
    <w:p>
      <w:pPr>
        <w:spacing w:before="40" w:after="100" w:line="276" w:lineRule="auto"/>
      </w:pPr>
      <w:r>
        <w:rPr>
          <w:rFonts w:ascii="Calibri" w:hAnsi="Calibri"/>
          <w:b w:val="0"/>
          <w:i w:val="0"/>
          <w:color w:val="1A1A1A"/>
          <w:sz w:val="22"/>
        </w:rPr>
        <w:t>Uddin, N., Ahamed, M.K.U., Uddin, M.A., Islam, M.M., Talukder, M.A. and Aryal, S., 2023. An ensemble machine learning based bank loan approval predictions system with a smart application. International Journal of Cognitive Computing in Engineering, 4, pp.327-339.</w:t>
      </w:r>
    </w:p>
    <w:p>
      <w:pPr>
        <w:spacing w:before="40" w:after="100" w:line="276" w:lineRule="auto"/>
      </w:pPr>
      <w:r>
        <w:rPr>
          <w:rFonts w:ascii="Calibri" w:hAnsi="Calibri"/>
          <w:b w:val="0"/>
          <w:i w:val="0"/>
          <w:color w:val="1A1A1A"/>
          <w:sz w:val="22"/>
        </w:rPr>
        <w:t>Wang, Y., Zhang, Y., Lu, Y. and Yu, X., 2020. A Comparative Assessment of Credit Risk Model Based on Machine Learning——a case study of bank loan data. Procedia Computer Science, 174, pp.141-149.</w:t>
      </w:r>
    </w:p>
    <w:p>
      <w:r>
        <w:br w:type="page"/>
      </w:r>
    </w:p>
    <w:p>
      <w:pPr>
        <w:spacing w:before="0" w:after="200" w:line="276" w:lineRule="auto"/>
        <w:pBdr>
          <w:bottom w:val="single" w:sz="8" w:space="1" w:color="C00000"/>
        </w:pBdr>
      </w:pPr>
      <w:r>
        <w:rPr>
          <w:rFonts w:ascii="Calibri" w:hAnsi="Calibri"/>
          <w:b/>
          <w:i w:val="0"/>
          <w:color w:val="C00000"/>
          <w:sz w:val="32"/>
        </w:rPr>
        <w:t>VALIDATION REPORT</w:t>
      </w:r>
    </w:p>
    <w:p>
      <w:pPr>
        <w:spacing w:before="160" w:after="40" w:line="276" w:lineRule="auto"/>
      </w:pPr>
      <w:r>
        <w:rPr>
          <w:rFonts w:ascii="Calibri" w:hAnsi="Calibri"/>
          <w:b/>
          <w:i w:val="0"/>
          <w:color w:val="C00000"/>
          <w:sz w:val="22"/>
        </w:rPr>
        <w:t>V7 Issues  (2)</w:t>
      </w:r>
    </w:p>
    <w:p>
      <w:pPr>
        <w:spacing w:before="0" w:after="60" w:line="276" w:lineRule="auto"/>
      </w:pPr>
      <w:r>
        <w:rPr>
          <w:rFonts w:ascii="Calibri" w:hAnsi="Calibri"/>
          <w:b w:val="0"/>
          <w:i/>
          <w:color w:val="C00000"/>
          <w:sz w:val="18"/>
        </w:rPr>
        <w:t>⚠  [V7] Duplicate REFERENCES entry 'leo2019' -- kept: "Leo, M., Sharma, S. and Maddulety, K. (2019) 'Machine learni..."  removed: "Leo, M., Sharma, S. and Maddulety, K., 2019. Machine learnin..."</w:t>
      </w:r>
    </w:p>
    <w:p>
      <w:pPr>
        <w:spacing w:before="0" w:after="60" w:line="276" w:lineRule="auto"/>
      </w:pPr>
      <w:r>
        <w:rPr>
          <w:rFonts w:ascii="Calibri" w:hAnsi="Calibri"/>
          <w:b w:val="0"/>
          <w:i/>
          <w:color w:val="C00000"/>
          <w:sz w:val="18"/>
        </w:rPr>
        <w:t>⚠  [V7] Duplicate REFERENCES entry 'sarkar2024' -- kept: "Sarkar, T., Rakhra, M., Sharma, V., Maan, A., Singh, A. and ..."  removed: "Sarkar, T., Rakhra, M. and Sharma, V., 2024. An empirical co..."</w:t>
      </w:r>
    </w:p>
    <w:p>
      <w:pPr>
        <w:spacing w:before="160" w:after="40" w:line="276" w:lineRule="auto"/>
      </w:pPr>
      <w:r>
        <w:rPr>
          <w:rFonts w:ascii="Calibri" w:hAnsi="Calibri"/>
          <w:b/>
          <w:i w:val="0"/>
          <w:color w:val="C00000"/>
          <w:sz w:val="22"/>
        </w:rPr>
        <w:t>V8 Issues  (14)</w:t>
      </w:r>
    </w:p>
    <w:p>
      <w:pPr>
        <w:spacing w:before="0" w:after="60" w:line="276" w:lineRule="auto"/>
      </w:pPr>
      <w:r>
        <w:rPr>
          <w:rFonts w:ascii="Calibri" w:hAnsi="Calibri"/>
          <w:b w:val="0"/>
          <w:i/>
          <w:color w:val="C00000"/>
          <w:sz w:val="18"/>
        </w:rPr>
        <w:t>⚠  [V8] In-text citation 'lemieux2019' has no entry in REFERENCES (cited in: Ch1)</w:t>
      </w:r>
    </w:p>
    <w:p>
      <w:pPr>
        <w:spacing w:before="0" w:after="60" w:line="276" w:lineRule="auto"/>
      </w:pPr>
      <w:r>
        <w:rPr>
          <w:rFonts w:ascii="Calibri" w:hAnsi="Calibri"/>
          <w:b w:val="0"/>
          <w:i/>
          <w:color w:val="C00000"/>
          <w:sz w:val="18"/>
        </w:rPr>
        <w:t>⚠  [V8] In-text citation '2021' has no entry in REFERENCES (cited in: Ch1)</w:t>
      </w:r>
    </w:p>
    <w:p>
      <w:pPr>
        <w:spacing w:before="0" w:after="60" w:line="276" w:lineRule="auto"/>
      </w:pPr>
      <w:r>
        <w:rPr>
          <w:rFonts w:ascii="Calibri" w:hAnsi="Calibri"/>
          <w:b w:val="0"/>
          <w:i/>
          <w:color w:val="C00000"/>
          <w:sz w:val="18"/>
        </w:rPr>
        <w:t>⚠  [V8] In-text citation '2020' has no entry in REFERENCES (cited in: Ch1)</w:t>
      </w:r>
    </w:p>
    <w:p>
      <w:pPr>
        <w:spacing w:before="0" w:after="60" w:line="276" w:lineRule="auto"/>
      </w:pPr>
      <w:r>
        <w:rPr>
          <w:rFonts w:ascii="Calibri" w:hAnsi="Calibri"/>
          <w:b w:val="0"/>
          <w:i/>
          <w:color w:val="C00000"/>
          <w:sz w:val="18"/>
        </w:rPr>
        <w:t>⚠  [V8] In-text citation '2019' has no entry in REFERENCES (cited in: Ch1)</w:t>
      </w:r>
    </w:p>
    <w:p>
      <w:pPr>
        <w:spacing w:before="0" w:after="60" w:line="276" w:lineRule="auto"/>
      </w:pPr>
      <w:r>
        <w:rPr>
          <w:rFonts w:ascii="Calibri" w:hAnsi="Calibri"/>
          <w:b w:val="0"/>
          <w:i/>
          <w:color w:val="C00000"/>
          <w:sz w:val="18"/>
        </w:rPr>
        <w:t>⚠  [V8] In-text citation 'sharif2020' has no entry in REFERENCES (cited in: Ch1)</w:t>
      </w:r>
    </w:p>
    <w:p>
      <w:pPr>
        <w:spacing w:before="0" w:after="60" w:line="276" w:lineRule="auto"/>
      </w:pPr>
      <w:r>
        <w:rPr>
          <w:rFonts w:ascii="Calibri" w:hAnsi="Calibri"/>
          <w:b w:val="0"/>
          <w:i/>
          <w:color w:val="C00000"/>
          <w:sz w:val="18"/>
        </w:rPr>
        <w:t>⚠  [V8] In-text citation 'hajek2019' has no entry in REFERENCES (cited in: Ch2)</w:t>
      </w:r>
    </w:p>
    <w:p>
      <w:pPr>
        <w:spacing w:before="0" w:after="60" w:line="276" w:lineRule="auto"/>
      </w:pPr>
      <w:r>
        <w:rPr>
          <w:rFonts w:ascii="Calibri" w:hAnsi="Calibri"/>
          <w:b w:val="0"/>
          <w:i/>
          <w:color w:val="C00000"/>
          <w:sz w:val="18"/>
        </w:rPr>
        <w:t>⚠  [V8] In-text citation 'nedunchelian2024' has no entry in REFERENCES (cited in: Ch3)</w:t>
      </w:r>
    </w:p>
    <w:p>
      <w:pPr>
        <w:spacing w:before="0" w:after="60" w:line="276" w:lineRule="auto"/>
      </w:pPr>
      <w:r>
        <w:rPr>
          <w:rFonts w:ascii="Calibri" w:hAnsi="Calibri"/>
          <w:b w:val="0"/>
          <w:i/>
          <w:color w:val="C00000"/>
          <w:sz w:val="18"/>
        </w:rPr>
        <w:t>⚠  [V8] In-text citation 'zarrad2023' has no entry in REFERENCES (cited in: Ch3)</w:t>
      </w:r>
    </w:p>
    <w:p>
      <w:pPr>
        <w:spacing w:before="0" w:after="60" w:line="276" w:lineRule="auto"/>
      </w:pPr>
      <w:r>
        <w:rPr>
          <w:rFonts w:ascii="Calibri" w:hAnsi="Calibri"/>
          <w:b w:val="0"/>
          <w:i/>
          <w:color w:val="C00000"/>
          <w:sz w:val="18"/>
        </w:rPr>
        <w:t>⚠  [V8] In-text citation 'mia2024' has no entry in REFERENCES (cited in: Ch3)</w:t>
      </w:r>
    </w:p>
    <w:p>
      <w:pPr>
        <w:spacing w:before="0" w:after="60" w:line="276" w:lineRule="auto"/>
      </w:pPr>
      <w:r>
        <w:rPr>
          <w:rFonts w:ascii="Calibri" w:hAnsi="Calibri"/>
          <w:b w:val="0"/>
          <w:i/>
          <w:color w:val="C00000"/>
          <w:sz w:val="18"/>
        </w:rPr>
        <w:t>⚠  [V8] In-text citation 'sharma2026' has no entry in REFERENCES (cited in: Ch3)</w:t>
      </w:r>
    </w:p>
    <w:p>
      <w:pPr>
        <w:spacing w:before="0" w:after="60" w:line="276" w:lineRule="auto"/>
      </w:pPr>
      <w:r>
        <w:rPr>
          <w:rFonts w:ascii="Calibri" w:hAnsi="Calibri"/>
          <w:b w:val="0"/>
          <w:i/>
          <w:color w:val="C00000"/>
          <w:sz w:val="18"/>
        </w:rPr>
        <w:t>⚠  [V8] In-text citation 'pfister2021' has no entry in REFERENCES (cited in: Ch3)</w:t>
      </w:r>
    </w:p>
    <w:p>
      <w:pPr>
        <w:spacing w:before="0" w:after="60" w:line="276" w:lineRule="auto"/>
      </w:pPr>
      <w:r>
        <w:rPr>
          <w:rFonts w:ascii="Calibri" w:hAnsi="Calibri"/>
          <w:b w:val="0"/>
          <w:i/>
          <w:color w:val="C00000"/>
          <w:sz w:val="18"/>
        </w:rPr>
        <w:t>⚠  [V8] In-text citation 'alabduljalil2025' has no entry in REFERENCES (cited in: Ch3)</w:t>
      </w:r>
    </w:p>
    <w:p>
      <w:pPr>
        <w:spacing w:before="0" w:after="60" w:line="276" w:lineRule="auto"/>
      </w:pPr>
      <w:r>
        <w:rPr>
          <w:rFonts w:ascii="Calibri" w:hAnsi="Calibri"/>
          <w:b w:val="0"/>
          <w:i/>
          <w:color w:val="C00000"/>
          <w:sz w:val="18"/>
        </w:rPr>
        <w:t>⚠  [V8] In-text citation 'zoghlami2025' has no entry in REFERENCES (cited in: Ch3)</w:t>
      </w:r>
    </w:p>
    <w:p>
      <w:pPr>
        <w:spacing w:before="0" w:after="60" w:line="276" w:lineRule="auto"/>
      </w:pPr>
      <w:r>
        <w:rPr>
          <w:rFonts w:ascii="Calibri" w:hAnsi="Calibri"/>
          <w:b w:val="0"/>
          <w:i/>
          <w:color w:val="C00000"/>
          <w:sz w:val="18"/>
        </w:rPr>
        <w:t>⚠  [V8] In-text citation 'anand2024' has no entry in REFERENCES (cited in: Ch5)</w:t>
      </w:r>
    </w:p>
    <w:p>
      <w:pPr>
        <w:spacing w:before="160" w:after="40" w:line="276" w:lineRule="auto"/>
      </w:pPr>
      <w:r>
        <w:rPr>
          <w:rFonts w:ascii="Calibri" w:hAnsi="Calibri"/>
          <w:b/>
          <w:i w:val="0"/>
          <w:color w:val="C00000"/>
          <w:sz w:val="22"/>
        </w:rPr>
        <w:t>V9 Issues  (29)</w:t>
      </w:r>
    </w:p>
    <w:p>
      <w:pPr>
        <w:spacing w:before="0" w:after="60" w:line="276" w:lineRule="auto"/>
      </w:pPr>
      <w:r>
        <w:rPr>
          <w:rFonts w:ascii="Calibri" w:hAnsi="Calibri"/>
          <w:b w:val="0"/>
          <w:i/>
          <w:color w:val="C00000"/>
          <w:sz w:val="18"/>
        </w:rPr>
        <w:t>⚠  [V9] REFERENCES entry 'adnan2018' is never cited in the text -- entry: "Adnan, N., Nordin, S.M. and Bahruddin, M.A., 2018. How trust can drive..."</w:t>
      </w:r>
    </w:p>
    <w:p>
      <w:pPr>
        <w:spacing w:before="0" w:after="60" w:line="276" w:lineRule="auto"/>
      </w:pPr>
      <w:r>
        <w:rPr>
          <w:rFonts w:ascii="Calibri" w:hAnsi="Calibri"/>
          <w:b w:val="0"/>
          <w:i/>
          <w:color w:val="C00000"/>
          <w:sz w:val="18"/>
        </w:rPr>
        <w:t>⚠  [V9] REFERENCES entry 'aky2025' is never cited in the text -- entry: "Akyüz, S. and Güler, A. (2025) 'Integration of CNN Models and Machine ..."</w:t>
      </w:r>
    </w:p>
    <w:p>
      <w:pPr>
        <w:spacing w:before="0" w:after="60" w:line="276" w:lineRule="auto"/>
      </w:pPr>
      <w:r>
        <w:rPr>
          <w:rFonts w:ascii="Calibri" w:hAnsi="Calibri"/>
          <w:b w:val="0"/>
          <w:i/>
          <w:color w:val="C00000"/>
          <w:sz w:val="18"/>
        </w:rPr>
        <w:t>⚠  [V9] REFERENCES entry 'alafif2021' is never cited in the text -- entry: "Alafif, T., Tehame, A.M., Bajaba, S. and Barnawi, A., 2021. Machine an..."</w:t>
      </w:r>
    </w:p>
    <w:p>
      <w:pPr>
        <w:spacing w:before="0" w:after="60" w:line="276" w:lineRule="auto"/>
      </w:pPr>
      <w:r>
        <w:rPr>
          <w:rFonts w:ascii="Calibri" w:hAnsi="Calibri"/>
          <w:b w:val="0"/>
          <w:i/>
          <w:color w:val="C00000"/>
          <w:sz w:val="18"/>
        </w:rPr>
        <w:t>⚠  [V9] REFERENCES entry 'anand2022' is never cited in the text -- entry: "Anand, M., Velu, A. and Whig, P., 2022. Prediction of loan behaviour w..."</w:t>
      </w:r>
    </w:p>
    <w:p>
      <w:pPr>
        <w:spacing w:before="0" w:after="60" w:line="276" w:lineRule="auto"/>
      </w:pPr>
      <w:r>
        <w:rPr>
          <w:rFonts w:ascii="Calibri" w:hAnsi="Calibri"/>
          <w:b w:val="0"/>
          <w:i/>
          <w:color w:val="C00000"/>
          <w:sz w:val="18"/>
        </w:rPr>
        <w:t>⚠  [V9] REFERENCES entry 'arik2021' is never cited in the text -- entry: "Arik, S.Ö. and Pfister, T. (2021) 'TabNet: Attentive Interpretable Tab..."</w:t>
      </w:r>
    </w:p>
    <w:p>
      <w:pPr>
        <w:spacing w:before="0" w:after="60" w:line="276" w:lineRule="auto"/>
      </w:pPr>
      <w:r>
        <w:rPr>
          <w:rFonts w:ascii="Calibri" w:hAnsi="Calibri"/>
          <w:b w:val="0"/>
          <w:i/>
          <w:color w:val="C00000"/>
          <w:sz w:val="18"/>
        </w:rPr>
        <w:t>⚠  [V9] REFERENCES entry 'ben2025' is never cited in the text -- entry: "Ben Jebli, A. and Zoghlami, F. (2025) 'Credit risk prediction using be..."</w:t>
      </w:r>
    </w:p>
    <w:p>
      <w:pPr>
        <w:spacing w:before="0" w:after="60" w:line="276" w:lineRule="auto"/>
      </w:pPr>
      <w:r>
        <w:rPr>
          <w:rFonts w:ascii="Calibri" w:hAnsi="Calibri"/>
          <w:b w:val="0"/>
          <w:i/>
          <w:color w:val="C00000"/>
          <w:sz w:val="18"/>
        </w:rPr>
        <w:t>⚠  [V9] REFERENCES entry 'chen2021' is never cited in the text -- entry: "Chen, Y. and Zhang, R., 2021. Research on credit card default predicti..."</w:t>
      </w:r>
    </w:p>
    <w:p>
      <w:pPr>
        <w:spacing w:before="0" w:after="60" w:line="276" w:lineRule="auto"/>
      </w:pPr>
      <w:r>
        <w:rPr>
          <w:rFonts w:ascii="Calibri" w:hAnsi="Calibri"/>
          <w:b w:val="0"/>
          <w:i/>
          <w:color w:val="C00000"/>
          <w:sz w:val="18"/>
        </w:rPr>
        <w:t>⚠  [V9] REFERENCES entry 'golec2025' is never cited in the text -- entry: "Golec, M. and AlabdulJalil, M. (2025) 'Interpretable LLMs for Credit R..."</w:t>
      </w:r>
    </w:p>
    <w:p>
      <w:pPr>
        <w:spacing w:before="0" w:after="60" w:line="276" w:lineRule="auto"/>
      </w:pPr>
      <w:r>
        <w:rPr>
          <w:rFonts w:ascii="Calibri" w:hAnsi="Calibri"/>
          <w:b w:val="0"/>
          <w:i/>
          <w:color w:val="C00000"/>
          <w:sz w:val="18"/>
        </w:rPr>
        <w:t>⚠  [V9] REFERENCES entry 'gupta2026' is never cited in the text -- entry: "Gupta, R. and Sharma, P. (2026) 'Prediction of bank transaction fraud ..."</w:t>
      </w:r>
    </w:p>
    <w:p>
      <w:pPr>
        <w:spacing w:before="0" w:after="60" w:line="276" w:lineRule="auto"/>
      </w:pPr>
      <w:r>
        <w:rPr>
          <w:rFonts w:ascii="Calibri" w:hAnsi="Calibri"/>
          <w:b w:val="0"/>
          <w:i/>
          <w:color w:val="C00000"/>
          <w:sz w:val="18"/>
        </w:rPr>
        <w:t>⚠  [V9] REFERENCES entry 'hossain2024' is never cited in the text -- entry: "Hossain, M.I. and Mia, M.J. (2024) 'Accuracy Comparison between Five M..."</w:t>
      </w:r>
    </w:p>
    <w:p>
      <w:pPr>
        <w:spacing w:before="0" w:after="60" w:line="276" w:lineRule="auto"/>
      </w:pPr>
      <w:r>
        <w:rPr>
          <w:rFonts w:ascii="Calibri" w:hAnsi="Calibri"/>
          <w:b w:val="0"/>
          <w:i/>
          <w:color w:val="C00000"/>
          <w:sz w:val="18"/>
        </w:rPr>
        <w:t>⚠  [V9] REFERENCES entry 'jagtiani2019' is never cited in the text -- entry: "Jagtiani, J. and Lemieux, C. (2019) 'The roles of alternative data and..."</w:t>
      </w:r>
    </w:p>
    <w:p>
      <w:pPr>
        <w:spacing w:before="0" w:after="60" w:line="276" w:lineRule="auto"/>
      </w:pPr>
      <w:r>
        <w:rPr>
          <w:rFonts w:ascii="Calibri" w:hAnsi="Calibri"/>
          <w:b w:val="0"/>
          <w:i/>
          <w:color w:val="C00000"/>
          <w:sz w:val="18"/>
        </w:rPr>
        <w:t>⚠  [V9] REFERENCES entry 'jak2019' is never cited in the text -- entry: "Jakšič, M. and Marinč, M. (2019) 'Relationship banking and information..."</w:t>
      </w:r>
    </w:p>
    <w:p>
      <w:pPr>
        <w:spacing w:before="0" w:after="60" w:line="276" w:lineRule="auto"/>
      </w:pPr>
      <w:r>
        <w:rPr>
          <w:rFonts w:ascii="Calibri" w:hAnsi="Calibri"/>
          <w:b w:val="0"/>
          <w:i/>
          <w:color w:val="C00000"/>
          <w:sz w:val="18"/>
        </w:rPr>
        <w:t>⚠  [V9] REFERENCES entry 'jemai2023' is never cited in the text -- entry: "Jemai, J. and Zarrad, A. (2023) 'Feature Selection Engineering for Cre..."</w:t>
      </w:r>
    </w:p>
    <w:p>
      <w:pPr>
        <w:spacing w:before="0" w:after="60" w:line="276" w:lineRule="auto"/>
      </w:pPr>
      <w:r>
        <w:rPr>
          <w:rFonts w:ascii="Calibri" w:hAnsi="Calibri"/>
          <w:b w:val="0"/>
          <w:i/>
          <w:color w:val="C00000"/>
          <w:sz w:val="18"/>
        </w:rPr>
        <w:t>⚠  [V9] REFERENCES entry 'lee2020' is never cited in the text -- entry: "Lee, I. and Shin, Y.J. (2020) 'Machine learning for enterprises: Appli..."</w:t>
      </w:r>
    </w:p>
    <w:p>
      <w:pPr>
        <w:spacing w:before="0" w:after="60" w:line="276" w:lineRule="auto"/>
      </w:pPr>
      <w:r>
        <w:rPr>
          <w:rFonts w:ascii="Calibri" w:hAnsi="Calibri"/>
          <w:b w:val="0"/>
          <w:i/>
          <w:color w:val="C00000"/>
          <w:sz w:val="18"/>
        </w:rPr>
        <w:t>⚠  [V9] REFERENCES entry 'li2018' is never cited in the text -- entry: "Liébana-Cabanillas, F., Marinkovic, V. and De Luna, I.R., 2018. Predic..."</w:t>
      </w:r>
    </w:p>
    <w:p>
      <w:pPr>
        <w:spacing w:before="0" w:after="60" w:line="276" w:lineRule="auto"/>
      </w:pPr>
      <w:r>
        <w:rPr>
          <w:rFonts w:ascii="Calibri" w:hAnsi="Calibri"/>
          <w:b w:val="0"/>
          <w:i/>
          <w:color w:val="C00000"/>
          <w:sz w:val="18"/>
        </w:rPr>
        <w:t>⚠  [V9] REFERENCES entry 'lohani2022' is never cited in the text -- entry: "Lohani, B.P., Trivedi, M., Singh, R.J., Bibhu, V., Ranjan, S. and Kush..."</w:t>
      </w:r>
    </w:p>
    <w:p>
      <w:pPr>
        <w:spacing w:before="0" w:after="60" w:line="276" w:lineRule="auto"/>
      </w:pPr>
      <w:r>
        <w:rPr>
          <w:rFonts w:ascii="Calibri" w:hAnsi="Calibri"/>
          <w:b w:val="0"/>
          <w:i/>
          <w:color w:val="C00000"/>
          <w:sz w:val="18"/>
        </w:rPr>
        <w:t>⚠  [V9] REFERENCES entry 'lu2023' is never cited in the text -- entry: "Lu, H. and Hu, X., 2023. Enhancing Financial Risk Prediction for Liste..."</w:t>
      </w:r>
    </w:p>
    <w:p>
      <w:pPr>
        <w:spacing w:before="0" w:after="60" w:line="276" w:lineRule="auto"/>
      </w:pPr>
      <w:r>
        <w:rPr>
          <w:rFonts w:ascii="Calibri" w:hAnsi="Calibri"/>
          <w:b w:val="0"/>
          <w:i/>
          <w:color w:val="C00000"/>
          <w:sz w:val="18"/>
        </w:rPr>
        <w:t>⚠  [V9] REFERENCES entry 'mazur2025' is never cited in the text -- entry: "Mazur, M. (2025) 'Data-Driven Loan Default Prediction: A Machine Learn..."</w:t>
      </w:r>
    </w:p>
    <w:p>
      <w:pPr>
        <w:spacing w:before="0" w:after="60" w:line="276" w:lineRule="auto"/>
      </w:pPr>
      <w:r>
        <w:rPr>
          <w:rFonts w:ascii="Calibri" w:hAnsi="Calibri"/>
          <w:b w:val="0"/>
          <w:i/>
          <w:color w:val="C00000"/>
          <w:sz w:val="18"/>
        </w:rPr>
        <w:t>⚠  [V9] REFERENCES entry 'omuya2021' is never cited in the text -- entry: "Omuya, E.O., Okeyo, G.O. and Kimwele, M.W., 2021. Feature selection fo..."</w:t>
      </w:r>
    </w:p>
    <w:p>
      <w:pPr>
        <w:spacing w:before="0" w:after="60" w:line="276" w:lineRule="auto"/>
      </w:pPr>
      <w:r>
        <w:rPr>
          <w:rFonts w:ascii="Calibri" w:hAnsi="Calibri"/>
          <w:b w:val="0"/>
          <w:i/>
          <w:color w:val="C00000"/>
          <w:sz w:val="18"/>
        </w:rPr>
        <w:t>⚠  [V9] REFERENCES entry 'papouskova2019' is never cited in the text -- entry: "Papouskova, M. and Hajek, P., 2019. Two-stage consumer credit risk mod..."</w:t>
      </w:r>
    </w:p>
    <w:p>
      <w:pPr>
        <w:spacing w:before="0" w:after="60" w:line="276" w:lineRule="auto"/>
      </w:pPr>
      <w:r>
        <w:rPr>
          <w:rFonts w:ascii="Calibri" w:hAnsi="Calibri"/>
          <w:b w:val="0"/>
          <w:i/>
          <w:color w:val="C00000"/>
          <w:sz w:val="18"/>
        </w:rPr>
        <w:t>⚠  [V9] REFERENCES entry 'patel2020' is never cited in the text -- entry: "Patel, B., Patil, H., Hembram, J. and Jaswal, S., 2020, June. Loan def..."</w:t>
      </w:r>
    </w:p>
    <w:p>
      <w:pPr>
        <w:spacing w:before="0" w:after="60" w:line="276" w:lineRule="auto"/>
      </w:pPr>
      <w:r>
        <w:rPr>
          <w:rFonts w:ascii="Calibri" w:hAnsi="Calibri"/>
          <w:b w:val="0"/>
          <w:i/>
          <w:color w:val="C00000"/>
          <w:sz w:val="18"/>
        </w:rPr>
        <w:t>⚠  [V9] REFERENCES entry 'prabhakaran2024' is never cited in the text -- entry: "Prabhakaran, N. and Nedunchelian, R. (2024) 'Range control-based class..."</w:t>
      </w:r>
    </w:p>
    <w:p>
      <w:pPr>
        <w:spacing w:before="0" w:after="60" w:line="276" w:lineRule="auto"/>
      </w:pPr>
      <w:r>
        <w:rPr>
          <w:rFonts w:ascii="Calibri" w:hAnsi="Calibri"/>
          <w:b w:val="0"/>
          <w:i/>
          <w:color w:val="C00000"/>
          <w:sz w:val="18"/>
        </w:rPr>
        <w:t>⚠  [V9] REFERENCES entry 'samsir2020' is never cited in the text -- entry: "Samsir, S., Suparno, S. and Giatman, M., 2020, April. Predicting the l..."</w:t>
      </w:r>
    </w:p>
    <w:p>
      <w:pPr>
        <w:spacing w:before="0" w:after="60" w:line="276" w:lineRule="auto"/>
      </w:pPr>
      <w:r>
        <w:rPr>
          <w:rFonts w:ascii="Calibri" w:hAnsi="Calibri"/>
          <w:b w:val="0"/>
          <w:i/>
          <w:color w:val="C00000"/>
          <w:sz w:val="18"/>
        </w:rPr>
        <w:t>⚠  [V9] REFERENCES entry 'shah2020' is never cited in the text -- entry: "Shah, K., Patel, H., Sanghvi, D. and Shah, M., 2020. A comparative ana..."</w:t>
      </w:r>
    </w:p>
    <w:p>
      <w:pPr>
        <w:spacing w:before="0" w:after="60" w:line="276" w:lineRule="auto"/>
      </w:pPr>
      <w:r>
        <w:rPr>
          <w:rFonts w:ascii="Calibri" w:hAnsi="Calibri"/>
          <w:b w:val="0"/>
          <w:i/>
          <w:color w:val="C00000"/>
          <w:sz w:val="18"/>
        </w:rPr>
        <w:t>⚠  [V9] REFERENCES entry 'shingi2020' is never cited in the text -- entry: "Shingi, G., 2020, November. A federated learning based approach for lo..."</w:t>
      </w:r>
    </w:p>
    <w:p>
      <w:pPr>
        <w:spacing w:before="0" w:after="60" w:line="276" w:lineRule="auto"/>
      </w:pPr>
      <w:r>
        <w:rPr>
          <w:rFonts w:ascii="Calibri" w:hAnsi="Calibri"/>
          <w:b w:val="0"/>
          <w:i/>
          <w:color w:val="C00000"/>
          <w:sz w:val="18"/>
        </w:rPr>
        <w:t>⚠  [V9] REFERENCES entry 'singh2021' is never cited in the text -- entry: "Singh, V., Yadav, A., Awasthi, R. and Partheeban, G.N., 2021, June. Pr..."</w:t>
      </w:r>
    </w:p>
    <w:p>
      <w:pPr>
        <w:spacing w:before="0" w:after="60" w:line="276" w:lineRule="auto"/>
      </w:pPr>
      <w:r>
        <w:rPr>
          <w:rFonts w:ascii="Calibri" w:hAnsi="Calibri"/>
          <w:b w:val="0"/>
          <w:i/>
          <w:color w:val="C00000"/>
          <w:sz w:val="18"/>
        </w:rPr>
        <w:t>⚠  [V9] REFERENCES entry 'suresh2021' is never cited in the text -- entry: "Suresh, H. and Guttag, J., 2021. A framework for understanding sources..."</w:t>
      </w:r>
    </w:p>
    <w:p>
      <w:pPr>
        <w:spacing w:before="0" w:after="60" w:line="276" w:lineRule="auto"/>
      </w:pPr>
      <w:r>
        <w:rPr>
          <w:rFonts w:ascii="Calibri" w:hAnsi="Calibri"/>
          <w:b w:val="0"/>
          <w:i/>
          <w:color w:val="C00000"/>
          <w:sz w:val="18"/>
        </w:rPr>
        <w:t>⚠  [V9] REFERENCES entry 'uddin2023' is never cited in the text -- entry: "Uddin, N., Ahamed, M.K.U., Uddin, M.A., Islam, M.M., Talukder, M.A. an..."</w:t>
      </w:r>
    </w:p>
    <w:p>
      <w:pPr>
        <w:spacing w:before="0" w:after="60" w:line="276" w:lineRule="auto"/>
      </w:pPr>
      <w:r>
        <w:rPr>
          <w:rFonts w:ascii="Calibri" w:hAnsi="Calibri"/>
          <w:b w:val="0"/>
          <w:i/>
          <w:color w:val="C00000"/>
          <w:sz w:val="18"/>
        </w:rPr>
        <w:t>⚠  [V9] REFERENCES entry 'wang2020' is never cited in the text -- entry: "Wang, Y., Zhang, Y., Lu, Y. and Yu, X., 2020. A Comparative Assessment..."</w:t>
      </w:r>
    </w:p>
    <w:p>
      <w:pPr>
        <w:spacing w:before="240" w:after="80" w:line="276" w:lineRule="auto"/>
      </w:pPr>
      <w:r>
        <w:rPr>
          <w:rFonts w:ascii="Calibri" w:hAnsi="Calibri"/>
          <w:b/>
          <w:i w:val="0"/>
          <w:color w:val="2E74B5"/>
          <w:sz w:val="22"/>
        </w:rPr>
        <w:t>AI ANALYSIS</w:t>
      </w:r>
    </w:p>
    <w:p>
      <w:pPr>
        <w:spacing w:before="0" w:after="40" w:line="276" w:lineRule="auto"/>
      </w:pPr>
      <w:r>
        <w:rPr>
          <w:rFonts w:ascii="Calibri" w:hAnsi="Calibri"/>
          <w:b w:val="0"/>
          <w:i/>
          <w:color w:val="303030"/>
          <w:sz w:val="18"/>
        </w:rPr>
        <w:t xml:space="preserve">**PRIORITY ORDER (Academic Severity):**  </w:t>
      </w:r>
    </w:p>
    <w:p>
      <w:pPr>
        <w:spacing w:before="0" w:after="40" w:line="276" w:lineRule="auto"/>
      </w:pPr>
      <w:r>
        <w:rPr>
          <w:rFonts w:ascii="Calibri" w:hAnsi="Calibri"/>
          <w:b w:val="0"/>
          <w:i/>
          <w:color w:val="303030"/>
          <w:sz w:val="18"/>
        </w:rPr>
        <w:t xml:space="preserve">1. **V8 Issues (Citations without References)** - Highest priority. Missing references for in-text citations (e.g., 'lemieux2019', '2021') undermine credibility and risk plagiarism accusations.  </w:t>
      </w:r>
    </w:p>
    <w:p>
      <w:pPr>
        <w:spacing w:before="0" w:after="40" w:line="276" w:lineRule="auto"/>
      </w:pPr>
      <w:r>
        <w:rPr>
          <w:rFonts w:ascii="Calibri" w:hAnsi="Calibri"/>
          <w:b w:val="0"/>
          <w:i/>
          <w:color w:val="303030"/>
          <w:sz w:val="18"/>
        </w:rPr>
        <w:t>2. **V9 Issues (Unused References)** - Lower priority but still significant. Unused entries (e.g., 'adnan2018') indicate poor scholarship or oversight, reducing dissertation coherence.</w:t>
      </w:r>
    </w:p>
    <w:p>
      <w:pPr>
        <w:spacing w:before="0" w:after="40" w:line="276" w:lineRule="auto"/>
      </w:pPr>
      <w:r>
        <w:rPr>
          <w:rFonts w:ascii="Calibri" w:hAnsi="Calibri"/>
          <w:b w:val="0"/>
          <w:i/>
          <w:color w:val="303030"/>
          <w:sz w:val="18"/>
        </w:rPr>
        <w:t xml:space="preserve">**ROOT CAUSE:**  </w:t>
      </w:r>
    </w:p>
    <w:p>
      <w:pPr>
        <w:spacing w:before="0" w:after="40" w:line="276" w:lineRule="auto"/>
      </w:pPr>
      <w:r>
        <w:rPr>
          <w:rFonts w:ascii="Calibri" w:hAnsi="Calibri"/>
          <w:b w:val="0"/>
          <w:i/>
          <w:color w:val="303030"/>
          <w:sz w:val="18"/>
        </w:rPr>
        <w:t xml:space="preserve">- **V8 Issues:** Likely caused by incomplete reference list updates during drafting or failure to cross-check citations against the bibliography. Patterns show clustering in Ch1 and Ch3, suggesting rushed writing or editing in these sections. Notably, future dates (e.g., 'sharma2026') indicate typos or fictitious citations.  </w:t>
      </w:r>
    </w:p>
    <w:p>
      <w:pPr>
        <w:spacing w:before="0" w:after="40" w:line="276" w:lineRule="auto"/>
      </w:pPr>
      <w:r>
        <w:rPr>
          <w:rFonts w:ascii="Calibri" w:hAnsi="Calibri"/>
          <w:b w:val="0"/>
          <w:i/>
          <w:color w:val="303030"/>
          <w:sz w:val="18"/>
        </w:rPr>
        <w:t>- **V9 Issues:** Stem from over-inclusion of sources during literature review without integrating them into the text, or failure to prune unused references. No specific chapter pattern; this is a general oversight.</w:t>
      </w:r>
    </w:p>
    <w:p>
      <w:pPr>
        <w:spacing w:before="0" w:after="40" w:line="276" w:lineRule="auto"/>
      </w:pPr>
      <w:r>
        <w:rPr>
          <w:rFonts w:ascii="Calibri" w:hAnsi="Calibri"/>
          <w:b w:val="0"/>
          <w:i/>
          <w:color w:val="303030"/>
          <w:sz w:val="18"/>
        </w:rPr>
        <w:t xml:space="preserve">**SUGGESTED FIXES:**  </w:t>
      </w:r>
    </w:p>
    <w:p>
      <w:pPr>
        <w:spacing w:before="0" w:after="40" w:line="276" w:lineRule="auto"/>
      </w:pPr>
      <w:r>
        <w:rPr>
          <w:rFonts w:ascii="Calibri" w:hAnsi="Calibri"/>
          <w:b w:val="0"/>
          <w:i/>
          <w:color w:val="303030"/>
          <w:sz w:val="18"/>
        </w:rPr>
        <w:t xml:space="preserve">- **V8 Fixes:** (1) Locate and add full bibliographic details for each missing citation (e.g., 'lemieux2019') in the References section. (2) Verify authenticity of future-dated citations like 'sharma2026'—correct typos or remove if fictitious. (3) Cross-check all in-text citations against References using citation management software (e.g., EndNote, Zotero).  </w:t>
      </w:r>
    </w:p>
    <w:p>
      <w:pPr>
        <w:spacing w:before="0" w:after="40" w:line="276" w:lineRule="auto"/>
      </w:pPr>
      <w:r>
        <w:rPr>
          <w:rFonts w:ascii="Calibri" w:hAnsi="Calibri"/>
          <w:b w:val="0"/>
          <w:i/>
          <w:color w:val="303030"/>
          <w:sz w:val="18"/>
        </w:rPr>
        <w:t>- **V9 Fixes:** (1) Review each unused reference (e.g., 'adnan2018') and either integrate relevant ones into the text or remove them. (2) Use a reference manager to flag uncited entries before submission.</w:t>
      </w:r>
    </w:p>
    <w:p>
      <w:pPr>
        <w:spacing w:before="0" w:after="40" w:line="276" w:lineRule="auto"/>
      </w:pPr>
      <w:r>
        <w:rPr>
          <w:rFonts w:ascii="Calibri" w:hAnsi="Calibri"/>
          <w:b w:val="0"/>
          <w:i/>
          <w:color w:val="303030"/>
          <w:sz w:val="18"/>
        </w:rPr>
        <w:t xml:space="preserve">**RESIDUAL RISK:**  </w:t>
      </w:r>
    </w:p>
    <w:p>
      <w:pPr>
        <w:spacing w:before="0" w:after="40" w:line="276" w:lineRule="auto"/>
      </w:pPr>
      <w:r>
        <w:rPr>
          <w:rFonts w:ascii="Calibri" w:hAnsi="Calibri"/>
          <w:b w:val="0"/>
          <w:i/>
          <w:color w:val="303030"/>
          <w:sz w:val="18"/>
        </w:rPr>
        <w:t xml:space="preserve">- All V8 issues (missing references) remain unresolved as they cannot be auto-fixed; manual verification and addition of sources are required. Suspicious entries like 'sharma2026' pose a high risk of academic misconduct if not addressed.  </w:t>
      </w:r>
    </w:p>
    <w:p>
      <w:pPr>
        <w:spacing w:before="0" w:after="40" w:line="276" w:lineRule="auto"/>
      </w:pPr>
      <w:r>
        <w:rPr>
          <w:rFonts w:ascii="Calibri" w:hAnsi="Calibri"/>
          <w:b w:val="0"/>
          <w:i/>
          <w:color w:val="303030"/>
          <w:sz w:val="18"/>
        </w:rPr>
        <w:t xml:space="preserve">- Most V9 issues (unused references) also require manual review to decide on inclusion or deletion, though software can assist in flagging them.  </w:t>
      </w:r>
    </w:p>
    <w:p>
      <w:pPr>
        <w:spacing w:before="0" w:after="40" w:line="276" w:lineRule="auto"/>
      </w:pPr>
      <w:r>
        <w:rPr>
          <w:rFonts w:ascii="Calibri" w:hAnsi="Calibri"/>
          <w:b w:val="0"/>
          <w:i/>
          <w:color w:val="303030"/>
          <w:sz w:val="18"/>
        </w:rPr>
        <w:t>- Risk of recurring errors persists if no systematic citation tool is adopted or if cross-checking is neglected.</w:t>
      </w:r>
    </w:p>
    <w:p>
      <w:pPr>
        <w:spacing w:before="0" w:after="40" w:line="276" w:lineRule="auto"/>
      </w:pPr>
      <w:r>
        <w:rPr>
          <w:rFonts w:ascii="Calibri" w:hAnsi="Calibri"/>
          <w:b w:val="0"/>
          <w:i/>
          <w:color w:val="303030"/>
          <w:sz w:val="18"/>
        </w:rPr>
        <w:t>**Final Note:** Immediate action on V8 issues is critical to avoid severe mark deductions. Use of citation tools and a final manual audit are essential to mitigate all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