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etkpoj46tyuy" w:id="0"/>
      <w:bookmarkEnd w:id="0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📌 Key Insights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🔥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Friday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is the busiest day in terms of both revenue and orders.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⏰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12 PM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is the peak hour, with the highest pizza production.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🍕 The most popular pizza is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The Classic Deluxe Pizza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while the least sold is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The Brie Carre Pizza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💺 Average seat turnover is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2.264/day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indicating high efficiency.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💰 Average Order Value (AOV) is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 $38.31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with variations by day.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🍕 During peak hour (12 PM),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6,776 pizzas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are made across the year — the highest volume for any hour.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🍕 During peak day (Friday),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8,242 pizzas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are made across the year — the highest volume for any day.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🍕 During peak hour (12 PM) and peak day(Friday) simultaneously,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1,101 pizzas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are made across the year.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lpkr634wsyeq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1f2328"/>
          <w:sz w:val="36"/>
          <w:szCs w:val="36"/>
          <w:rtl w:val="0"/>
        </w:rPr>
        <w:t xml:space="preserve">✅ Recommendations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Launch Friday lunch combo deals to capture high traffic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Optimize kitchen staffing at 12 PM peak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Explore upsell opportunities on lower-performing pizzas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