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368"/>
            <w:shd w:fill="0F2747"/>
            <w:tcMar>
              <w:top w:w="330" w:type="dxa"/>
              <w:start w:w="280" w:type="dxa"/>
              <w:bottom w:w="330" w:type="dxa"/>
              <w:end w:w="2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74B3FF"/>
                <w:sz w:val="22"/>
              </w:rPr>
              <w:t>AMBITIONBOX × NAUKRI</w:t>
            </w:r>
            <w:r>
              <w:br/>
            </w:r>
            <w:r>
              <w:rPr>
                <w:rFonts w:ascii="Aptos Display" w:hAnsi="Aptos Display"/>
                <w:b/>
                <w:color w:val="FFFFFF"/>
                <w:sz w:val="54"/>
              </w:rPr>
              <w:t>Product Boundary &amp; Ecosystem Strategy</w:t>
            </w:r>
            <w:r>
              <w:br/>
            </w:r>
            <w:r>
              <w:rPr>
                <w:rFonts w:ascii="Aptos" w:hAnsi="Aptos"/>
                <w:color w:val="DDE6F1"/>
                <w:sz w:val="24"/>
              </w:rPr>
              <w:t>How AmbitionBox becomes candidate-first without becoming a second Naukri</w:t>
            </w:r>
          </w:p>
        </w:tc>
      </w:tr>
    </w:tbl>
    <w:p>
      <w:pPr>
        <w:spacing w:before="240" w:after="60"/>
      </w:pPr>
      <w:r>
        <w:rPr>
          <w:rFonts w:ascii="Aptos" w:hAnsi="Aptos"/>
          <w:b/>
          <w:color w:val="2D6CDF"/>
          <w:sz w:val="18"/>
        </w:rPr>
        <w:t>EXECUTIVE POSITIONING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432"/>
      </w:tblGrid>
      <w:tr>
        <w:tc>
          <w:tcPr>
            <w:tcW w:type="dxa" w:w="5184"/>
            <w:shd w:fill="2D6CDF"/>
          </w:tcPr>
          <w:p/>
        </w:tc>
        <w:tc>
          <w:tcPr>
            <w:tcW w:type="dxa" w:w="5184"/>
            <w:shd w:fill="EAF1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0F2747"/>
                <w:sz w:val="20"/>
              </w:rPr>
              <w:t>The clean division of labour</w:t>
              <w:br/>
            </w:r>
            <w:r>
              <w:rPr>
                <w:rFonts w:ascii="Aptos" w:hAnsi="Aptos"/>
                <w:color w:val="1B2737"/>
                <w:sz w:val="20"/>
              </w:rPr>
              <w:t>Naukri helps candidates access opportunities. AmbitionBox helps candidates judge, manage and navigate those opportunities.</w:t>
            </w:r>
          </w:p>
        </w:tc>
      </w:tr>
    </w:tbl>
    <w:p>
      <w:pPr>
        <w:spacing w:before="180" w:after="80"/>
      </w:pPr>
      <w:r>
        <w:rPr>
          <w:rFonts w:ascii="Aptos Display" w:hAnsi="Aptos Display"/>
          <w:b/>
          <w:color w:val="0F2747"/>
          <w:sz w:val="30"/>
        </w:rPr>
        <w:t>The strategic distinction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3384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role</w:t>
            </w:r>
          </w:p>
        </w:tc>
        <w:tc>
          <w:tcPr>
            <w:tcW w:type="dxa" w:w="4680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Core promise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20"/>
              </w:rPr>
              <w:t>Naukri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20"/>
              </w:rPr>
              <w:t>Candidate–employer marketplace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20"/>
              </w:rPr>
              <w:t>Find and access opportunities.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20"/>
              </w:rPr>
              <w:t>AmbitionBox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20"/>
              </w:rPr>
              <w:t>Candidate intelligence and career-navigation layer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20"/>
              </w:rPr>
              <w:t>Know which opportunities deserve you, and what to do next.</w:t>
            </w:r>
          </w:p>
        </w:tc>
      </w:tr>
    </w:tbl>
    <w:p>
      <w:pPr>
        <w:spacing w:before="200" w:after="0"/>
      </w:pPr>
      <w:r>
        <w:rPr>
          <w:rFonts w:ascii="Aptos" w:hAnsi="Aptos"/>
          <w:b/>
          <w:color w:val="2D6CDF"/>
          <w:sz w:val="18"/>
        </w:rPr>
        <w:t>The internal pitch in one line</w:t>
      </w:r>
    </w:p>
    <w:p>
      <w:pPr>
        <w:spacing w:before="80" w:after="60"/>
        <w:ind w:left="288" w:right="288"/>
      </w:pPr>
      <w:r>
        <w:rPr>
          <w:rFonts w:ascii="Aptos Display" w:hAnsi="Aptos Display"/>
          <w:b/>
          <w:color w:val="0F2747"/>
          <w:sz w:val="32"/>
        </w:rPr>
        <w:t>“Naukri owns the job marketplace. AmbitionBox becomes the candidate operating system around it.”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</w:rPr>
        <w:t>1. Ownership Across the Candidate Journey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12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Journey stage</w:t>
            </w:r>
          </w:p>
        </w:tc>
        <w:tc>
          <w:tcPr>
            <w:tcW w:type="dxa" w:w="2736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Naukri should own</w:t>
            </w:r>
          </w:p>
        </w:tc>
        <w:tc>
          <w:tcPr>
            <w:tcW w:type="dxa" w:w="2952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AmbitionBox should own</w:t>
            </w:r>
          </w:p>
        </w:tc>
        <w:tc>
          <w:tcPr>
            <w:tcW w:type="dxa" w:w="2664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this avoids conflict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Career profile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Recruiter-visible résumé, skills, experience and preferences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Fully private career profile used only for recommendations and guidance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One gets the candidate discovered; the other helps the candidate decide.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Job inventory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Job listings, employer postings and distribution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Intelligence layered over roles from Naukri and other sources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AB does not need to become another job marketplace.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Job discovery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Search, alerts and broad recommendations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Curated matches using salary, culture, interview and applicant-treatment data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Naukri optimises access; AB optimises quality and fit.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Match Score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Basic role and résumé relevance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Holistic candidate-side score with strengths, concerns and confidence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AB adds employer-truth data that Naukri does not naturally own.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Applying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Application submission and recruiter workflow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Pre-application truth check and post-application tracking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The transaction stays with Naukri.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Application tracking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Statuses for applications submitted through Naukri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Universal tracker across Naukri, LinkedIn, company sites and email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AB becomes the candidate’s neutral control centre.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Employer research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Lightweight company context near a listing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Reviews, salaries, interview experiences, culture and comparisons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This is AmbitionBox’s established authority.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Referrals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Recruiter and professional-network access where available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Find possible connections and help draft referral requests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AB assists without pretending it can manufacture referrals.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Interview preparation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Mock interviews and broad preparation products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Company-, role- and round-specific intelligence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AB provides context; Naukri delivers practice.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Recruiter communication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Recruiter messaging and application communication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Follow-up guidance, response benchmarks and draft suggestions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AB advises without replacing the recruiter relationship.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Offer analysis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No major ownership required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Salary benchmarking, CTC breakdown, negotiation and offer comparison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A natural extension of AB salary intelligence.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Post-joining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Profile update and continued recruiter visibility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Joining confirmation, contributions and passive career awareness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The ecosystem remains useful after the job is won.</w:t>
            </w:r>
          </w:p>
        </w:tc>
      </w:tr>
      <w:tr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6"/>
              </w:rPr>
              <w:t>Monetisation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Recruiter revenue, job marketplace and career services</w:t>
            </w:r>
          </w:p>
        </w:tc>
        <w:tc>
          <w:tcPr>
            <w:tcW w:type="dxa" w:w="29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Premium intelligence plus referrals into Naukri services</w:t>
            </w:r>
          </w:p>
        </w:tc>
        <w:tc>
          <w:tcPr>
            <w:tcW w:type="dxa" w:w="26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6"/>
              </w:rPr>
              <w:t>The revenue models complement rather than compete.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</w:rPr>
        <w:t>2. Where AmbitionBox Must Not Drift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20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Risky direction</w:t>
            </w:r>
          </w:p>
        </w:tc>
        <w:tc>
          <w:tcPr>
            <w:tcW w:type="dxa" w:w="3528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creates conflict</w:t>
            </w:r>
          </w:p>
        </w:tc>
        <w:tc>
          <w:tcPr>
            <w:tcW w:type="dxa" w:w="3960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Better AmbitionBox behaviour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Hosting competing job inventory</w:t>
            </w:r>
          </w:p>
        </w:tc>
        <w:tc>
          <w:tcPr>
            <w:tcW w:type="dxa" w:w="35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Turns AB into a second Naukri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Aggregate, evaluate and deep-link to the original source.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Auto-apply</w:t>
            </w:r>
          </w:p>
        </w:tc>
        <w:tc>
          <w:tcPr>
            <w:tcW w:type="dxa" w:w="35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Competes with Naukri’s core transaction and may reduce candidate intent quality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Help users judge the opportunity, then open the source platform.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Recruiter-facing AB profiles</w:t>
            </w:r>
          </w:p>
        </w:tc>
        <w:tc>
          <w:tcPr>
            <w:tcW w:type="dxa" w:w="35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Breaks the candidate-only and private-profile promise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Keep the AB career profile invisible to employers.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Generic mock interviews</w:t>
            </w:r>
          </w:p>
        </w:tc>
        <w:tc>
          <w:tcPr>
            <w:tcW w:type="dxa" w:w="35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Duplicates an existing Naukri product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Offer company-specific preparation and route mocks to Naukri.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Employer-paid Match Score boosts</w:t>
            </w:r>
          </w:p>
        </w:tc>
        <w:tc>
          <w:tcPr>
            <w:tcW w:type="dxa" w:w="35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Destroys the trust required for candidate-first positioning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Keep commercial relationships separate from scoring.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Recruiter messaging inside AB</w:t>
            </w:r>
          </w:p>
        </w:tc>
        <w:tc>
          <w:tcPr>
            <w:tcW w:type="dxa" w:w="35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Recreates Naukri communication workflows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Provide guidance and open the relevant external thread.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Sponsored jobs disguised as matches</w:t>
            </w:r>
          </w:p>
        </w:tc>
        <w:tc>
          <w:tcPr>
            <w:tcW w:type="dxa" w:w="35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Makes every recommendation feel suspect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Label sponsorship clearly and exclude it from Match Score.</w:t>
            </w:r>
          </w:p>
        </w:tc>
      </w:tr>
    </w:tbl>
    <w:p>
      <w:pPr>
        <w:pStyle w:val="Heading1"/>
        <w:spacing w:before="240" w:after="100"/>
      </w:pPr>
      <w:r>
        <w:rPr>
          <w:rFonts w:ascii="Aptos Display" w:hAnsi="Aptos Display"/>
        </w:rPr>
        <w:t>3. The Trust Firewall</w:t>
      </w:r>
    </w:p>
    <w:p>
      <w:pPr>
        <w:spacing w:after="80"/>
      </w:pPr>
      <w:r>
        <w:t>The “works only for the candidate” promise becomes credible only when the following rules are explicit: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Employers cannot buy or influence Match Score.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Sponsored jobs are labelled and do not receive hidden ranking advantages.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The private career profile is never exposed to recruiters.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Naukri inventory does not receive undisclosed preference inside the scoring model.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Employer clients cannot suppress review, salary or applicant-treatment signals.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Every intelligence signal shows source, sample size, recency and confidence when available.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432"/>
      </w:tblGrid>
      <w:tr>
        <w:tc>
          <w:tcPr>
            <w:tcW w:type="dxa" w:w="5184"/>
            <w:shd w:fill="E19B31"/>
          </w:tcPr>
          <w:p/>
        </w:tc>
        <w:tc>
          <w:tcPr>
            <w:tcW w:type="dxa" w:w="5184"/>
            <w:shd w:fill="FFF5E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0F2747"/>
                <w:sz w:val="20"/>
              </w:rPr>
              <w:t>Decision rule</w:t>
              <w:br/>
            </w:r>
            <w:r>
              <w:rPr>
                <w:rFonts w:ascii="Aptos" w:hAnsi="Aptos"/>
                <w:color w:val="1B2737"/>
                <w:sz w:val="20"/>
              </w:rPr>
              <w:t>When a feature helps the candidate evaluate or navigate an opportunity, AmbitionBox can own it. When it creates, distributes or transacts the opportunity, Naukri should usually own it.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</w:rPr>
        <w:t>4. The Ecosystem Flywheel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76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Candidate moment</w:t>
            </w:r>
          </w:p>
        </w:tc>
        <w:tc>
          <w:tcPr>
            <w:tcW w:type="dxa" w:w="4176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AmbitionBox contribution</w:t>
            </w:r>
          </w:p>
        </w:tc>
        <w:tc>
          <w:tcPr>
            <w:tcW w:type="dxa" w:w="3456"/>
            <w:shd w:fill="0F27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Naukri / Info Edge benefit</w:t>
            </w:r>
          </w:p>
        </w:tc>
      </w:tr>
      <w:tr>
        <w:tc>
          <w:tcPr>
            <w:tcW w:type="dxa" w:w="23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Candidate evaluates a role</w:t>
            </w:r>
          </w:p>
        </w:tc>
        <w:tc>
          <w:tcPr>
            <w:tcW w:type="dxa" w:w="41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Explains salary, culture, interview effort, applicant treatment and Match Score</w:t>
            </w:r>
          </w:p>
        </w:tc>
        <w:tc>
          <w:tcPr>
            <w:tcW w:type="dxa" w:w="34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Receives a more informed, higher-intent application</w:t>
            </w:r>
          </w:p>
        </w:tc>
      </w:tr>
      <w:tr>
        <w:tc>
          <w:tcPr>
            <w:tcW w:type="dxa" w:w="23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Candidate decides to apply</w:t>
            </w:r>
          </w:p>
        </w:tc>
        <w:tc>
          <w:tcPr>
            <w:tcW w:type="dxa" w:w="41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Routes the candidate to the original Naukri listing where available</w:t>
            </w:r>
          </w:p>
        </w:tc>
        <w:tc>
          <w:tcPr>
            <w:tcW w:type="dxa" w:w="34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Retains application conversion and marketplace ownership</w:t>
            </w:r>
          </w:p>
        </w:tc>
      </w:tr>
      <w:tr>
        <w:tc>
          <w:tcPr>
            <w:tcW w:type="dxa" w:w="23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Candidate needs interview practice</w:t>
            </w:r>
          </w:p>
        </w:tc>
        <w:tc>
          <w:tcPr>
            <w:tcW w:type="dxa" w:w="41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Identifies the exact company- or round-specific preparation gap</w:t>
            </w:r>
          </w:p>
        </w:tc>
        <w:tc>
          <w:tcPr>
            <w:tcW w:type="dxa" w:w="34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Gains usage of mock interviews and career services</w:t>
            </w:r>
          </w:p>
        </w:tc>
      </w:tr>
      <w:tr>
        <w:tc>
          <w:tcPr>
            <w:tcW w:type="dxa" w:w="23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Candidate receives an offer</w:t>
            </w:r>
          </w:p>
        </w:tc>
        <w:tc>
          <w:tcPr>
            <w:tcW w:type="dxa" w:w="41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Benchmarks compensation and supports negotiation</w:t>
            </w:r>
          </w:p>
        </w:tc>
        <w:tc>
          <w:tcPr>
            <w:tcW w:type="dxa" w:w="34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Info Edge remains useful after the application transaction</w:t>
            </w:r>
          </w:p>
        </w:tc>
      </w:tr>
      <w:tr>
        <w:tc>
          <w:tcPr>
            <w:tcW w:type="dxa" w:w="23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Candidate joins</w:t>
            </w:r>
          </w:p>
        </w:tc>
        <w:tc>
          <w:tcPr>
            <w:tcW w:type="dxa" w:w="41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Captures interview, salary and previous-company contributions</w:t>
            </w:r>
          </w:p>
        </w:tc>
        <w:tc>
          <w:tcPr>
            <w:tcW w:type="dxa" w:w="34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Better AB data improves future Naukri candidate quality</w:t>
            </w:r>
          </w:p>
        </w:tc>
      </w:tr>
      <w:tr>
        <w:tc>
          <w:tcPr>
            <w:tcW w:type="dxa" w:w="23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82230"/>
                <w:sz w:val="18"/>
              </w:rPr>
              <w:t>Candidate is passive again</w:t>
            </w:r>
          </w:p>
        </w:tc>
        <w:tc>
          <w:tcPr>
            <w:tcW w:type="dxa" w:w="41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Maintains a private career pulse and surfaces only meaningful changes</w:t>
            </w:r>
          </w:p>
        </w:tc>
        <w:tc>
          <w:tcPr>
            <w:tcW w:type="dxa" w:w="34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82230"/>
                <w:sz w:val="18"/>
              </w:rPr>
              <w:t>Creates a longer-term ecosystem relationship</w:t>
            </w:r>
          </w:p>
        </w:tc>
      </w:tr>
    </w:tbl>
    <w:p>
      <w:pPr>
        <w:pStyle w:val="Heading1"/>
        <w:spacing w:before="240" w:after="100"/>
      </w:pPr>
      <w:r>
        <w:rPr>
          <w:rFonts w:ascii="Aptos Display" w:hAnsi="Aptos Display"/>
        </w:rPr>
        <w:t>5. Recommended CEO Narrative</w:t>
      </w:r>
    </w:p>
    <w:p>
      <w:pPr>
        <w:spacing w:after="80"/>
      </w:pPr>
      <w:r>
        <w:rPr>
          <w:rFonts w:ascii="Aptos" w:hAnsi="Aptos"/>
          <w:b/>
          <w:color w:val="0F2747"/>
          <w:sz w:val="20"/>
        </w:rPr>
        <w:t xml:space="preserve">Start with the risk: </w:t>
      </w:r>
      <w:r>
        <w:rPr>
          <w:rFonts w:ascii="Aptos" w:hAnsi="Aptos"/>
          <w:sz w:val="20"/>
        </w:rPr>
        <w:t>“At first glance this can look like another job platform. It is not.”</w:t>
      </w:r>
    </w:p>
    <w:p>
      <w:pPr>
        <w:spacing w:after="80"/>
      </w:pPr>
      <w:r>
        <w:rPr>
          <w:rFonts w:ascii="Aptos" w:hAnsi="Aptos"/>
          <w:b/>
          <w:color w:val="0F2747"/>
          <w:sz w:val="20"/>
        </w:rPr>
        <w:t xml:space="preserve">Define the boundary: </w:t>
      </w:r>
      <w:r>
        <w:rPr>
          <w:rFonts w:ascii="Aptos" w:hAnsi="Aptos"/>
          <w:sz w:val="20"/>
        </w:rPr>
        <w:t>“Naukri owns access and applications. AmbitionBox owns truth, decision-making and navigation.”</w:t>
      </w:r>
    </w:p>
    <w:p>
      <w:pPr>
        <w:spacing w:after="80"/>
      </w:pPr>
      <w:r>
        <w:rPr>
          <w:rFonts w:ascii="Aptos" w:hAnsi="Aptos"/>
          <w:b/>
          <w:color w:val="0F2747"/>
          <w:sz w:val="20"/>
        </w:rPr>
        <w:t xml:space="preserve">Show the ecosystem benefit: </w:t>
      </w:r>
      <w:r>
        <w:rPr>
          <w:rFonts w:ascii="Aptos" w:hAnsi="Aptos"/>
          <w:sz w:val="20"/>
        </w:rPr>
        <w:t>“Better-informed candidates create higher-intent applications and stronger downstream use of Naukri services.”</w:t>
      </w:r>
    </w:p>
    <w:p>
      <w:pPr>
        <w:spacing w:after="80"/>
      </w:pPr>
      <w:r>
        <w:rPr>
          <w:rFonts w:ascii="Aptos" w:hAnsi="Aptos"/>
          <w:b/>
          <w:color w:val="0F2747"/>
          <w:sz w:val="20"/>
        </w:rPr>
        <w:t xml:space="preserve">Make the moat tangible: </w:t>
      </w:r>
      <w:r>
        <w:rPr>
          <w:rFonts w:ascii="Aptos" w:hAnsi="Aptos"/>
          <w:sz w:val="20"/>
        </w:rPr>
        <w:t>“AmbitionBox combines salary, review, interview and applicant-treatment intelligence at India scale.”</w:t>
      </w:r>
    </w:p>
    <w:p>
      <w:pPr>
        <w:spacing w:after="80"/>
      </w:pPr>
      <w:r>
        <w:rPr>
          <w:rFonts w:ascii="Aptos" w:hAnsi="Aptos"/>
          <w:b/>
          <w:color w:val="0F2747"/>
          <w:sz w:val="20"/>
        </w:rPr>
        <w:t xml:space="preserve">End with the operating model: </w:t>
      </w:r>
      <w:r>
        <w:rPr>
          <w:rFonts w:ascii="Aptos" w:hAnsi="Aptos"/>
          <w:sz w:val="20"/>
        </w:rPr>
        <w:t>“AmbitionBox can work across every job source while routing the transaction back to Naukri whenever possible.”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432"/>
      </w:tblGrid>
      <w:tr>
        <w:tc>
          <w:tcPr>
            <w:tcW w:type="dxa" w:w="5184"/>
            <w:shd w:fill="2D6CDF"/>
          </w:tcPr>
          <w:p/>
        </w:tc>
        <w:tc>
          <w:tcPr>
            <w:tcW w:type="dxa" w:w="5184"/>
            <w:shd w:fill="EAF1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0F2747"/>
                <w:sz w:val="20"/>
              </w:rPr>
              <w:t>The final line</w:t>
              <w:br/>
            </w:r>
            <w:r>
              <w:rPr>
                <w:rFonts w:ascii="Aptos" w:hAnsi="Aptos"/>
                <w:color w:val="1B2737"/>
                <w:sz w:val="20"/>
              </w:rPr>
              <w:t>AmbitionBox does not compete with Naukri for the application. It makes the candidate more confident before applying, more capable during the process, and more likely to contribute data after succeeding.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684"/>
        <w:sz w:val="16"/>
      </w:rPr>
      <w:t>AmbitionBox × Naukri  |  Product boundary and ecosystem strategy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74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AmbitionBox × Naukri Product Boundary &amp; Ecosystem Strategy</dc:title>
  <dc:subject>Candidate-first product positioning without Naukri conflict</dc:subject>
  <dc:creator>AmbitionBox Product Strategy</dc:creator>
  <cp:keywords>AmbitionBox, Naukri, product strategy, candidate operating system, ecosystem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