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577" w:rsidRPr="005A3EF4" w:rsidRDefault="00D34577" w:rsidP="005A3EF4">
      <w:pPr>
        <w:spacing w:after="120"/>
        <w:contextualSpacing/>
        <w:jc w:val="center"/>
        <w:rPr>
          <w:b/>
          <w:bCs/>
          <w:sz w:val="28"/>
          <w:szCs w:val="28"/>
          <w:u w:val="single"/>
        </w:rPr>
      </w:pPr>
      <w:r w:rsidRPr="005A3EF4">
        <w:rPr>
          <w:b/>
          <w:bCs/>
          <w:sz w:val="28"/>
          <w:szCs w:val="28"/>
          <w:u w:val="single"/>
        </w:rPr>
        <w:t>CBA: Solutions to Practice Problem Set 2</w:t>
      </w:r>
    </w:p>
    <w:p w:rsidR="00D34577" w:rsidRPr="005A3EF4" w:rsidRDefault="00D34577" w:rsidP="005A3EF4">
      <w:pPr>
        <w:spacing w:after="120"/>
        <w:contextualSpacing/>
        <w:jc w:val="center"/>
        <w:rPr>
          <w:b/>
          <w:bCs/>
          <w:sz w:val="28"/>
          <w:szCs w:val="28"/>
          <w:u w:val="single"/>
        </w:rPr>
      </w:pPr>
      <w:r w:rsidRPr="005A3EF4">
        <w:rPr>
          <w:b/>
          <w:bCs/>
          <w:sz w:val="28"/>
          <w:szCs w:val="28"/>
          <w:u w:val="single"/>
        </w:rPr>
        <w:t>Topics: Sampling Distributions and Central Limit Theorem</w:t>
      </w:r>
    </w:p>
    <w:p w:rsidR="00ED4082" w:rsidRPr="005A3EF4" w:rsidRDefault="0066182F" w:rsidP="005A3EF4">
      <w:pPr>
        <w:spacing w:after="120"/>
        <w:contextualSpacing/>
      </w:pPr>
    </w:p>
    <w:p w:rsidR="00D34577" w:rsidRPr="005A3EF4" w:rsidRDefault="00D34577" w:rsidP="005A3EF4">
      <w:pPr>
        <w:numPr>
          <w:ilvl w:val="0"/>
          <w:numId w:val="2"/>
        </w:numPr>
        <w:spacing w:after="120"/>
        <w:ind w:left="360"/>
        <w:contextualSpacing/>
        <w:rPr>
          <w:rFonts w:cs="BookAntiqua"/>
        </w:rPr>
      </w:pPr>
      <w:r w:rsidRPr="005A3EF4">
        <w:rPr>
          <w:rFonts w:cs="BookAntiqua"/>
        </w:rPr>
        <w:t xml:space="preserve">The normal </w:t>
      </w:r>
      <w:proofErr w:type="spellStart"/>
      <w:r w:rsidRPr="005A3EF4">
        <w:rPr>
          <w:rFonts w:cs="BookAntiqua"/>
        </w:rPr>
        <w:t>quantile</w:t>
      </w:r>
      <w:proofErr w:type="spellEnd"/>
      <w:r w:rsidRPr="005A3EF4">
        <w:rPr>
          <w:rFonts w:cs="BookAntiqua"/>
        </w:rPr>
        <w:t xml:space="preserve"> plots: Before looking at the actual plots, rec</w:t>
      </w:r>
      <w:r w:rsidR="005A3EF4" w:rsidRPr="005A3EF4">
        <w:rPr>
          <w:rFonts w:cs="BookAntiqua"/>
        </w:rPr>
        <w:t xml:space="preserve">all that a normal </w:t>
      </w:r>
      <w:proofErr w:type="spellStart"/>
      <w:r w:rsidR="005A3EF4" w:rsidRPr="005A3EF4">
        <w:rPr>
          <w:rFonts w:cs="BookAntiqua"/>
        </w:rPr>
        <w:t>quantile</w:t>
      </w:r>
      <w:proofErr w:type="spellEnd"/>
      <w:r w:rsidR="005A3EF4" w:rsidRPr="005A3EF4">
        <w:rPr>
          <w:rFonts w:cs="BookAntiqua"/>
        </w:rPr>
        <w:t xml:space="preserve"> plot</w:t>
      </w:r>
      <w:r w:rsidRPr="005A3EF4">
        <w:rPr>
          <w:rFonts w:cs="BookAntiqua"/>
        </w:rPr>
        <w:t xml:space="preserve"> plots the theoretical values on the X-axis and the actual (data) values on the Y-axis. For each point in the data, it calculates the expected theoretical value (or its Z-score) based on the number of points and the properties of the normal distribution. This is the X-coordinate of the point. The Y-coordinate is the actual data point observed. If these two are equal, the point will lie along the diagonal. If a point is above the diagonal, this means that its actual value is higher than the one that would be expected based on the normal distribution (with the mean and SD given by the data). If it lies lower than the diagonal line, it is the opposite. Now we can examine each of the plots.</w:t>
      </w:r>
      <w:r w:rsidRPr="005A3EF4">
        <w:rPr>
          <w:rFonts w:cs="BookAntiqua"/>
        </w:rPr>
        <w:tab/>
      </w:r>
    </w:p>
    <w:p w:rsidR="00D34577" w:rsidRPr="005A3EF4" w:rsidRDefault="00D34577" w:rsidP="005A3EF4">
      <w:pPr>
        <w:spacing w:after="120"/>
        <w:contextualSpacing/>
        <w:rPr>
          <w:rFonts w:cs="BookAntiqua"/>
        </w:rPr>
      </w:pPr>
    </w:p>
    <w:p w:rsidR="00D34577" w:rsidRPr="005A3EF4" w:rsidRDefault="00D34577" w:rsidP="005A3EF4">
      <w:pPr>
        <w:numPr>
          <w:ilvl w:val="0"/>
          <w:numId w:val="1"/>
        </w:numPr>
        <w:spacing w:after="120"/>
        <w:ind w:left="1080"/>
        <w:contextualSpacing/>
        <w:rPr>
          <w:rFonts w:cs="BookAntiqua"/>
        </w:rPr>
      </w:pPr>
      <w:r w:rsidRPr="005A3EF4">
        <w:rPr>
          <w:rFonts w:cs="BookAntiqua"/>
          <w:b/>
        </w:rPr>
        <w:t>Skewed</w:t>
      </w:r>
      <w:r w:rsidRPr="005A3EF4">
        <w:rPr>
          <w:rFonts w:cs="BookAntiqua"/>
        </w:rPr>
        <w:t xml:space="preserve">. Explanation: The normal </w:t>
      </w:r>
      <w:proofErr w:type="spellStart"/>
      <w:r w:rsidRPr="005A3EF4">
        <w:rPr>
          <w:rFonts w:cs="BookAntiqua"/>
        </w:rPr>
        <w:t>quantile</w:t>
      </w:r>
      <w:proofErr w:type="spellEnd"/>
      <w:r w:rsidRPr="005A3EF4">
        <w:rPr>
          <w:rFonts w:cs="BookAntiqua"/>
        </w:rPr>
        <w:t xml:space="preserve"> plot has a crescent shape with the points lying above the diagonal both at the lower and upper ends. Further, the points are a lot closer together in the left tail than in the right tail. This implies that the data is right skewed i.e. has a lot more points closer to the mean on the left tail, and has a long tail on the right side. Both of these result in data values that are higher than those expected.</w:t>
      </w:r>
    </w:p>
    <w:p w:rsidR="00D34577" w:rsidRPr="005A3EF4" w:rsidRDefault="00D34577" w:rsidP="005A3EF4">
      <w:pPr>
        <w:spacing w:after="120"/>
        <w:ind w:left="1080"/>
        <w:contextualSpacing/>
        <w:rPr>
          <w:rFonts w:cs="BookAntiqua"/>
        </w:rPr>
      </w:pPr>
    </w:p>
    <w:p w:rsidR="00D34577" w:rsidRPr="005A3EF4" w:rsidRDefault="00D34577" w:rsidP="005A3EF4">
      <w:pPr>
        <w:numPr>
          <w:ilvl w:val="0"/>
          <w:numId w:val="1"/>
        </w:numPr>
        <w:spacing w:after="120"/>
        <w:ind w:left="1080"/>
        <w:contextualSpacing/>
        <w:rPr>
          <w:rFonts w:cs="BookAntiqua"/>
        </w:rPr>
      </w:pPr>
      <w:r w:rsidRPr="005A3EF4">
        <w:rPr>
          <w:rFonts w:cs="BookAntiqua"/>
          <w:b/>
        </w:rPr>
        <w:t>Outliers</w:t>
      </w:r>
      <w:r w:rsidRPr="005A3EF4">
        <w:rPr>
          <w:rFonts w:cs="BookAntiqua"/>
        </w:rPr>
        <w:t>. Explanation: There are a couple of points which are quite far away from the rest of the data and have values quite different from those expected from a normal distribution (especially in the left tail. It is not quite so pronounced on the right tail).</w:t>
      </w:r>
    </w:p>
    <w:p w:rsidR="00D34577" w:rsidRPr="005A3EF4" w:rsidRDefault="00D34577" w:rsidP="005A3EF4">
      <w:pPr>
        <w:pStyle w:val="ListParagraph"/>
        <w:spacing w:after="120" w:line="276" w:lineRule="auto"/>
        <w:contextualSpacing/>
        <w:rPr>
          <w:rFonts w:asciiTheme="minorHAnsi" w:hAnsiTheme="minorHAnsi" w:cs="BookAntiqua"/>
          <w:sz w:val="22"/>
          <w:szCs w:val="22"/>
        </w:rPr>
      </w:pPr>
    </w:p>
    <w:p w:rsidR="00D34577" w:rsidRPr="005A3EF4" w:rsidRDefault="00D34577" w:rsidP="005A3EF4">
      <w:pPr>
        <w:numPr>
          <w:ilvl w:val="0"/>
          <w:numId w:val="1"/>
        </w:numPr>
        <w:spacing w:after="120"/>
        <w:ind w:left="1080"/>
        <w:contextualSpacing/>
        <w:rPr>
          <w:rFonts w:cs="BookAntiqua"/>
        </w:rPr>
      </w:pPr>
      <w:r w:rsidRPr="005A3EF4">
        <w:rPr>
          <w:rFonts w:cs="BookAntiqua"/>
          <w:b/>
        </w:rPr>
        <w:t>Normal</w:t>
      </w:r>
      <w:r w:rsidRPr="005A3EF4">
        <w:rPr>
          <w:rFonts w:cs="BookAntiqua"/>
        </w:rPr>
        <w:t>. Explanation: All of the points track the diagonal quite closely and lie within the bounds.</w:t>
      </w:r>
    </w:p>
    <w:p w:rsidR="00D34577" w:rsidRPr="005A3EF4" w:rsidRDefault="00D34577" w:rsidP="005A3EF4">
      <w:pPr>
        <w:pStyle w:val="ListParagraph"/>
        <w:spacing w:after="120" w:line="276" w:lineRule="auto"/>
        <w:contextualSpacing/>
        <w:rPr>
          <w:rFonts w:asciiTheme="minorHAnsi" w:hAnsiTheme="minorHAnsi" w:cs="BookAntiqua"/>
          <w:sz w:val="22"/>
          <w:szCs w:val="22"/>
        </w:rPr>
      </w:pPr>
    </w:p>
    <w:p w:rsidR="00D34577" w:rsidRPr="005A3EF4" w:rsidRDefault="00D34577" w:rsidP="005A3EF4">
      <w:pPr>
        <w:numPr>
          <w:ilvl w:val="0"/>
          <w:numId w:val="1"/>
        </w:numPr>
        <w:spacing w:after="120"/>
        <w:ind w:left="1080"/>
        <w:contextualSpacing/>
        <w:rPr>
          <w:rFonts w:cs="BookAntiqua"/>
        </w:rPr>
      </w:pPr>
      <w:r w:rsidRPr="005A3EF4">
        <w:rPr>
          <w:rFonts w:cs="BookAntiqua"/>
          <w:b/>
        </w:rPr>
        <w:t>Bimodal</w:t>
      </w:r>
      <w:r w:rsidRPr="005A3EF4">
        <w:rPr>
          <w:rFonts w:cs="BookAntiqua"/>
        </w:rPr>
        <w:t>. Explanation: Notice that the density of points near the median is much sparser than on either side of the median. This means significant probability masses on either side of the median with a low probability mass near the median, a shape characteristic of a bimodal distribution.</w:t>
      </w:r>
    </w:p>
    <w:p w:rsidR="00D34577" w:rsidRPr="005A3EF4" w:rsidRDefault="00D34577" w:rsidP="005A3EF4">
      <w:pPr>
        <w:spacing w:after="120"/>
        <w:contextualSpacing/>
        <w:rPr>
          <w:rFonts w:cs="BookAntiqua"/>
        </w:rPr>
      </w:pPr>
    </w:p>
    <w:p w:rsidR="00D34577" w:rsidRPr="005A3EF4" w:rsidRDefault="00D34577" w:rsidP="005A3EF4">
      <w:pPr>
        <w:spacing w:after="120"/>
        <w:contextualSpacing/>
        <w:rPr>
          <w:rFonts w:cs="BookAntiqua"/>
        </w:rPr>
      </w:pPr>
    </w:p>
    <w:p w:rsidR="00D34577" w:rsidRPr="005A3EF4" w:rsidRDefault="00D34577" w:rsidP="005A3EF4">
      <w:pPr>
        <w:numPr>
          <w:ilvl w:val="0"/>
          <w:numId w:val="2"/>
        </w:numPr>
        <w:autoSpaceDE w:val="0"/>
        <w:autoSpaceDN w:val="0"/>
        <w:adjustRightInd w:val="0"/>
        <w:spacing w:after="120"/>
        <w:ind w:left="360"/>
        <w:contextualSpacing/>
        <w:rPr>
          <w:rFonts w:cs="BookAntiqua"/>
        </w:rPr>
      </w:pPr>
      <w:r w:rsidRPr="005A3EF4">
        <w:rPr>
          <w:rFonts w:cs="BookAntiqua"/>
        </w:rPr>
        <w:t>Warehouse shipments.</w:t>
      </w:r>
    </w:p>
    <w:p w:rsidR="00D34577" w:rsidRPr="005A3EF4" w:rsidRDefault="00D34577" w:rsidP="005A3EF4">
      <w:pPr>
        <w:autoSpaceDE w:val="0"/>
        <w:autoSpaceDN w:val="0"/>
        <w:adjustRightInd w:val="0"/>
        <w:spacing w:after="120"/>
        <w:contextualSpacing/>
        <w:rPr>
          <w:rFonts w:cs="BookAntiqua"/>
        </w:rPr>
      </w:pPr>
    </w:p>
    <w:p w:rsidR="00D34577" w:rsidRPr="005A3EF4" w:rsidRDefault="00D34577" w:rsidP="005A3EF4">
      <w:pPr>
        <w:numPr>
          <w:ilvl w:val="0"/>
          <w:numId w:val="3"/>
        </w:numPr>
        <w:autoSpaceDE w:val="0"/>
        <w:autoSpaceDN w:val="0"/>
        <w:adjustRightInd w:val="0"/>
        <w:spacing w:after="120"/>
        <w:contextualSpacing/>
        <w:rPr>
          <w:rFonts w:cs="BookAntiqua"/>
        </w:rPr>
      </w:pPr>
      <w:r w:rsidRPr="005A3EF4">
        <w:rPr>
          <w:rFonts w:cs="BookAntiqua"/>
          <w:b/>
        </w:rPr>
        <w:t>False</w:t>
      </w:r>
      <w:r w:rsidRPr="005A3EF4">
        <w:rPr>
          <w:rFonts w:cs="BookAntiqua"/>
        </w:rPr>
        <w:t>. While normality of the weights of individual packages guarantees that the mean weights will be normally distributed, it is not necessary</w:t>
      </w:r>
      <w:r w:rsidR="005A3EF4" w:rsidRPr="005A3EF4">
        <w:rPr>
          <w:rFonts w:cs="BookAntiqua"/>
        </w:rPr>
        <w:t xml:space="preserve"> that the weights of individual packets will be normally distributed.</w:t>
      </w:r>
      <w:r w:rsidRPr="005A3EF4">
        <w:rPr>
          <w:rFonts w:cs="BookAntiqua"/>
        </w:rPr>
        <w:t xml:space="preserve"> Based on the Central Limit Theorem, the mean weights are normally distributed even if the individual package weights don’t have a normal distribution so long as the sample size conditions necessary for normality are satisfied. So those conditions should be checked.</w:t>
      </w:r>
    </w:p>
    <w:p w:rsidR="00D34577" w:rsidRPr="005A3EF4" w:rsidRDefault="005A3EF4" w:rsidP="005A3EF4">
      <w:pPr>
        <w:pStyle w:val="ListParagraph"/>
        <w:numPr>
          <w:ilvl w:val="0"/>
          <w:numId w:val="3"/>
        </w:numPr>
        <w:autoSpaceDE w:val="0"/>
        <w:autoSpaceDN w:val="0"/>
        <w:adjustRightInd w:val="0"/>
        <w:spacing w:after="120" w:line="276" w:lineRule="auto"/>
        <w:contextualSpacing/>
        <w:rPr>
          <w:rFonts w:asciiTheme="minorHAnsi" w:hAnsiTheme="minorHAnsi" w:cs="BookAntiqua"/>
          <w:sz w:val="22"/>
          <w:szCs w:val="22"/>
        </w:rPr>
      </w:pPr>
      <w:r w:rsidRPr="005A3EF4">
        <w:rPr>
          <w:rFonts w:asciiTheme="minorHAnsi" w:hAnsiTheme="minorHAnsi" w:cs="BookAntiqua"/>
          <w:b/>
          <w:sz w:val="22"/>
        </w:rPr>
        <w:lastRenderedPageBreak/>
        <w:t>True.</w:t>
      </w:r>
      <w:r w:rsidRPr="005A3EF4">
        <w:rPr>
          <w:rFonts w:asciiTheme="minorHAnsi" w:hAnsiTheme="minorHAnsi" w:cs="BookAntiqua"/>
        </w:rPr>
        <w:t xml:space="preserve"> </w:t>
      </w:r>
      <m:oMath>
        <m:r>
          <w:rPr>
            <w:rFonts w:ascii="Cambria Math" w:hAnsi="Cambria Math" w:cs="BookAntiqua"/>
          </w:rPr>
          <m:t>SE</m:t>
        </m:r>
        <m:r>
          <w:rPr>
            <w:rFonts w:ascii="Cambria Math" w:hAnsiTheme="minorHAnsi" w:cs="BookAntiqua"/>
          </w:rPr>
          <m:t>(</m:t>
        </m:r>
        <m:acc>
          <m:accPr>
            <m:chr m:val="̅"/>
            <m:ctrlPr>
              <w:rPr>
                <w:rFonts w:ascii="Cambria Math" w:eastAsiaTheme="minorEastAsia" w:hAnsiTheme="minorHAnsi" w:cs="BookAntiqua"/>
                <w:i/>
                <w:sz w:val="22"/>
                <w:szCs w:val="22"/>
              </w:rPr>
            </m:ctrlPr>
          </m:accPr>
          <m:e>
            <m:r>
              <w:rPr>
                <w:rFonts w:ascii="Cambria Math" w:hAnsi="Cambria Math" w:cs="BookAntiqua"/>
              </w:rPr>
              <m:t>x</m:t>
            </m:r>
          </m:e>
        </m:acc>
        <m:r>
          <w:rPr>
            <w:rFonts w:ascii="Cambria Math" w:hAnsiTheme="minorHAnsi" w:cs="BookAntiqua"/>
          </w:rPr>
          <m:t>)=</m:t>
        </m:r>
        <m:f>
          <m:fPr>
            <m:ctrlPr>
              <w:rPr>
                <w:rFonts w:ascii="Cambria Math" w:eastAsiaTheme="minorEastAsia" w:hAnsiTheme="minorHAnsi" w:cs="BookAntiqua"/>
                <w:i/>
                <w:sz w:val="22"/>
                <w:szCs w:val="22"/>
              </w:rPr>
            </m:ctrlPr>
          </m:fPr>
          <m:num>
            <m:r>
              <w:rPr>
                <w:rFonts w:ascii="Cambria Math" w:hAnsi="Cambria Math" w:cs="BookAntiqua"/>
              </w:rPr>
              <m:t>σ</m:t>
            </m:r>
          </m:num>
          <m:den>
            <m:rad>
              <m:radPr>
                <m:degHide m:val="on"/>
                <m:ctrlPr>
                  <w:rPr>
                    <w:rFonts w:ascii="Cambria Math" w:eastAsiaTheme="minorEastAsia" w:hAnsiTheme="minorHAnsi" w:cs="BookAntiqua"/>
                    <w:i/>
                    <w:sz w:val="22"/>
                    <w:szCs w:val="22"/>
                  </w:rPr>
                </m:ctrlPr>
              </m:radPr>
              <m:deg/>
              <m:e>
                <m:r>
                  <w:rPr>
                    <w:rFonts w:ascii="Cambria Math" w:hAnsi="Cambria Math" w:cs="BookAntiqua"/>
                  </w:rPr>
                  <m:t>n</m:t>
                </m:r>
              </m:e>
            </m:rad>
          </m:den>
        </m:f>
        <m:r>
          <w:rPr>
            <w:rFonts w:ascii="Cambria Math" w:hAnsiTheme="minorHAnsi" w:cs="BookAntiqua"/>
          </w:rPr>
          <m:t>=</m:t>
        </m:r>
        <m:f>
          <m:fPr>
            <m:ctrlPr>
              <w:rPr>
                <w:rFonts w:ascii="Cambria Math" w:eastAsiaTheme="minorEastAsia" w:hAnsiTheme="minorHAnsi" w:cs="BookAntiqua"/>
                <w:i/>
                <w:sz w:val="22"/>
                <w:szCs w:val="22"/>
              </w:rPr>
            </m:ctrlPr>
          </m:fPr>
          <m:num>
            <m:r>
              <w:rPr>
                <w:rFonts w:ascii="Cambria Math" w:hAnsiTheme="minorHAnsi" w:cs="BookAntiqua"/>
              </w:rPr>
              <m:t>5</m:t>
            </m:r>
          </m:num>
          <m:den>
            <m:rad>
              <m:radPr>
                <m:degHide m:val="on"/>
                <m:ctrlPr>
                  <w:rPr>
                    <w:rFonts w:ascii="Cambria Math" w:eastAsiaTheme="minorEastAsia" w:hAnsiTheme="minorHAnsi" w:cs="BookAntiqua"/>
                    <w:i/>
                    <w:sz w:val="22"/>
                    <w:szCs w:val="22"/>
                  </w:rPr>
                </m:ctrlPr>
              </m:radPr>
              <m:deg/>
              <m:e>
                <m:r>
                  <w:rPr>
                    <w:rFonts w:ascii="Cambria Math" w:hAnsiTheme="minorHAnsi" w:cs="BookAntiqua"/>
                  </w:rPr>
                  <m:t>25</m:t>
                </m:r>
              </m:e>
            </m:rad>
          </m:den>
        </m:f>
        <m:r>
          <w:rPr>
            <w:rFonts w:ascii="Cambria Math" w:hAnsiTheme="minorHAnsi" w:cs="BookAntiqua"/>
          </w:rPr>
          <m:t>=1</m:t>
        </m:r>
        <m:r>
          <w:rPr>
            <w:rFonts w:ascii="Cambria Math" w:hAnsi="Cambria Math" w:cs="BookAntiqua"/>
          </w:rPr>
          <m:t>lb</m:t>
        </m:r>
        <m:r>
          <w:rPr>
            <w:rFonts w:ascii="Cambria Math" w:hAnsiTheme="minorHAnsi" w:cs="BookAntiqua"/>
          </w:rPr>
          <m:t>.</m:t>
        </m:r>
      </m:oMath>
    </w:p>
    <w:p w:rsidR="00D34577" w:rsidRPr="005A3EF4" w:rsidRDefault="00D34577" w:rsidP="005A3EF4">
      <w:pPr>
        <w:autoSpaceDE w:val="0"/>
        <w:autoSpaceDN w:val="0"/>
        <w:adjustRightInd w:val="0"/>
        <w:spacing w:after="120"/>
        <w:contextualSpacing/>
        <w:rPr>
          <w:rFonts w:cs="BookAntiqua"/>
        </w:rPr>
      </w:pPr>
    </w:p>
    <w:p w:rsidR="00D34577" w:rsidRPr="005A3EF4" w:rsidRDefault="00D34577" w:rsidP="005A3EF4">
      <w:pPr>
        <w:autoSpaceDE w:val="0"/>
        <w:autoSpaceDN w:val="0"/>
        <w:adjustRightInd w:val="0"/>
        <w:spacing w:after="120"/>
        <w:contextualSpacing/>
        <w:rPr>
          <w:rFonts w:cs="BookAntiqua"/>
        </w:rPr>
      </w:pPr>
    </w:p>
    <w:p w:rsidR="00D34577" w:rsidRPr="005A3EF4" w:rsidRDefault="005A3EF4" w:rsidP="005A3EF4">
      <w:pPr>
        <w:numPr>
          <w:ilvl w:val="0"/>
          <w:numId w:val="2"/>
        </w:numPr>
        <w:spacing w:after="120"/>
        <w:ind w:left="360"/>
        <w:contextualSpacing/>
        <w:rPr>
          <w:rFonts w:cs="BookAntiqua"/>
        </w:rPr>
      </w:pPr>
      <w:r w:rsidRPr="005A3EF4">
        <w:rPr>
          <w:rFonts w:cs="BookAntiqua"/>
          <w:b/>
        </w:rPr>
        <w:t>D</w:t>
      </w:r>
      <w:r>
        <w:rPr>
          <w:rFonts w:cs="BookAntiqua"/>
        </w:rPr>
        <w:t>.</w:t>
      </w:r>
    </w:p>
    <w:p w:rsidR="005A3EF4" w:rsidRDefault="00D34577" w:rsidP="005A3EF4">
      <w:pPr>
        <w:autoSpaceDE w:val="0"/>
        <w:autoSpaceDN w:val="0"/>
        <w:adjustRightInd w:val="0"/>
        <w:spacing w:after="120"/>
        <w:ind w:left="360"/>
        <w:contextualSpacing/>
        <w:rPr>
          <w:rFonts w:cs="BookAntiqua"/>
        </w:rPr>
      </w:pPr>
      <w:r w:rsidRPr="005A3EF4">
        <w:rPr>
          <w:rFonts w:cs="BookAntiqua"/>
        </w:rPr>
        <w:t xml:space="preserve">Here, </w:t>
      </w:r>
      <w:r w:rsidRPr="005A3EF4">
        <w:rPr>
          <w:rFonts w:cs="BookAntiqua"/>
        </w:rPr>
        <w:sym w:font="Symbol" w:char="F06D"/>
      </w:r>
      <w:r w:rsidRPr="005A3EF4">
        <w:rPr>
          <w:rFonts w:cs="BookAntiqua"/>
        </w:rPr>
        <w:t xml:space="preserve"> = 50, </w:t>
      </w:r>
      <w:r w:rsidRPr="005A3EF4">
        <w:t>σ</w:t>
      </w:r>
      <w:r w:rsidRPr="005A3EF4">
        <w:rPr>
          <w:rFonts w:cs="BookAntiqua"/>
        </w:rPr>
        <w:t xml:space="preserve"> = 40, n = 100. Note that the probability of investigation is the same as probability that the sam</w:t>
      </w:r>
      <w:r w:rsidR="005A3EF4">
        <w:rPr>
          <w:rFonts w:cs="BookAntiqua"/>
        </w:rPr>
        <w:t>ple mean is beyond $45 and $55.</w:t>
      </w:r>
    </w:p>
    <w:p w:rsidR="005A3EF4" w:rsidRDefault="00D34577" w:rsidP="005A3EF4">
      <w:pPr>
        <w:autoSpaceDE w:val="0"/>
        <w:autoSpaceDN w:val="0"/>
        <w:adjustRightInd w:val="0"/>
        <w:spacing w:after="120"/>
        <w:ind w:left="360"/>
        <w:contextualSpacing/>
        <w:rPr>
          <w:rFonts w:cs="BookAntiqua"/>
        </w:rPr>
      </w:pPr>
      <w:r w:rsidRPr="005A3EF4">
        <w:rPr>
          <w:rFonts w:cs="BookAntiqua"/>
        </w:rPr>
        <w:t xml:space="preserve">From Central Limit Theorem, we know </w:t>
      </w:r>
      <w:proofErr w:type="gramStart"/>
      <w:r w:rsidRPr="005A3EF4">
        <w:rPr>
          <w:rFonts w:cs="BookAntiqua"/>
        </w:rPr>
        <w:t xml:space="preserve">that </w:t>
      </w:r>
      <m:oMath>
        <w:proofErr w:type="gramEnd"/>
        <m:acc>
          <m:accPr>
            <m:chr m:val="̅"/>
            <m:ctrlPr>
              <w:rPr>
                <w:rFonts w:ascii="Cambria Math" w:cs="BookAntiqua"/>
                <w:i/>
              </w:rPr>
            </m:ctrlPr>
          </m:accPr>
          <m:e>
            <m:r>
              <w:rPr>
                <w:rFonts w:ascii="Cambria Math" w:hAnsi="Cambria Math" w:cs="BookAntiqua"/>
              </w:rPr>
              <m:t>X</m:t>
            </m:r>
          </m:e>
        </m:acc>
        <m:r>
          <w:rPr>
            <w:rFonts w:ascii="Cambria Math" w:cs="BookAntiqua"/>
          </w:rPr>
          <m:t>~</m:t>
        </m:r>
        <m:r>
          <w:rPr>
            <w:rFonts w:ascii="Cambria Math" w:hAnsi="Cambria Math" w:cs="BookAntiqua"/>
          </w:rPr>
          <m:t>N</m:t>
        </m:r>
        <m:r>
          <w:rPr>
            <w:rFonts w:ascii="Cambria Math" w:cs="BookAntiqua"/>
          </w:rPr>
          <m:t>(</m:t>
        </m:r>
        <m:r>
          <w:rPr>
            <w:rFonts w:ascii="Cambria Math" w:hAnsi="Cambria Math" w:cs="BookAntiqua"/>
          </w:rPr>
          <m:t>μ</m:t>
        </m:r>
        <m:r>
          <w:rPr>
            <w:rFonts w:ascii="Cambria Math" w:cs="BookAntiqua"/>
          </w:rPr>
          <m:t>,</m:t>
        </m:r>
        <m:f>
          <m:fPr>
            <m:ctrlPr>
              <w:rPr>
                <w:rFonts w:ascii="Cambria Math" w:cs="BookAntiqua"/>
                <w:i/>
              </w:rPr>
            </m:ctrlPr>
          </m:fPr>
          <m:num>
            <m:sSup>
              <m:sSupPr>
                <m:ctrlPr>
                  <w:rPr>
                    <w:rFonts w:ascii="Cambria Math" w:cs="BookAntiqua"/>
                    <w:i/>
                  </w:rPr>
                </m:ctrlPr>
              </m:sSupPr>
              <m:e>
                <m:r>
                  <w:rPr>
                    <w:rFonts w:ascii="Cambria Math" w:hAnsi="Cambria Math" w:cs="BookAntiqua"/>
                  </w:rPr>
                  <m:t>σ</m:t>
                </m:r>
              </m:e>
              <m:sup>
                <m:r>
                  <w:rPr>
                    <w:rFonts w:ascii="Cambria Math" w:cs="BookAntiqua"/>
                  </w:rPr>
                  <m:t>2</m:t>
                </m:r>
              </m:sup>
            </m:sSup>
          </m:num>
          <m:den>
            <m:r>
              <w:rPr>
                <w:rFonts w:ascii="Cambria Math" w:hAnsi="Cambria Math" w:cs="BookAntiqua"/>
              </w:rPr>
              <m:t>n</m:t>
            </m:r>
          </m:den>
        </m:f>
        <m:r>
          <w:rPr>
            <w:rFonts w:ascii="Cambria Math" w:cs="BookAntiqua"/>
          </w:rPr>
          <m:t>)</m:t>
        </m:r>
      </m:oMath>
      <w:r w:rsidR="005A3EF4">
        <w:rPr>
          <w:rFonts w:cs="BookAntiqua"/>
        </w:rPr>
        <w:t>.</w:t>
      </w:r>
    </w:p>
    <w:p w:rsidR="005A3EF4" w:rsidRPr="005A3EF4" w:rsidRDefault="00D34577" w:rsidP="005A3EF4">
      <w:pPr>
        <w:autoSpaceDE w:val="0"/>
        <w:autoSpaceDN w:val="0"/>
        <w:adjustRightInd w:val="0"/>
        <w:spacing w:after="120"/>
        <w:ind w:left="360"/>
        <w:contextualSpacing/>
        <w:rPr>
          <w:rFonts w:cs="BookAntiqua"/>
        </w:rPr>
      </w:pPr>
      <w:r w:rsidRPr="005A3EF4">
        <w:rPr>
          <w:rFonts w:cs="BookAntiqua"/>
        </w:rPr>
        <w:t>We first calculate the standard error of the mean, which is</w:t>
      </w:r>
      <w:r w:rsidR="005A3EF4" w:rsidRPr="005A3EF4">
        <w:rPr>
          <w:rFonts w:cs="BookAntiqua"/>
        </w:rPr>
        <w:t xml:space="preserve"> </w:t>
      </w:r>
      <m:oMath>
        <m:f>
          <m:fPr>
            <m:ctrlPr>
              <w:rPr>
                <w:rFonts w:ascii="Cambria Math" w:cs="BookAntiqua"/>
                <w:i/>
              </w:rPr>
            </m:ctrlPr>
          </m:fPr>
          <m:num>
            <m:r>
              <w:rPr>
                <w:rFonts w:ascii="Cambria Math" w:hAnsi="Cambria Math" w:cs="BookAntiqua"/>
              </w:rPr>
              <m:t>σ</m:t>
            </m:r>
          </m:num>
          <m:den>
            <m:rad>
              <m:radPr>
                <m:degHide m:val="on"/>
                <m:ctrlPr>
                  <w:rPr>
                    <w:rFonts w:ascii="Cambria Math" w:cs="BookAntiqua"/>
                    <w:i/>
                  </w:rPr>
                </m:ctrlPr>
              </m:radPr>
              <m:deg/>
              <m:e>
                <m:r>
                  <w:rPr>
                    <w:rFonts w:ascii="Cambria Math" w:hAnsi="Cambria Math" w:cs="BookAntiqua"/>
                  </w:rPr>
                  <m:t>n</m:t>
                </m:r>
              </m:e>
            </m:rad>
          </m:den>
        </m:f>
        <m:r>
          <w:rPr>
            <w:rFonts w:ascii="Cambria Math" w:cs="BookAntiqua"/>
          </w:rPr>
          <m:t>=4</m:t>
        </m:r>
      </m:oMath>
    </w:p>
    <w:p w:rsidR="005A3EF4" w:rsidRPr="005A3EF4" w:rsidRDefault="00D34577" w:rsidP="005A3EF4">
      <w:pPr>
        <w:autoSpaceDE w:val="0"/>
        <w:autoSpaceDN w:val="0"/>
        <w:adjustRightInd w:val="0"/>
        <w:spacing w:after="120"/>
        <w:ind w:left="360"/>
        <w:contextualSpacing/>
        <w:rPr>
          <w:rFonts w:cs="BookAntiqua"/>
        </w:rPr>
      </w:pPr>
      <w:r w:rsidRPr="005A3EF4">
        <w:rPr>
          <w:rFonts w:cs="BookAntiqua"/>
        </w:rPr>
        <w:t xml:space="preserve">Then, we calculate the z-values corresponding to 45 and 55, which are </w:t>
      </w:r>
      <w:r w:rsidR="005A3EF4" w:rsidRPr="005A3EF4">
        <w:rPr>
          <w:rFonts w:cs="BookAntiqua"/>
        </w:rPr>
        <w:t>(</w:t>
      </w:r>
      <w:r w:rsidRPr="005A3EF4">
        <w:rPr>
          <w:rFonts w:cs="BookAntiqua"/>
        </w:rPr>
        <w:t>-1.25</w:t>
      </w:r>
      <w:r w:rsidR="005A3EF4" w:rsidRPr="005A3EF4">
        <w:rPr>
          <w:rFonts w:cs="BookAntiqua"/>
        </w:rPr>
        <w:t>)</w:t>
      </w:r>
      <w:r w:rsidRPr="005A3EF4">
        <w:rPr>
          <w:rFonts w:cs="BookAntiqua"/>
        </w:rPr>
        <w:t xml:space="preserve"> and </w:t>
      </w:r>
      <w:r w:rsidR="005A3EF4" w:rsidRPr="005A3EF4">
        <w:rPr>
          <w:rFonts w:cs="BookAntiqua"/>
        </w:rPr>
        <w:t>(</w:t>
      </w:r>
      <w:r w:rsidRPr="005A3EF4">
        <w:rPr>
          <w:rFonts w:cs="BookAntiqua"/>
        </w:rPr>
        <w:t>+1.25</w:t>
      </w:r>
      <w:r w:rsidR="005A3EF4" w:rsidRPr="005A3EF4">
        <w:rPr>
          <w:rFonts w:cs="BookAntiqua"/>
        </w:rPr>
        <w:t>)</w:t>
      </w:r>
      <w:r w:rsidRPr="005A3EF4">
        <w:rPr>
          <w:rFonts w:cs="BookAntiqua"/>
        </w:rPr>
        <w:t>. Therefore,</w:t>
      </w:r>
      <w:r w:rsidR="005A3EF4" w:rsidRPr="005A3EF4">
        <w:rPr>
          <w:rFonts w:cs="BookAntiqua"/>
        </w:rPr>
        <w:t xml:space="preserve"> </w:t>
      </w:r>
      <m:oMath>
        <m:r>
          <w:rPr>
            <w:rFonts w:ascii="Cambria Math" w:hAnsi="Cambria Math" w:cs="BookAntiqua"/>
          </w:rPr>
          <m:t>P</m:t>
        </m:r>
        <m:d>
          <m:dPr>
            <m:ctrlPr>
              <w:rPr>
                <w:rFonts w:ascii="Cambria Math" w:cs="BookAntiqua"/>
                <w:i/>
              </w:rPr>
            </m:ctrlPr>
          </m:dPr>
          <m:e>
            <m:r>
              <w:rPr>
                <w:rFonts w:ascii="Cambria Math" w:cs="BookAntiqua"/>
              </w:rPr>
              <m:t>45</m:t>
            </m:r>
            <m:r>
              <w:rPr>
                <w:rFonts w:ascii="Cambria Math" w:cs="BookAntiqua"/>
              </w:rPr>
              <m:t>≤</m:t>
            </m:r>
            <m:acc>
              <m:accPr>
                <m:chr m:val="̅"/>
                <m:ctrlPr>
                  <w:rPr>
                    <w:rFonts w:ascii="Cambria Math" w:cs="BookAntiqua"/>
                    <w:i/>
                  </w:rPr>
                </m:ctrlPr>
              </m:accPr>
              <m:e>
                <m:r>
                  <w:rPr>
                    <w:rFonts w:ascii="Cambria Math" w:hAnsi="Cambria Math" w:cs="BookAntiqua"/>
                  </w:rPr>
                  <m:t>X</m:t>
                </m:r>
              </m:e>
            </m:acc>
            <m:r>
              <w:rPr>
                <w:rFonts w:ascii="Cambria Math" w:cs="BookAntiqua"/>
              </w:rPr>
              <m:t>≤</m:t>
            </m:r>
            <m:r>
              <w:rPr>
                <w:rFonts w:ascii="Cambria Math" w:cs="BookAntiqua"/>
              </w:rPr>
              <m:t>55</m:t>
            </m:r>
          </m:e>
        </m:d>
        <m:r>
          <w:rPr>
            <w:rFonts w:ascii="Cambria Math" w:cs="BookAntiqua"/>
          </w:rPr>
          <m:t>=</m:t>
        </m:r>
        <m:r>
          <w:rPr>
            <w:rFonts w:ascii="Cambria Math" w:hAnsi="Cambria Math" w:cs="BookAntiqua"/>
          </w:rPr>
          <m:t>P</m:t>
        </m:r>
        <m:d>
          <m:dPr>
            <m:ctrlPr>
              <w:rPr>
                <w:rFonts w:ascii="Cambria Math" w:cs="BookAntiqua"/>
                <w:i/>
              </w:rPr>
            </m:ctrlPr>
          </m:dPr>
          <m:e>
            <m:r>
              <w:rPr>
                <w:rFonts w:cs="BookAntiqua"/>
              </w:rPr>
              <m:t>-</m:t>
            </m:r>
            <m:r>
              <w:rPr>
                <w:rFonts w:ascii="Cambria Math" w:cs="BookAntiqua"/>
              </w:rPr>
              <m:t>1.25</m:t>
            </m:r>
            <m:r>
              <w:rPr>
                <w:rFonts w:ascii="Cambria Math" w:cs="BookAntiqua"/>
              </w:rPr>
              <m:t>≤</m:t>
            </m:r>
            <m:r>
              <w:rPr>
                <w:rFonts w:ascii="Cambria Math" w:hAnsi="Cambria Math" w:cs="BookAntiqua"/>
              </w:rPr>
              <m:t>Z</m:t>
            </m:r>
            <m:r>
              <w:rPr>
                <w:rFonts w:ascii="Cambria Math" w:cs="BookAntiqua"/>
              </w:rPr>
              <m:t>≤</m:t>
            </m:r>
            <m:r>
              <w:rPr>
                <w:rFonts w:ascii="Cambria Math" w:cs="BookAntiqua"/>
              </w:rPr>
              <m:t>1.25</m:t>
            </m:r>
          </m:e>
        </m:d>
        <m:r>
          <w:rPr>
            <w:rFonts w:ascii="Cambria Math" w:cs="BookAntiqua"/>
          </w:rPr>
          <m:t>=0.79</m:t>
        </m:r>
      </m:oMath>
    </w:p>
    <w:p w:rsidR="00D34577" w:rsidRPr="005A3EF4" w:rsidRDefault="00D34577" w:rsidP="005A3EF4">
      <w:pPr>
        <w:spacing w:after="120"/>
        <w:ind w:left="360"/>
        <w:contextualSpacing/>
        <w:rPr>
          <w:rFonts w:cs="BookAntiqua"/>
        </w:rPr>
      </w:pPr>
      <w:r w:rsidRPr="005A3EF4">
        <w:rPr>
          <w:rFonts w:cs="BookAntiqua"/>
        </w:rPr>
        <w:t xml:space="preserve">Consequently, probability that the sample mean is beyond the limits (and hence there is an investigation) is </w:t>
      </w:r>
      <w:r w:rsidR="005A3EF4" w:rsidRPr="005A3EF4">
        <w:rPr>
          <w:rFonts w:cs="BookAntiqua"/>
        </w:rPr>
        <w:t>(</w:t>
      </w:r>
      <w:r w:rsidRPr="005A3EF4">
        <w:rPr>
          <w:rFonts w:cs="BookAntiqua"/>
        </w:rPr>
        <w:t>1 - 0.79</w:t>
      </w:r>
      <w:r w:rsidR="005A3EF4" w:rsidRPr="005A3EF4">
        <w:rPr>
          <w:rFonts w:cs="BookAntiqua"/>
        </w:rPr>
        <w:t xml:space="preserve">) </w:t>
      </w:r>
      <w:r w:rsidRPr="005A3EF4">
        <w:rPr>
          <w:rFonts w:cs="BookAntiqua"/>
        </w:rPr>
        <w:t>=</w:t>
      </w:r>
      <w:r w:rsidR="005A3EF4" w:rsidRPr="005A3EF4">
        <w:rPr>
          <w:rFonts w:cs="BookAntiqua"/>
        </w:rPr>
        <w:t xml:space="preserve"> </w:t>
      </w:r>
      <w:r w:rsidRPr="005A3EF4">
        <w:rPr>
          <w:rFonts w:cs="BookAntiqua"/>
          <w:b/>
        </w:rPr>
        <w:t>0.21</w:t>
      </w:r>
      <w:r w:rsidRPr="005A3EF4">
        <w:rPr>
          <w:rFonts w:cs="BookAntiqua"/>
        </w:rPr>
        <w:t xml:space="preserve">. </w:t>
      </w:r>
    </w:p>
    <w:p w:rsidR="00D34577" w:rsidRPr="005A3EF4" w:rsidRDefault="00D34577" w:rsidP="005A3EF4">
      <w:pPr>
        <w:tabs>
          <w:tab w:val="left" w:pos="1320"/>
        </w:tabs>
        <w:spacing w:after="120"/>
        <w:contextualSpacing/>
        <w:rPr>
          <w:rFonts w:cs="BookAntiqua"/>
        </w:rPr>
      </w:pPr>
    </w:p>
    <w:p w:rsidR="00D34577" w:rsidRPr="005A3EF4" w:rsidRDefault="00D34577" w:rsidP="005A3EF4">
      <w:pPr>
        <w:numPr>
          <w:ilvl w:val="0"/>
          <w:numId w:val="2"/>
        </w:numPr>
        <w:autoSpaceDE w:val="0"/>
        <w:autoSpaceDN w:val="0"/>
        <w:adjustRightInd w:val="0"/>
        <w:spacing w:after="120"/>
        <w:ind w:left="360"/>
        <w:contextualSpacing/>
      </w:pPr>
      <w:r w:rsidRPr="005A3EF4">
        <w:rPr>
          <w:b/>
        </w:rPr>
        <w:t>D</w:t>
      </w:r>
      <w:r w:rsidRPr="005A3EF4">
        <w:t>.</w:t>
      </w:r>
    </w:p>
    <w:p w:rsidR="00D34577" w:rsidRPr="005A3EF4" w:rsidRDefault="00D34577" w:rsidP="005A3EF4">
      <w:pPr>
        <w:autoSpaceDE w:val="0"/>
        <w:autoSpaceDN w:val="0"/>
        <w:adjustRightInd w:val="0"/>
        <w:spacing w:after="120"/>
        <w:ind w:left="360"/>
        <w:contextualSpacing/>
        <w:rPr>
          <w:rFonts w:cs="BookAntiqua"/>
        </w:rPr>
      </w:pPr>
      <w:r w:rsidRPr="005A3EF4">
        <w:t xml:space="preserve">In this case, we know </w:t>
      </w:r>
      <w:proofErr w:type="gramStart"/>
      <w:r w:rsidRPr="005A3EF4">
        <w:t>that</w:t>
      </w:r>
      <w:r w:rsidRPr="005A3EF4">
        <w:rPr>
          <w:rFonts w:cs="BookAntiqua"/>
        </w:rPr>
        <w:t xml:space="preserve"> </w:t>
      </w:r>
      <m:oMath>
        <w:proofErr w:type="gramEnd"/>
        <m:r>
          <w:rPr>
            <w:rFonts w:ascii="Cambria Math" w:hAnsi="Cambria Math" w:cs="BookAntiqua"/>
          </w:rPr>
          <m:t>P</m:t>
        </m:r>
        <m:d>
          <m:dPr>
            <m:ctrlPr>
              <w:rPr>
                <w:rFonts w:ascii="Cambria Math" w:cs="BookAntiqua"/>
                <w:i/>
              </w:rPr>
            </m:ctrlPr>
          </m:dPr>
          <m:e>
            <m:r>
              <w:rPr>
                <w:rFonts w:ascii="Cambria Math" w:cs="BookAntiqua"/>
              </w:rPr>
              <m:t>45</m:t>
            </m:r>
            <m:r>
              <w:rPr>
                <w:rFonts w:ascii="Cambria Math" w:cs="BookAntiqua"/>
              </w:rPr>
              <m:t>≤</m:t>
            </m:r>
            <m:acc>
              <m:accPr>
                <m:chr m:val="̅"/>
                <m:ctrlPr>
                  <w:rPr>
                    <w:rFonts w:ascii="Cambria Math" w:cs="BookAntiqua"/>
                    <w:i/>
                  </w:rPr>
                </m:ctrlPr>
              </m:accPr>
              <m:e>
                <m:r>
                  <w:rPr>
                    <w:rFonts w:ascii="Cambria Math" w:hAnsi="Cambria Math" w:cs="BookAntiqua"/>
                  </w:rPr>
                  <m:t>X</m:t>
                </m:r>
              </m:e>
            </m:acc>
            <m:r>
              <w:rPr>
                <w:rFonts w:ascii="Cambria Math" w:cs="BookAntiqua"/>
              </w:rPr>
              <m:t>≤</m:t>
            </m:r>
            <m:r>
              <w:rPr>
                <w:rFonts w:ascii="Cambria Math" w:cs="BookAntiqua"/>
              </w:rPr>
              <m:t>55</m:t>
            </m:r>
          </m:e>
        </m:d>
        <m:r>
          <w:rPr>
            <w:rFonts w:ascii="Cambria Math" w:cs="BookAntiqua"/>
          </w:rPr>
          <m:t>=0.95</m:t>
        </m:r>
      </m:oMath>
      <w:r w:rsidRPr="005A3EF4">
        <w:rPr>
          <w:rFonts w:cs="BookAntiqua"/>
        </w:rPr>
        <w:t>. Thus, the z-value</w:t>
      </w:r>
      <w:r w:rsidR="005A3EF4">
        <w:rPr>
          <w:rFonts w:cs="BookAntiqua"/>
        </w:rPr>
        <w:t>s corresponding to 45 and 55 are</w:t>
      </w:r>
      <w:r w:rsidRPr="005A3EF4">
        <w:rPr>
          <w:rFonts w:cs="BookAntiqua"/>
        </w:rPr>
        <w:t xml:space="preserve"> (-1.96) and (+1.96) respectively.</w:t>
      </w:r>
    </w:p>
    <w:p w:rsidR="005A3EF4" w:rsidRDefault="00D34577" w:rsidP="005A3EF4">
      <w:pPr>
        <w:autoSpaceDE w:val="0"/>
        <w:autoSpaceDN w:val="0"/>
        <w:adjustRightInd w:val="0"/>
        <w:spacing w:after="120"/>
        <w:ind w:left="360"/>
        <w:contextualSpacing/>
        <w:rPr>
          <w:rFonts w:cs="BookAntiqua"/>
        </w:rPr>
      </w:pPr>
      <w:r w:rsidRPr="005A3EF4">
        <w:rPr>
          <w:rFonts w:cs="BookAntiqua"/>
        </w:rPr>
        <w:t xml:space="preserve">Using the definition of z-value, we get </w:t>
      </w:r>
      <m:oMath>
        <m:r>
          <w:rPr>
            <w:rFonts w:ascii="Cambria Math" w:cs="BookAntiqua"/>
          </w:rPr>
          <m:t>1.96=</m:t>
        </m:r>
        <m:f>
          <m:fPr>
            <m:ctrlPr>
              <w:rPr>
                <w:rFonts w:ascii="Cambria Math" w:cs="BookAntiqua"/>
                <w:i/>
              </w:rPr>
            </m:ctrlPr>
          </m:fPr>
          <m:num>
            <m:r>
              <w:rPr>
                <w:rFonts w:ascii="Cambria Math" w:cs="BookAntiqua"/>
              </w:rPr>
              <m:t>55</m:t>
            </m:r>
            <m:r>
              <w:rPr>
                <w:rFonts w:ascii="Cambria Math" w:cs="BookAntiqua"/>
              </w:rPr>
              <m:t>-</m:t>
            </m:r>
            <m:r>
              <w:rPr>
                <w:rFonts w:ascii="Cambria Math" w:cs="BookAntiqua"/>
              </w:rPr>
              <m:t>50</m:t>
            </m:r>
          </m:num>
          <m:den>
            <m:sSub>
              <m:sSubPr>
                <m:ctrlPr>
                  <w:rPr>
                    <w:rFonts w:ascii="Cambria Math" w:cs="BookAntiqua"/>
                    <w:i/>
                  </w:rPr>
                </m:ctrlPr>
              </m:sSubPr>
              <m:e>
                <m:r>
                  <w:rPr>
                    <w:rFonts w:ascii="Cambria Math" w:hAnsi="Cambria Math" w:cs="BookAntiqua"/>
                  </w:rPr>
                  <m:t>σ</m:t>
                </m:r>
              </m:e>
              <m:sub>
                <m:acc>
                  <m:accPr>
                    <m:chr m:val="̅"/>
                    <m:ctrlPr>
                      <w:rPr>
                        <w:rFonts w:ascii="Cambria Math" w:cs="BookAntiqua"/>
                        <w:i/>
                      </w:rPr>
                    </m:ctrlPr>
                  </m:accPr>
                  <m:e>
                    <m:r>
                      <w:rPr>
                        <w:rFonts w:ascii="Cambria Math" w:hAnsi="Cambria Math" w:cs="BookAntiqua"/>
                      </w:rPr>
                      <m:t>x</m:t>
                    </m:r>
                  </m:e>
                </m:acc>
              </m:sub>
            </m:sSub>
          </m:den>
        </m:f>
      </m:oMath>
      <w:r w:rsidR="005A3EF4">
        <w:rPr>
          <w:rFonts w:cs="BookAntiqua"/>
        </w:rPr>
        <w:t xml:space="preserve">   </w:t>
      </w:r>
    </w:p>
    <w:p w:rsidR="00D34577" w:rsidRPr="005A3EF4" w:rsidRDefault="00D34577" w:rsidP="005A3EF4">
      <w:pPr>
        <w:autoSpaceDE w:val="0"/>
        <w:autoSpaceDN w:val="0"/>
        <w:adjustRightInd w:val="0"/>
        <w:spacing w:after="120"/>
        <w:ind w:left="360"/>
        <w:contextualSpacing/>
        <w:rPr>
          <w:rFonts w:cs="BookAntiqua"/>
        </w:rPr>
      </w:pPr>
      <w:r w:rsidRPr="005A3EF4">
        <w:rPr>
          <w:rFonts w:cs="BookAntiqua"/>
        </w:rPr>
        <w:t xml:space="preserve">Thus, </w:t>
      </w:r>
      <m:oMath>
        <m:sSub>
          <m:sSubPr>
            <m:ctrlPr>
              <w:rPr>
                <w:rFonts w:ascii="Cambria Math" w:cs="BookAntiqua"/>
                <w:i/>
              </w:rPr>
            </m:ctrlPr>
          </m:sSubPr>
          <m:e>
            <m:r>
              <w:rPr>
                <w:rFonts w:ascii="Cambria Math" w:hAnsi="Cambria Math" w:cs="BookAntiqua"/>
              </w:rPr>
              <m:t>σ</m:t>
            </m:r>
          </m:e>
          <m:sub>
            <m:acc>
              <m:accPr>
                <m:chr m:val="̅"/>
                <m:ctrlPr>
                  <w:rPr>
                    <w:rFonts w:ascii="Cambria Math" w:cs="BookAntiqua"/>
                    <w:i/>
                  </w:rPr>
                </m:ctrlPr>
              </m:accPr>
              <m:e>
                <m:r>
                  <w:rPr>
                    <w:rFonts w:ascii="Cambria Math" w:hAnsi="Cambria Math" w:cs="BookAntiqua"/>
                  </w:rPr>
                  <m:t>x</m:t>
                </m:r>
              </m:e>
            </m:acc>
          </m:sub>
        </m:sSub>
        <m:r>
          <w:rPr>
            <w:rFonts w:ascii="Cambria Math" w:cs="BookAntiqua"/>
          </w:rPr>
          <m:t>=2.55</m:t>
        </m:r>
      </m:oMath>
    </w:p>
    <w:p w:rsidR="0066182F" w:rsidRDefault="00D34577" w:rsidP="005A3EF4">
      <w:pPr>
        <w:autoSpaceDE w:val="0"/>
        <w:autoSpaceDN w:val="0"/>
        <w:adjustRightInd w:val="0"/>
        <w:spacing w:after="120"/>
        <w:ind w:left="360"/>
        <w:contextualSpacing/>
      </w:pPr>
      <w:r w:rsidRPr="005A3EF4">
        <w:t xml:space="preserve">Finally, using the definition </w:t>
      </w:r>
      <w:proofErr w:type="gramStart"/>
      <w:r w:rsidRPr="005A3EF4">
        <w:t xml:space="preserve">of </w:t>
      </w:r>
      <m:oMath>
        <w:proofErr w:type="gramEnd"/>
        <m:sSub>
          <m:sSubPr>
            <m:ctrlPr>
              <w:rPr>
                <w:rFonts w:ascii="Cambria Math" w:cs="BookAntiqua"/>
                <w:i/>
              </w:rPr>
            </m:ctrlPr>
          </m:sSubPr>
          <m:e>
            <m:r>
              <w:rPr>
                <w:rFonts w:ascii="Cambria Math" w:hAnsi="Cambria Math" w:cs="BookAntiqua"/>
              </w:rPr>
              <m:t>σ</m:t>
            </m:r>
          </m:e>
          <m:sub>
            <m:acc>
              <m:accPr>
                <m:chr m:val="̅"/>
                <m:ctrlPr>
                  <w:rPr>
                    <w:rFonts w:ascii="Cambria Math" w:cs="BookAntiqua"/>
                    <w:i/>
                  </w:rPr>
                </m:ctrlPr>
              </m:accPr>
              <m:e>
                <m:r>
                  <w:rPr>
                    <w:rFonts w:ascii="Cambria Math" w:hAnsi="Cambria Math" w:cs="BookAntiqua"/>
                  </w:rPr>
                  <m:t>x</m:t>
                </m:r>
              </m:e>
            </m:acc>
          </m:sub>
        </m:sSub>
      </m:oMath>
      <w:r w:rsidRPr="005A3EF4">
        <w:t xml:space="preserve">, we obtain </w:t>
      </w:r>
      <m:oMath>
        <m:f>
          <m:fPr>
            <m:ctrlPr>
              <w:rPr>
                <w:rFonts w:ascii="Cambria Math" w:cs="BookAntiqua"/>
                <w:i/>
              </w:rPr>
            </m:ctrlPr>
          </m:fPr>
          <m:num>
            <m:r>
              <w:rPr>
                <w:rFonts w:ascii="Cambria Math" w:cs="BookAntiqua"/>
              </w:rPr>
              <m:t>40</m:t>
            </m:r>
          </m:num>
          <m:den>
            <m:rad>
              <m:radPr>
                <m:degHide m:val="on"/>
                <m:ctrlPr>
                  <w:rPr>
                    <w:rFonts w:ascii="Cambria Math" w:cs="BookAntiqua"/>
                    <w:i/>
                  </w:rPr>
                </m:ctrlPr>
              </m:radPr>
              <m:deg/>
              <m:e>
                <m:r>
                  <w:rPr>
                    <w:rFonts w:ascii="Cambria Math" w:hAnsi="Cambria Math" w:cs="BookAntiqua"/>
                  </w:rPr>
                  <m:t>n</m:t>
                </m:r>
              </m:e>
            </m:rad>
          </m:den>
        </m:f>
        <m:r>
          <w:rPr>
            <w:rFonts w:ascii="Cambria Math" w:cs="BookAntiqua"/>
          </w:rPr>
          <m:t>=2.55</m:t>
        </m:r>
      </m:oMath>
      <w:r w:rsidRPr="005A3EF4">
        <w:t xml:space="preserve"> w</w:t>
      </w:r>
      <w:r w:rsidR="0066182F">
        <w:t>hich gives n = 245.86.</w:t>
      </w:r>
    </w:p>
    <w:p w:rsidR="00D34577" w:rsidRPr="005A3EF4" w:rsidRDefault="00D34577" w:rsidP="005A3EF4">
      <w:pPr>
        <w:autoSpaceDE w:val="0"/>
        <w:autoSpaceDN w:val="0"/>
        <w:adjustRightInd w:val="0"/>
        <w:spacing w:after="120"/>
        <w:ind w:left="360"/>
        <w:contextualSpacing/>
        <w:rPr>
          <w:rFonts w:cs="BookAntiqua"/>
        </w:rPr>
      </w:pPr>
      <w:r w:rsidRPr="005A3EF4">
        <w:t>We choose 250 as the closest integer greater than this number. Choosing anything smaller than 245.86 will yield a probability of investigation higher than 0.05.</w:t>
      </w:r>
    </w:p>
    <w:p w:rsidR="00D34577" w:rsidRPr="005A3EF4" w:rsidRDefault="00D34577" w:rsidP="005A3EF4">
      <w:pPr>
        <w:tabs>
          <w:tab w:val="left" w:pos="1320"/>
        </w:tabs>
        <w:spacing w:after="120"/>
        <w:contextualSpacing/>
        <w:rPr>
          <w:rFonts w:cs="BookAntiqua"/>
        </w:rPr>
      </w:pPr>
    </w:p>
    <w:p w:rsidR="00D34577" w:rsidRPr="005A3EF4" w:rsidRDefault="00D34577" w:rsidP="005A3EF4">
      <w:pPr>
        <w:numPr>
          <w:ilvl w:val="0"/>
          <w:numId w:val="2"/>
        </w:numPr>
        <w:autoSpaceDE w:val="0"/>
        <w:autoSpaceDN w:val="0"/>
        <w:adjustRightInd w:val="0"/>
        <w:spacing w:after="120"/>
        <w:ind w:left="360"/>
        <w:contextualSpacing/>
      </w:pPr>
      <w:r w:rsidRPr="005A3EF4">
        <w:rPr>
          <w:b/>
        </w:rPr>
        <w:t>D</w:t>
      </w:r>
      <w:r w:rsidRPr="005A3EF4">
        <w:t xml:space="preserve">. </w:t>
      </w:r>
    </w:p>
    <w:p w:rsidR="00D34577" w:rsidRPr="005A3EF4" w:rsidRDefault="00D34577" w:rsidP="005A3EF4">
      <w:pPr>
        <w:autoSpaceDE w:val="0"/>
        <w:autoSpaceDN w:val="0"/>
        <w:adjustRightInd w:val="0"/>
        <w:spacing w:after="120"/>
        <w:ind w:left="360"/>
        <w:contextualSpacing/>
        <w:rPr>
          <w:rFonts w:cs="BookAntiqua"/>
        </w:rPr>
      </w:pPr>
      <w:r w:rsidRPr="005A3EF4">
        <w:t>Again, from Central Limit Theorem</w:t>
      </w:r>
      <w:proofErr w:type="gramStart"/>
      <w:r w:rsidRPr="005A3EF4">
        <w:t xml:space="preserve">, </w:t>
      </w:r>
      <m:oMath>
        <w:proofErr w:type="gramEnd"/>
        <m:acc>
          <m:accPr>
            <m:chr m:val="̅"/>
            <m:ctrlPr>
              <w:rPr>
                <w:rFonts w:ascii="Cambria Math" w:cs="BookAntiqua"/>
                <w:i/>
              </w:rPr>
            </m:ctrlPr>
          </m:accPr>
          <m:e>
            <m:r>
              <w:rPr>
                <w:rFonts w:ascii="Cambria Math" w:hAnsi="Cambria Math" w:cs="BookAntiqua"/>
              </w:rPr>
              <m:t>X</m:t>
            </m:r>
          </m:e>
        </m:acc>
        <m:r>
          <w:rPr>
            <w:rFonts w:ascii="Cambria Math" w:cs="BookAntiqua"/>
          </w:rPr>
          <m:t>~</m:t>
        </m:r>
        <m:r>
          <w:rPr>
            <w:rFonts w:ascii="Cambria Math" w:hAnsi="Cambria Math" w:cs="BookAntiqua"/>
          </w:rPr>
          <m:t>N</m:t>
        </m:r>
        <m:r>
          <w:rPr>
            <w:rFonts w:ascii="Cambria Math" w:cs="BookAntiqua"/>
          </w:rPr>
          <m:t>(</m:t>
        </m:r>
        <m:r>
          <w:rPr>
            <w:rFonts w:ascii="Cambria Math" w:hAnsi="Cambria Math" w:cs="BookAntiqua"/>
          </w:rPr>
          <m:t>μ</m:t>
        </m:r>
        <m:r>
          <w:rPr>
            <w:rFonts w:ascii="Cambria Math" w:cs="BookAntiqua"/>
          </w:rPr>
          <m:t>,</m:t>
        </m:r>
        <m:f>
          <m:fPr>
            <m:ctrlPr>
              <w:rPr>
                <w:rFonts w:ascii="Cambria Math" w:cs="BookAntiqua"/>
                <w:i/>
              </w:rPr>
            </m:ctrlPr>
          </m:fPr>
          <m:num>
            <m:sSup>
              <m:sSupPr>
                <m:ctrlPr>
                  <w:rPr>
                    <w:rFonts w:ascii="Cambria Math" w:cs="BookAntiqua"/>
                    <w:i/>
                  </w:rPr>
                </m:ctrlPr>
              </m:sSupPr>
              <m:e>
                <m:r>
                  <w:rPr>
                    <w:rFonts w:ascii="Cambria Math" w:hAnsi="Cambria Math" w:cs="BookAntiqua"/>
                  </w:rPr>
                  <m:t>σ</m:t>
                </m:r>
              </m:e>
              <m:sup>
                <m:r>
                  <w:rPr>
                    <w:rFonts w:ascii="Cambria Math" w:cs="BookAntiqua"/>
                  </w:rPr>
                  <m:t>2</m:t>
                </m:r>
              </m:sup>
            </m:sSup>
          </m:num>
          <m:den>
            <m:r>
              <w:rPr>
                <w:rFonts w:ascii="Cambria Math" w:hAnsi="Cambria Math" w:cs="BookAntiqua"/>
              </w:rPr>
              <m:t>n</m:t>
            </m:r>
          </m:den>
        </m:f>
        <m:r>
          <w:rPr>
            <w:rFonts w:ascii="Cambria Math" w:cs="BookAntiqua"/>
          </w:rPr>
          <m:t>)</m:t>
        </m:r>
      </m:oMath>
      <w:r w:rsidRPr="005A3EF4">
        <w:rPr>
          <w:rFonts w:cs="BookAntiqua"/>
        </w:rPr>
        <w:t xml:space="preserve">. Hence, the average of many sample means will tend to the population mean, which </w:t>
      </w:r>
      <w:proofErr w:type="gramStart"/>
      <w:r w:rsidRPr="005A3EF4">
        <w:rPr>
          <w:rFonts w:cs="BookAntiqua"/>
        </w:rPr>
        <w:t>is</w:t>
      </w:r>
      <w:proofErr w:type="gramEnd"/>
      <w:r w:rsidRPr="005A3EF4">
        <w:rPr>
          <w:rFonts w:cs="BookAntiqua"/>
        </w:rPr>
        <w:t xml:space="preserve"> 720.</w:t>
      </w:r>
    </w:p>
    <w:sectPr w:rsidR="00D34577" w:rsidRPr="005A3EF4" w:rsidSect="00295D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B257E"/>
    <w:multiLevelType w:val="hybridMultilevel"/>
    <w:tmpl w:val="0986D6D6"/>
    <w:lvl w:ilvl="0" w:tplc="5A26FCC8">
      <w:start w:val="1"/>
      <w:numFmt w:val="decimal"/>
      <w:lvlText w:val="%1."/>
      <w:lvlJc w:val="left"/>
      <w:pPr>
        <w:ind w:left="423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912FE"/>
    <w:multiLevelType w:val="hybridMultilevel"/>
    <w:tmpl w:val="7C369E6E"/>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21626CC"/>
    <w:multiLevelType w:val="hybridMultilevel"/>
    <w:tmpl w:val="46D4B09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34577"/>
    <w:rsid w:val="00295D22"/>
    <w:rsid w:val="005A3EF4"/>
    <w:rsid w:val="00614CA4"/>
    <w:rsid w:val="0066182F"/>
    <w:rsid w:val="00D34577"/>
    <w:rsid w:val="00FA0D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57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577"/>
    <w:pPr>
      <w:spacing w:after="0" w:line="240" w:lineRule="auto"/>
      <w:ind w:left="72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4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577"/>
    <w:rPr>
      <w:rFonts w:ascii="Tahoma" w:eastAsiaTheme="minorEastAsia" w:hAnsi="Tahoma" w:cs="Tahoma"/>
      <w:sz w:val="16"/>
      <w:szCs w:val="16"/>
    </w:rPr>
  </w:style>
  <w:style w:type="character" w:styleId="PlaceholderText">
    <w:name w:val="Placeholder Text"/>
    <w:basedOn w:val="DefaultParagraphFont"/>
    <w:uiPriority w:val="99"/>
    <w:semiHidden/>
    <w:rsid w:val="00D3457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Sayali Suhas Phadke</cp:lastModifiedBy>
  <cp:revision>1</cp:revision>
  <dcterms:created xsi:type="dcterms:W3CDTF">2013-09-25T13:32:00Z</dcterms:created>
  <dcterms:modified xsi:type="dcterms:W3CDTF">2013-09-25T13:53:00Z</dcterms:modified>
</cp:coreProperties>
</file>