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0" w:line="270"/>
      </w:pPr>
      <w:r>
        <w:rPr>
          <w:rFonts w:ascii="Arial" w:cs="Arial" w:eastAsia="Arial" w:hAnsi="Arial"/>
          <w:b/>
          <w:bCs/>
          <w:i w:val="false"/>
          <w:iCs w:val="false"/>
          <w:color w:val="D6006E"/>
          <w:sz w:val="20"/>
          <w:szCs w:val="20"/>
        </w:rPr>
        <w:t xml:space="preserve">neonVest</w:t>
      </w:r>
      <w:r>
        <w:rPr>
          <w:rFonts w:ascii="Arial" w:cs="Arial" w:eastAsia="Arial" w:hAnsi="Arial"/>
          <w:b w:val="false"/>
          <w:bCs w:val="false"/>
          <w:i w:val="false"/>
          <w:iCs w:val="false"/>
          <w:color w:val="8A97A3"/>
          <w:sz w:val="20"/>
          <w:szCs w:val="20"/>
        </w:rPr>
        <w:t xml:space="preserve">   |   Founding Engineer, AI Platform</w:t>
      </w:r>
    </w:p>
    <w:p>
      <w:pPr>
        <w:spacing w:after="50" w:before="0" w:line="270"/>
      </w:pPr>
      <w:r>
        <w:rPr>
          <w:rFonts w:ascii="Arial" w:cs="Arial" w:eastAsia="Arial" w:hAnsi="Arial"/>
          <w:b/>
          <w:bCs/>
          <w:i w:val="false"/>
          <w:iCs w:val="false"/>
          <w:color w:val="0E1B2A"/>
          <w:sz w:val="44"/>
          <w:szCs w:val="44"/>
        </w:rPr>
        <w:t xml:space="preserve">Case Study</w:t>
      </w:r>
    </w:p>
    <w:p>
      <w:pPr>
        <w:spacing w:after="130" w:before="0" w:line="270"/>
      </w:pPr>
      <w:r>
        <w:rPr>
          <w:rFonts w:ascii="Arial" w:cs="Arial" w:eastAsia="Arial" w:hAnsi="Arial"/>
          <w:b w:val="false"/>
          <w:bCs w:val="false"/>
          <w:i w:val="false"/>
          <w:iCs w:val="false"/>
          <w:color w:val="6B7A88"/>
          <w:sz w:val="24"/>
          <w:szCs w:val="24"/>
        </w:rPr>
        <w:t xml:space="preserve">Four cases. Three to four hours. Five attachments.</w:t>
      </w:r>
    </w:p>
    <w:p>
      <w:pPr>
        <w:pBdr>
          <w:bottom w:val="single" w:color="D6006E" w:sz="18"/>
        </w:pBdr>
        <w:spacing w:after="0" w:before="0" w:line="20" w:lineRule="exact"/>
      </w:pPr>
    </w:p>
    <w:p>
      <w:pPr>
        <w:spacing w:after="160" w:before="0" w:line="270"/>
      </w:pPr>
    </w:p>
    <w:p>
      <w:pPr>
        <w:spacing w:after="110" w:before="0" w:line="270"/>
      </w:pPr>
      <w:r>
        <w:rPr>
          <w:rFonts w:ascii="Arial" w:cs="Arial" w:eastAsia="Arial" w:hAnsi="Arial"/>
          <w:b w:val="false"/>
          <w:bCs w:val="false"/>
          <w:i w:val="false"/>
          <w:iCs w:val="false"/>
          <w:color w:val="2B3A47"/>
          <w:sz w:val="20"/>
          <w:szCs w:val="20"/>
        </w:rPr>
        <w:t xml:space="preserve">Thank you for applying. This exercise is the job, performed — the four cases below are the first four things you would actually do here, in the order you would do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none" w:color="FFFFFF" w:sz="0"/>
              <w:left w:val="single" w:color="D6006E" w:sz="18"/>
              <w:bottom w:val="none" w:color="FFFFFF" w:sz="0"/>
              <w:right w:val="none" w:color="FFFFFF" w:sz="0"/>
            </w:tcBorders>
            <w:shd w:fill="FBF3F7" w:color="auto" w:val="clear"/>
            <w:tcMar>
              <w:top w:type="dxa" w:w="180"/>
              <w:left w:type="dxa" w:w="220"/>
              <w:bottom w:type="dxa" w:w="180"/>
              <w:right w:type="dxa" w:w="220"/>
            </w:tcMar>
          </w:tcPr>
          <w:p>
            <w:pPr>
              <w:spacing w:after="80" w:before="0" w:line="270"/>
            </w:pPr>
            <w:r>
              <w:rPr>
                <w:rFonts w:ascii="Arial" w:cs="Arial" w:eastAsia="Arial" w:hAnsi="Arial"/>
                <w:b/>
                <w:bCs/>
                <w:i w:val="false"/>
                <w:iCs w:val="false"/>
                <w:color w:val="D6006E"/>
                <w:sz w:val="17"/>
                <w:szCs w:val="17"/>
              </w:rPr>
              <w:t xml:space="preserve">Before you start — how we expect you to work</w:t>
            </w:r>
          </w:p>
          <w:p>
            <w:pPr>
              <w:spacing w:after="90" w:before="0" w:line="270"/>
            </w:pPr>
            <w:r>
              <w:rPr>
                <w:rFonts w:ascii="Arial" w:cs="Arial" w:eastAsia="Arial" w:hAnsi="Arial"/>
                <w:b w:val="false"/>
                <w:bCs w:val="false"/>
                <w:i w:val="false"/>
                <w:iCs w:val="false"/>
                <w:color w:val="2B3A47"/>
                <w:sz w:val="19"/>
                <w:szCs w:val="19"/>
              </w:rPr>
              <w:t xml:space="preserve">Use AI tools. We use them heavily and we expect you to be faster because of them. There is no hidden test about whether you used an assistant; there is a visible question at the end asking what each tool did for you and where your own judgment overrode it. Answer it honestly.</w:t>
            </w:r>
          </w:p>
          <w:p>
            <w:pPr>
              <w:spacing w:after="90" w:before="0" w:line="270"/>
            </w:pPr>
            <w:r>
              <w:rPr>
                <w:rFonts w:ascii="Arial" w:cs="Arial" w:eastAsia="Arial" w:hAnsi="Arial"/>
                <w:b w:val="false"/>
                <w:bCs w:val="false"/>
                <w:i w:val="false"/>
                <w:iCs w:val="false"/>
                <w:color w:val="2B3A47"/>
                <w:sz w:val="19"/>
                <w:szCs w:val="19"/>
              </w:rPr>
              <w:t xml:space="preserve">Case 2 is deliberately built so that an assistant cannot answer it for you. Read its framing carefully before you begin.</w:t>
            </w:r>
          </w:p>
          <w:p>
            <w:pPr>
              <w:spacing w:after="0" w:before="0" w:line="270"/>
            </w:pPr>
            <w:r>
              <w:rPr>
                <w:rFonts w:ascii="Arial" w:cs="Arial" w:eastAsia="Arial" w:hAnsi="Arial"/>
                <w:b w:val="false"/>
                <w:bCs w:val="false"/>
                <w:i w:val="false"/>
                <w:iCs w:val="false"/>
                <w:color w:val="2B3A47"/>
                <w:sz w:val="19"/>
                <w:szCs w:val="19"/>
              </w:rPr>
              <w:t xml:space="preserve">Aim for three to four hours. We would rather see clear thinking inside that budget than a longer document. If you spend more, say so — it costs you nothing.</w:t>
            </w:r>
          </w:p>
        </w:tc>
      </w:tr>
    </w:tbl>
    <w:p>
      <w:pPr>
        <w:spacing w:after="90" w:before="200" w:line="270"/>
      </w:pPr>
      <w:r>
        <w:rPr>
          <w:rFonts w:ascii="Arial" w:cs="Arial" w:eastAsia="Arial" w:hAnsi="Arial"/>
          <w:b/>
          <w:bCs/>
          <w:i w:val="false"/>
          <w:iCs w:val="false"/>
          <w:color w:val="D6006E"/>
          <w:sz w:val="21"/>
          <w:szCs w:val="21"/>
        </w:rPr>
        <w:t xml:space="preserve">The attachments</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airtable_investors.csv — our structured investor attributes, as they sit in Airtable today.</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mysql_investor_notes.csv — free-text notes and contact detail from our MySQL database.</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match_history.csv — past company-to-investor matches with recorded outcomes.</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matching_service.py — a draft of the matching service, generated with an AI assistant.</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ai_review.md — a code review of that draft, also produced by an AI assistant.</w:t>
      </w:r>
    </w:p>
    <w:p>
      <w:pPr>
        <w:spacing w:after="110" w:before="80" w:line="270"/>
      </w:pPr>
      <w:r>
        <w:rPr>
          <w:rFonts w:ascii="Arial" w:cs="Arial" w:eastAsia="Arial" w:hAnsi="Arial"/>
          <w:b w:val="false"/>
          <w:bCs w:val="false"/>
          <w:i/>
          <w:iCs/>
          <w:color w:val="6B7A88"/>
          <w:sz w:val="18"/>
          <w:szCs w:val="18"/>
        </w:rPr>
        <w:t xml:space="preserve">All investor data is anonymised. Names, firms, contact details and company names have been replaced. The defects in it have not been — the shape of the mess is real.</w:t>
      </w:r>
    </w:p>
    <w:p>
      <w:pPr>
        <w:spacing w:after="120" w:before="300" w:line="270"/>
      </w:pPr>
      <w:r>
        <w:rPr>
          <w:rFonts w:ascii="Arial" w:cs="Arial" w:eastAsia="Arial" w:hAnsi="Arial"/>
          <w:b/>
          <w:bCs/>
          <w:i w:val="false"/>
          <w:iCs w:val="false"/>
          <w:color w:val="0E1B2A"/>
          <w:sz w:val="26"/>
          <w:szCs w:val="26"/>
        </w:rPr>
        <w:t xml:space="preserve">Case 1 — The data layer</w:t>
      </w:r>
    </w:p>
    <w:p>
      <w:pPr>
        <w:spacing w:after="100" w:before="0" w:line="270"/>
      </w:pPr>
      <w:r>
        <w:rPr>
          <w:rFonts w:ascii="Arial" w:cs="Arial" w:eastAsia="Arial" w:hAnsi="Arial"/>
          <w:b/>
          <w:bCs/>
          <w:i w:val="false"/>
          <w:iCs w:val="false"/>
          <w:color w:val="D6006E"/>
          <w:sz w:val="18"/>
          <w:szCs w:val="18"/>
        </w:rPr>
        <w:t xml:space="preserve">Weight: 25%</w:t>
      </w:r>
    </w:p>
    <w:p>
      <w:pPr>
        <w:spacing w:after="110" w:before="0" w:line="270"/>
      </w:pPr>
      <w:r>
        <w:rPr>
          <w:rFonts w:ascii="Arial" w:cs="Arial" w:eastAsia="Arial" w:hAnsi="Arial"/>
          <w:b w:val="false"/>
          <w:bCs w:val="false"/>
          <w:i w:val="false"/>
          <w:iCs w:val="false"/>
          <w:color w:val="2B3A47"/>
          <w:sz w:val="19"/>
          <w:szCs w:val="19"/>
        </w:rPr>
        <w:t xml:space="preserve">Our investor data lives in two places that were never designed to be joined. Airtable holds the structured attributes — sector, stage, cheque size, geography. MySQL holds free-text notes and years of match history. Merging them into one clean, keyed dataset is the first thing you would build, and everything else depends on it.</w:t>
      </w:r>
    </w:p>
    <w:p>
      <w:pPr>
        <w:spacing w:after="110" w:before="0" w:line="270"/>
      </w:pPr>
      <w:r>
        <w:rPr>
          <w:rFonts w:ascii="Arial" w:cs="Arial" w:eastAsia="Arial" w:hAnsi="Arial"/>
          <w:b/>
          <w:bCs/>
          <w:i w:val="false"/>
          <w:iCs w:val="false"/>
          <w:color w:val="2B3A47"/>
          <w:sz w:val="19"/>
          <w:szCs w:val="19"/>
        </w:rPr>
        <w:t xml:space="preserve">Open both files before you answer. What you find in them is the question.</w:t>
      </w:r>
    </w:p>
    <w:p>
      <w:pPr>
        <w:spacing w:after="90" w:before="200" w:line="270"/>
      </w:pPr>
      <w:r>
        <w:rPr>
          <w:rFonts w:ascii="Arial" w:cs="Arial" w:eastAsia="Arial" w:hAnsi="Arial"/>
          <w:b/>
          <w:bCs/>
          <w:i w:val="false"/>
          <w:iCs w:val="false"/>
          <w:color w:val="D6006E"/>
          <w:sz w:val="21"/>
          <w:szCs w:val="21"/>
        </w:rPr>
        <w:t xml:space="preserve">Deliver</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The schema for the merged dataset. Show the keys and say what makes a record unique.</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Your merge and deduplication strategy, in enough detail that someone else could implement it.</w:t>
      </w:r>
    </w:p>
    <w:p>
      <w:pPr>
        <w:spacing w:after="80" w:before="120" w:line="270"/>
      </w:pPr>
      <w:r>
        <w:rPr>
          <w:rFonts w:ascii="Arial" w:cs="Arial" w:eastAsia="Arial" w:hAnsi="Arial"/>
          <w:b/>
          <w:bCs/>
          <w:i w:val="false"/>
          <w:iCs w:val="false"/>
          <w:color w:val="2B3A47"/>
          <w:sz w:val="19"/>
          <w:szCs w:val="19"/>
        </w:rPr>
        <w:t xml:space="preserve">Then three specific questions:</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1.  Which records would you refuse to merge automatically, and what happens to them? "Flag for manual review" is only an answer if you say who reviews, against what, and how large that queue is allowed to get before it is a problem.</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2.  The sector tags are self-reported. Look at how they were actually filled in before you answer, then tell us whether that field is usable for matching. Argue it either way — we are interested in the argument, not the verdict.</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3.  What would you delete? And what would you keep even though it is useless to you today?</w:t>
      </w:r>
    </w:p>
    <w:p>
      <w:pPr>
        <w:spacing w:after="120" w:before="300" w:line="270"/>
      </w:pPr>
      <w:r>
        <w:rPr>
          <w:rFonts w:ascii="Arial" w:cs="Arial" w:eastAsia="Arial" w:hAnsi="Arial"/>
          <w:b/>
          <w:bCs/>
          <w:i w:val="false"/>
          <w:iCs w:val="false"/>
          <w:color w:val="0E1B2A"/>
          <w:sz w:val="26"/>
          <w:szCs w:val="26"/>
        </w:rPr>
        <w:t xml:space="preserve">Case 2 — Triage the review</w:t>
      </w:r>
    </w:p>
    <w:p>
      <w:pPr>
        <w:spacing w:after="100" w:before="0" w:line="270"/>
      </w:pPr>
      <w:r>
        <w:rPr>
          <w:rFonts w:ascii="Arial" w:cs="Arial" w:eastAsia="Arial" w:hAnsi="Arial"/>
          <w:b/>
          <w:bCs/>
          <w:i w:val="false"/>
          <w:iCs w:val="false"/>
          <w:color w:val="D6006E"/>
          <w:sz w:val="18"/>
          <w:szCs w:val="18"/>
        </w:rPr>
        <w:t xml:space="preserve">Weight: 30%   ·   This is the case that matters most.</w:t>
      </w:r>
    </w:p>
    <w:p>
      <w:pPr>
        <w:spacing w:after="110" w:before="0" w:line="270"/>
      </w:pPr>
      <w:r>
        <w:rPr>
          <w:rFonts w:ascii="Arial" w:cs="Arial" w:eastAsia="Arial" w:hAnsi="Arial"/>
          <w:b w:val="false"/>
          <w:bCs w:val="false"/>
          <w:i w:val="false"/>
          <w:iCs w:val="false"/>
          <w:color w:val="2B3A47"/>
          <w:sz w:val="19"/>
          <w:szCs w:val="19"/>
        </w:rPr>
        <w:t xml:space="preserve">matching_service.py is a draft of the matching service, generated with an AI coding assistant against our architecture note. Nobody has reviewed it. ai_review.md is a code review of that file, also produced by an AI assistant — pasted in cold, one instruction, about two minutes of work. It returned twenty-seven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none" w:color="FFFFFF" w:sz="0"/>
              <w:left w:val="single" w:color="D6006E" w:sz="18"/>
              <w:bottom w:val="none" w:color="FFFFFF" w:sz="0"/>
              <w:right w:val="none" w:color="FFFFFF" w:sz="0"/>
            </w:tcBorders>
            <w:shd w:fill="FBF3F7" w:color="auto" w:val="clear"/>
            <w:tcMar>
              <w:top w:type="dxa" w:w="180"/>
              <w:left w:type="dxa" w:w="220"/>
              <w:bottom w:type="dxa" w:w="180"/>
              <w:right w:type="dxa" w:w="220"/>
            </w:tcMar>
          </w:tcPr>
          <w:p>
            <w:pPr>
              <w:spacing w:after="80" w:before="0" w:line="270"/>
            </w:pPr>
            <w:r>
              <w:rPr>
                <w:rFonts w:ascii="Arial" w:cs="Arial" w:eastAsia="Arial" w:hAnsi="Arial"/>
                <w:b/>
                <w:bCs/>
                <w:i w:val="false"/>
                <w:iCs w:val="false"/>
                <w:color w:val="D6006E"/>
                <w:sz w:val="17"/>
                <w:szCs w:val="17"/>
              </w:rPr>
              <w:t xml:space="preserve">Read this framing carefully</w:t>
            </w:r>
          </w:p>
          <w:p>
            <w:pPr>
              <w:spacing w:after="90" w:before="0" w:line="270"/>
            </w:pPr>
            <w:r>
              <w:rPr>
                <w:rFonts w:ascii="Arial" w:cs="Arial" w:eastAsia="Arial" w:hAnsi="Arial"/>
                <w:b w:val="false"/>
                <w:bCs w:val="false"/>
                <w:i w:val="false"/>
                <w:iCs w:val="false"/>
                <w:color w:val="2B3A47"/>
                <w:sz w:val="19"/>
                <w:szCs w:val="19"/>
              </w:rPr>
              <w:t xml:space="preserve">Most of that review is correct. Assume the list is roughly complete. We are not asking you to find more defects — adding a twenty-eighth finding is not the task, and will not score.</w:t>
            </w:r>
          </w:p>
          <w:p>
            <w:pPr>
              <w:spacing w:after="0" w:before="0" w:line="270"/>
            </w:pPr>
            <w:r>
              <w:rPr>
                <w:rFonts w:ascii="Arial" w:cs="Arial" w:eastAsia="Arial" w:hAnsi="Arial"/>
                <w:b w:val="false"/>
                <w:bCs w:val="false"/>
                <w:i w:val="false"/>
                <w:iCs w:val="false"/>
                <w:color w:val="2B3A47"/>
                <w:sz w:val="19"/>
                <w:szCs w:val="19"/>
              </w:rPr>
              <w:t xml:space="preserve">We are asking what you would do with it.</w:t>
            </w:r>
          </w:p>
        </w:tc>
      </w:tr>
    </w:tbl>
    <w:p>
      <w:pPr>
        <w:spacing w:after="90" w:before="200" w:line="270"/>
      </w:pPr>
      <w:r>
        <w:rPr>
          <w:rFonts w:ascii="Arial" w:cs="Arial" w:eastAsia="Arial" w:hAnsi="Arial"/>
          <w:b/>
          <w:bCs/>
          <w:i w:val="false"/>
          <w:iCs w:val="false"/>
          <w:color w:val="D6006E"/>
          <w:sz w:val="21"/>
          <w:szCs w:val="21"/>
        </w:rPr>
        <w:t xml:space="preserve">Deliver</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1.  Three findings get fixed before anything ships. Which three, and why those? Not the three most severe in the abstract — the three most severe for a service whose output is a ranked list of investors with a written explanation, shown to a founder who is paying us.</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2.  Some of the findings in this review are wrong, overstated, or would make the system worse if applied literally. Identify them and say why. How many there are is part of the question.</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3.  What is missing? What would a reviewer need to know about our business to catch something this review could not?</w:t>
      </w:r>
    </w:p>
    <w:p>
      <w:pPr>
        <w:spacing w:after="110" w:before="100" w:line="270"/>
      </w:pPr>
      <w:r>
        <w:rPr>
          <w:rFonts w:ascii="Arial" w:cs="Arial" w:eastAsia="Arial" w:hAnsi="Arial"/>
          <w:b w:val="false"/>
          <w:bCs w:val="false"/>
          <w:i/>
          <w:iCs/>
          <w:color w:val="6B7A88"/>
          <w:sz w:val="18"/>
          <w:szCs w:val="18"/>
        </w:rPr>
        <w:t xml:space="preserve">Question 2 is the one we read most closely. An assistant will happily agree with another assistant.</w:t>
      </w:r>
    </w:p>
    <w:p>
      <w:pPr>
        <w:spacing w:after="120" w:before="300" w:line="270"/>
      </w:pPr>
      <w:r>
        <w:rPr>
          <w:rFonts w:ascii="Arial" w:cs="Arial" w:eastAsia="Arial" w:hAnsi="Arial"/>
          <w:b/>
          <w:bCs/>
          <w:i w:val="false"/>
          <w:iCs w:val="false"/>
          <w:color w:val="0E1B2A"/>
          <w:sz w:val="26"/>
          <w:szCs w:val="26"/>
        </w:rPr>
        <w:t xml:space="preserve">Case 3 — The evaluation harness</w:t>
      </w:r>
    </w:p>
    <w:p>
      <w:pPr>
        <w:spacing w:after="100" w:before="0" w:line="270"/>
      </w:pPr>
      <w:r>
        <w:rPr>
          <w:rFonts w:ascii="Arial" w:cs="Arial" w:eastAsia="Arial" w:hAnsi="Arial"/>
          <w:b/>
          <w:bCs/>
          <w:i w:val="false"/>
          <w:iCs w:val="false"/>
          <w:color w:val="D6006E"/>
          <w:sz w:val="18"/>
          <w:szCs w:val="18"/>
        </w:rPr>
        <w:t xml:space="preserve">Weight: 25%</w:t>
      </w:r>
    </w:p>
    <w:p>
      <w:pPr>
        <w:spacing w:after="110" w:before="0" w:line="270"/>
      </w:pPr>
      <w:r>
        <w:rPr>
          <w:rFonts w:ascii="Arial" w:cs="Arial" w:eastAsia="Arial" w:hAnsi="Arial"/>
          <w:b w:val="false"/>
          <w:bCs w:val="false"/>
          <w:i w:val="false"/>
          <w:iCs w:val="false"/>
          <w:color w:val="2B3A47"/>
          <w:sz w:val="19"/>
          <w:szCs w:val="19"/>
        </w:rPr>
        <w:t xml:space="preserve">match_history.csv holds several hundred past matches with recorded outcomes — meeting taken, no response, declined, converted, plus the investor’s written feedback where we have it. That is the only ground truth we have. Every future change to matching needs to be scored against it, because "it feels better" is not a result.</w:t>
      </w:r>
    </w:p>
    <w:p>
      <w:pPr>
        <w:spacing w:after="90" w:before="200" w:line="270"/>
      </w:pPr>
      <w:r>
        <w:rPr>
          <w:rFonts w:ascii="Arial" w:cs="Arial" w:eastAsia="Arial" w:hAnsi="Arial"/>
          <w:b/>
          <w:bCs/>
          <w:i w:val="false"/>
          <w:iCs w:val="false"/>
          <w:color w:val="D6006E"/>
          <w:sz w:val="21"/>
          <w:szCs w:val="21"/>
        </w:rPr>
        <w:t xml:space="preserve">Deliver</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The harness. Metric, split, baseline, and the rule by which a change is accepted or rejected.</w:t>
      </w:r>
    </w:p>
    <w:p>
      <w:pPr>
        <w:spacing w:after="80" w:before="120" w:line="270"/>
      </w:pPr>
      <w:r>
        <w:rPr>
          <w:rFonts w:ascii="Arial" w:cs="Arial" w:eastAsia="Arial" w:hAnsi="Arial"/>
          <w:b/>
          <w:bCs/>
          <w:i w:val="false"/>
          <w:iCs w:val="false"/>
          <w:color w:val="2B3A47"/>
          <w:sz w:val="19"/>
          <w:szCs w:val="19"/>
        </w:rPr>
        <w:t xml:space="preserve">Then two questions:</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1.  This ground truth is not clean. Open the file, tell us what is wrong with it, and say what each problem you find does to the harness you have just described.</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2.  What result would make you say the new matcher is worse than the filtered database query it replaces — and ship the old one?</w:t>
      </w:r>
    </w:p>
    <w:p>
      <w:pPr>
        <w:spacing w:after="120" w:before="300" w:line="270"/>
      </w:pPr>
      <w:r>
        <w:rPr>
          <w:rFonts w:ascii="Arial" w:cs="Arial" w:eastAsia="Arial" w:hAnsi="Arial"/>
          <w:b/>
          <w:bCs/>
          <w:i w:val="false"/>
          <w:iCs w:val="false"/>
          <w:color w:val="0E1B2A"/>
          <w:sz w:val="26"/>
          <w:szCs w:val="26"/>
        </w:rPr>
        <w:t xml:space="preserve">Case 4 — The note</w:t>
      </w:r>
    </w:p>
    <w:p>
      <w:pPr>
        <w:spacing w:after="100" w:before="0" w:line="270"/>
      </w:pPr>
      <w:r>
        <w:rPr>
          <w:rFonts w:ascii="Arial" w:cs="Arial" w:eastAsia="Arial" w:hAnsi="Arial"/>
          <w:b/>
          <w:bCs/>
          <w:i w:val="false"/>
          <w:iCs w:val="false"/>
          <w:color w:val="D6006E"/>
          <w:sz w:val="18"/>
          <w:szCs w:val="18"/>
        </w:rPr>
        <w:t xml:space="preserve">Weight: 15%</w:t>
      </w:r>
    </w:p>
    <w:p>
      <w:pPr>
        <w:spacing w:after="110" w:before="0" w:line="270"/>
      </w:pPr>
      <w:r>
        <w:rPr>
          <w:rFonts w:ascii="Arial" w:cs="Arial" w:eastAsia="Arial" w:hAnsi="Arial"/>
          <w:b w:val="false"/>
          <w:bCs w:val="false"/>
          <w:i w:val="false"/>
          <w:iCs w:val="false"/>
          <w:color w:val="2B3A47"/>
          <w:sz w:val="19"/>
          <w:szCs w:val="19"/>
        </w:rPr>
        <w:t xml:space="preserve">Our existing PHP application writes investor records straight to MySQL. It is a CodeIgniter app from around 2021, it carries real client and investor data, and it keeps running throughout this project. The new matching service needs that same data, current.</w:t>
      </w:r>
    </w:p>
    <w:p>
      <w:pPr>
        <w:spacing w:after="110" w:before="0" w:line="270"/>
      </w:pPr>
      <w:r>
        <w:rPr>
          <w:rFonts w:ascii="Arial" w:cs="Arial" w:eastAsia="Arial" w:hAnsi="Arial"/>
          <w:b/>
          <w:bCs/>
          <w:i w:val="false"/>
          <w:iCs w:val="false"/>
          <w:color w:val="2B3A47"/>
          <w:sz w:val="19"/>
          <w:szCs w:val="19"/>
        </w:rPr>
        <w:t xml:space="preserve">Dual-write, read replica, change events, or leave it alone. Pick one.</w:t>
      </w:r>
    </w:p>
    <w:p>
      <w:pPr>
        <w:spacing w:after="90" w:before="200" w:line="270"/>
      </w:pPr>
      <w:r>
        <w:rPr>
          <w:rFonts w:ascii="Arial" w:cs="Arial" w:eastAsia="Arial" w:hAnsi="Arial"/>
          <w:b/>
          <w:bCs/>
          <w:i w:val="false"/>
          <w:iCs w:val="false"/>
          <w:color w:val="D6006E"/>
          <w:sz w:val="21"/>
          <w:szCs w:val="21"/>
        </w:rPr>
        <w:t xml:space="preserve">Deliver</w:t>
      </w:r>
    </w:p>
    <w:p>
      <w:pPr>
        <w:spacing w:after="110" w:before="0" w:line="270"/>
      </w:pPr>
      <w:r>
        <w:rPr>
          <w:rFonts w:ascii="Arial" w:cs="Arial" w:eastAsia="Arial" w:hAnsi="Arial"/>
          <w:b w:val="false"/>
          <w:bCs w:val="false"/>
          <w:i w:val="false"/>
          <w:iCs w:val="false"/>
          <w:color w:val="2B3A47"/>
          <w:sz w:val="19"/>
          <w:szCs w:val="19"/>
        </w:rPr>
        <w:t xml:space="preserve">Explain your choice to Rohit, our CEO, who is not an engineer. Under 250 words, no jargon: what you would do, what could go wrong, and what you need from him to proceed. Write it so he could act on it without booking a call to ask what you meant.</w:t>
      </w:r>
    </w:p>
    <w:p>
      <w:pPr>
        <w:spacing w:after="120" w:before="300" w:line="270"/>
      </w:pPr>
      <w:r>
        <w:rPr>
          <w:rFonts w:ascii="Arial" w:cs="Arial" w:eastAsia="Arial" w:hAnsi="Arial"/>
          <w:b/>
          <w:bCs/>
          <w:i w:val="false"/>
          <w:iCs w:val="false"/>
          <w:color w:val="0E1B2A"/>
          <w:sz w:val="26"/>
          <w:szCs w:val="26"/>
        </w:rPr>
        <w:t xml:space="preserve">Tools, method and time</w:t>
      </w:r>
    </w:p>
    <w:p>
      <w:pPr>
        <w:spacing w:after="100" w:before="0" w:line="270"/>
      </w:pPr>
      <w:r>
        <w:rPr>
          <w:rFonts w:ascii="Arial" w:cs="Arial" w:eastAsia="Arial" w:hAnsi="Arial"/>
          <w:b/>
          <w:bCs/>
          <w:i w:val="false"/>
          <w:iCs w:val="false"/>
          <w:color w:val="D6006E"/>
          <w:sz w:val="18"/>
          <w:szCs w:val="18"/>
        </w:rPr>
        <w:t xml:space="preserve">Weight: 5%</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Which tools did you use, and what did each actually do for you?</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Give one worked example of where your own judgment overrode the tool.</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Roughly how long did this take?</w:t>
      </w:r>
    </w:p>
    <w:p>
      <w:pPr>
        <w:spacing w:after="120" w:before="300" w:line="270"/>
      </w:pPr>
      <w:r>
        <w:rPr>
          <w:rFonts w:ascii="Arial" w:cs="Arial" w:eastAsia="Arial" w:hAnsi="Arial"/>
          <w:b/>
          <w:bCs/>
          <w:i w:val="false"/>
          <w:iCs w:val="false"/>
          <w:color w:val="0E1B2A"/>
          <w:sz w:val="26"/>
          <w:szCs w:val="26"/>
        </w:rPr>
        <w:t xml:space="preserve">How this is marked</w:t>
      </w:r>
    </w:p>
    <w:p>
      <w:pPr>
        <w:spacing w:after="110" w:before="0" w:line="270"/>
      </w:pPr>
      <w:r>
        <w:rPr>
          <w:rFonts w:ascii="Arial" w:cs="Arial" w:eastAsia="Arial" w:hAnsi="Arial"/>
          <w:b w:val="false"/>
          <w:bCs w:val="false"/>
          <w:i w:val="false"/>
          <w:iCs w:val="false"/>
          <w:color w:val="2B3A47"/>
          <w:sz w:val="19"/>
          <w:szCs w:val="19"/>
        </w:rPr>
        <w:t xml:space="preserve">Five dimensions, weighted as shown above, scored one to ten. Two things will stop a submission regardless of the rest:</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Your answers must turn on the specific files attached. A submission that would read identically against a different codebase and a different dataset tells us the pack was skimmed.</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Case 2 must score six or above. If you cannot triage machine output, the rest does not matter for this seat.</w:t>
      </w:r>
    </w:p>
    <w:p>
      <w:pPr>
        <w:spacing w:after="110" w:before="120" w:line="270"/>
      </w:pPr>
      <w:r>
        <w:rPr>
          <w:rFonts w:ascii="Arial" w:cs="Arial" w:eastAsia="Arial" w:hAnsi="Arial"/>
          <w:b/>
          <w:bCs/>
          <w:i w:val="false"/>
          <w:iCs w:val="false"/>
          <w:color w:val="2B3A47"/>
          <w:sz w:val="19"/>
          <w:szCs w:val="19"/>
        </w:rPr>
        <w:t xml:space="preserve">We mark the case study before we look at your CV.</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rPr>
        <w:tc>
          <w:tcPr>
            <w:tcW w:type="dxa" w:w="10080"/>
            <w:tcBorders>
              <w:top w:val="none" w:color="FFFFFF" w:sz="0"/>
              <w:left w:val="single" w:color="D6006E" w:sz="18"/>
              <w:bottom w:val="none" w:color="FFFFFF" w:sz="0"/>
              <w:right w:val="none" w:color="FFFFFF" w:sz="0"/>
            </w:tcBorders>
            <w:shd w:fill="FBF3F7" w:color="auto" w:val="clear"/>
            <w:tcMar>
              <w:top w:type="dxa" w:w="180"/>
              <w:left w:type="dxa" w:w="220"/>
              <w:bottom w:type="dxa" w:w="180"/>
              <w:right w:type="dxa" w:w="220"/>
            </w:tcMar>
          </w:tcPr>
          <w:p>
            <w:pPr>
              <w:spacing w:after="80" w:before="0" w:line="270"/>
            </w:pPr>
            <w:r>
              <w:rPr>
                <w:rFonts w:ascii="Arial" w:cs="Arial" w:eastAsia="Arial" w:hAnsi="Arial"/>
                <w:b/>
                <w:bCs/>
                <w:i w:val="false"/>
                <w:iCs w:val="false"/>
                <w:color w:val="D6006E"/>
                <w:sz w:val="17"/>
                <w:szCs w:val="17"/>
              </w:rPr>
              <w:t xml:space="preserve">One thing worth knowing about how we read this</w:t>
            </w:r>
          </w:p>
          <w:p>
            <w:pPr>
              <w:spacing w:after="90" w:before="0" w:line="270"/>
            </w:pPr>
            <w:r>
              <w:rPr>
                <w:rFonts w:ascii="Arial" w:cs="Arial" w:eastAsia="Arial" w:hAnsi="Arial"/>
                <w:b w:val="false"/>
                <w:bCs w:val="false"/>
                <w:i w:val="false"/>
                <w:iCs w:val="false"/>
                <w:color w:val="2B3A47"/>
                <w:sz w:val="19"/>
                <w:szCs w:val="19"/>
              </w:rPr>
              <w:t xml:space="preserve">We ran matching_service.py through a frontier model ourselves before writing this exercise, which is where the twenty-seven findings came from. So we know what the tool returns unprompted.</w:t>
            </w:r>
          </w:p>
          <w:p>
            <w:pPr>
              <w:spacing w:after="0" w:before="0" w:line="270"/>
            </w:pPr>
            <w:r>
              <w:rPr>
                <w:rFonts w:ascii="Arial" w:cs="Arial" w:eastAsia="Arial" w:hAnsi="Arial"/>
                <w:b w:val="false"/>
                <w:bCs w:val="false"/>
                <w:i w:val="false"/>
                <w:iCs w:val="false"/>
                <w:color w:val="2B3A47"/>
                <w:sz w:val="19"/>
                <w:szCs w:val="19"/>
              </w:rPr>
              <w:t xml:space="preserve">Your marks are for what sits above that line — the prioritisation, the challenges, the context a general-purpose reviewer has no way to know. Volume of findings is not the measure.</w:t>
            </w:r>
          </w:p>
        </w:tc>
      </w:tr>
    </w:tbl>
    <w:p>
      <w:pPr>
        <w:spacing w:after="120" w:before="300" w:line="270"/>
      </w:pPr>
      <w:r>
        <w:rPr>
          <w:rFonts w:ascii="Arial" w:cs="Arial" w:eastAsia="Arial" w:hAnsi="Arial"/>
          <w:b/>
          <w:bCs/>
          <w:i w:val="false"/>
          <w:iCs w:val="false"/>
          <w:color w:val="0E1B2A"/>
          <w:sz w:val="26"/>
          <w:szCs w:val="26"/>
        </w:rPr>
        <w:t xml:space="preserve">How to submit</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One PDF. Put your name in the filename.</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Email it to recruiting@neonvest.ai.</w:t>
      </w:r>
    </w:p>
    <w:p>
      <w:pPr>
        <w:pStyle w:val="ListParagraph"/>
        <w:numPr>
          <w:ilvl w:val="0"/>
          <w:numId w:val="1"/>
        </w:numPr>
        <w:spacing w:after="70" w:line="265"/>
      </w:pPr>
      <w:r>
        <w:rPr>
          <w:rFonts w:ascii="Arial" w:cs="Arial" w:eastAsia="Arial" w:hAnsi="Arial"/>
          <w:b w:val="false"/>
          <w:bCs w:val="false"/>
          <w:i w:val="false"/>
          <w:iCs w:val="false"/>
          <w:color w:val="2B3A47"/>
          <w:sz w:val="19"/>
          <w:szCs w:val="19"/>
        </w:rPr>
        <w:t xml:space="preserve">Deadline: Sunday 20 September 2026, 11:59pm US Eastern. That is 9:29am IST on Monday 21 September, so a Sunday evening in India is still inside it. The date is the same for everyone regardless of when you confirmed.</w:t>
      </w:r>
    </w:p>
    <w:p>
      <w:pPr>
        <w:spacing w:after="110" w:before="110" w:line="270"/>
      </w:pPr>
      <w:r>
        <w:rPr>
          <w:rFonts w:ascii="Arial" w:cs="Arial" w:eastAsia="Arial" w:hAnsi="Arial"/>
          <w:b w:val="false"/>
          <w:bCs w:val="false"/>
          <w:i/>
          <w:iCs/>
          <w:color w:val="6B7A88"/>
          <w:sz w:val="18"/>
          <w:szCs w:val="18"/>
        </w:rPr>
        <w:t xml:space="preserve">If you have a question about the brief, ask — how you frame a question is also information.</w:t>
      </w:r>
    </w:p>
    <w:p>
      <w:pPr>
        <w:spacing w:after="110" w:before="200" w:line="270"/>
      </w:pPr>
    </w:p>
    <w:p>
      <w:pPr>
        <w:pBdr>
          <w:bottom w:val="single" w:color="D8E0E8" w:sz="8"/>
        </w:pBdr>
        <w:spacing w:after="0" w:before="0" w:line="20" w:lineRule="exact"/>
      </w:pPr>
    </w:p>
    <w:sectPr>
      <w:footerReference w:type="default" r:id="rId7"/>
      <w:pgSz w:w="12240" w:h="15840" w:orient="portrait"/>
      <w:pgMar w:top="1080" w:right="1080" w:bottom="900" w:left="108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8E0E8" w:sz="6"/>
      </w:pBdr>
      <w:spacing w:after="0" w:before="0" w:line="20" w:lineRule="exact"/>
    </w:pPr>
  </w:p>
  <w:p>
    <w:pPr>
      <w:tabs>
        <w:tab w:val="right" w:pos="10080"/>
      </w:tabs>
      <w:spacing w:before="90"/>
    </w:pPr>
    <w:r>
      <w:rPr>
        <w:rFonts w:ascii="Arial" w:cs="Arial" w:eastAsia="Arial" w:hAnsi="Arial"/>
        <w:color w:val="8A97A3"/>
        <w:sz w:val="15"/>
        <w:szCs w:val="15"/>
      </w:rPr>
      <w:t xml:space="preserve">neonVest  |  Founding Engineer, AI Platform — Case Study</w:t>
    </w:r>
    <w:r>
      <w:rPr>
        <w:rFonts w:ascii="Arial" w:cs="Arial" w:eastAsia="Arial" w:hAnsi="Arial"/>
      </w:rPr>
      <w:t xml:space="preserve">	</w:t>
    </w:r>
    <w:r>
      <w:rPr>
        <w:rFonts w:ascii="Arial" w:cs="Arial" w:eastAsia="Arial" w:hAnsi="Arial"/>
        <w:color w:val="8A97A3"/>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A4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2026-09-07T22:10:00.181Z</dcterms:created>
  <dcterms:modified xsi:type="dcterms:W3CDTF">2026-09-07T22:10:00.181Z</dcterms:modified>
</cp:coreProperties>
</file>

<file path=docProps/custom.xml><?xml version="1.0" encoding="utf-8"?>
<Properties xmlns="http://schemas.openxmlformats.org/officeDocument/2006/custom-properties" xmlns:vt="http://schemas.openxmlformats.org/officeDocument/2006/docPropsVTypes"/>
</file>