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200"/>
      </w:pPr>
      <w:r>
        <w:rPr>
          <w:rFonts w:ascii="Calibri" w:cs="Calibri" w:eastAsia="Calibri" w:hAnsi="Calibri"/>
          <w:b/>
          <w:bCs/>
          <w:color w:val="1F2D3D"/>
          <w:sz w:val="32"/>
          <w:szCs w:val="32"/>
        </w:rPr>
        <w:t xml:space="preserve">Question 7 — AI Workflow Reflection</w:t>
      </w:r>
    </w:p>
    <w:p>
      <w:pPr>
        <w:spacing w:after="80"/>
      </w:pP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color w:val="1A1A1A"/>
          <w:sz w:val="22"/>
          <w:szCs w:val="22"/>
        </w:rPr>
        <w:t xml:space="preserve">Three tools, different jobs.</w:t>
      </w:r>
    </w:p>
    <w:p>
      <w:pPr>
        <w:spacing w:after="8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3500"/>
        <w:gridCol w:w="4300"/>
      </w:tblGrid>
      <w:tr>
        <w:trPr>
          <w:tblHeader/>
        </w:trPr>
        <w:tc>
          <w:tcPr>
            <w:tcW w:type="dxa" w:w="1400"/>
            <w:tcBorders>
              <w:top w:val="none"/>
              <w:left w:val="none"/>
              <w:bottom w:val="none"/>
              <w:right w:val="none"/>
            </w:tcBorders>
            <w:shd w:fill="1F2D3D" w:val="clear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500"/>
            <w:tcBorders>
              <w:top w:val="none"/>
              <w:left w:val="none"/>
              <w:bottom w:val="none"/>
              <w:right w:val="none"/>
            </w:tcBorders>
            <w:shd w:fill="1F2D3D" w:val="clear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 used it for</w:t>
            </w:r>
          </w:p>
        </w:tc>
        <w:tc>
          <w:tcPr>
            <w:tcW w:type="dxa" w:w="4300"/>
            <w:tcBorders>
              <w:top w:val="none"/>
              <w:left w:val="none"/>
              <w:bottom w:val="none"/>
              <w:right w:val="none"/>
            </w:tcBorders>
            <w:shd w:fill="1F2D3D" w:val="clear"/>
          </w:tcPr>
          <w:p>
            <w:pPr>
              <w:spacing w:after="80" w:before="80"/>
              <w:ind w:left="14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 had to fix or override</w:t>
            </w:r>
          </w:p>
        </w:tc>
      </w:tr>
      <w:tr>
        <w:tc>
          <w:tcPr>
            <w:tcW w:type="dxa" w:w="1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</w:tcPr>
          <w:p>
            <w:pPr>
              <w:spacing w:after="60" w:before="60"/>
              <w:ind w:left="144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Claude</w:t>
            </w:r>
          </w:p>
        </w:tc>
        <w:tc>
          <w:tcPr>
            <w:tcW w:type="dxa" w:w="3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</w:tcPr>
          <w:p>
            <w:pPr>
              <w:spacing w:after="60" w:before="60"/>
              <w:ind w:left="144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Nestasia data exploration, competitive research, architecture and documents</w:t>
            </w:r>
          </w:p>
        </w:tc>
        <w:tc>
          <w:tcPr>
            <w:tcW w:type="dxa" w:w="43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</w:tcPr>
          <w:p>
            <w:pPr>
              <w:spacing w:after="60" w:before="60"/>
              <w:ind w:left="144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Couldn’t hit Nestasia directly from sandbox — used web fetch instead. Scoring weights and defensibility framing were my calls, not the tool’s.</w:t>
            </w:r>
          </w:p>
        </w:tc>
      </w:tr>
      <w:tr>
        <w:tc>
          <w:tcPr>
            <w:tcW w:type="dxa" w:w="1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4F7FB" w:val="clear"/>
          </w:tcPr>
          <w:p>
            <w:pPr>
              <w:spacing w:after="60" w:before="60"/>
              <w:ind w:left="144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Gemini</w:t>
            </w:r>
          </w:p>
        </w:tc>
        <w:tc>
          <w:tcPr>
            <w:tcW w:type="dxa" w:w="3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4F7FB" w:val="clear"/>
          </w:tcPr>
          <w:p>
            <w:pPr>
              <w:spacing w:after="60" w:before="60"/>
              <w:ind w:left="144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Building the actual nestasia_beacon.py pipeline and HTML report</w:t>
            </w:r>
          </w:p>
        </w:tc>
        <w:tc>
          <w:tcPr>
            <w:tcW w:type="dxa" w:w="43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4F7FB" w:val="clear"/>
          </w:tcPr>
          <w:p>
            <w:pPr>
              <w:spacing w:after="60" w:before="60"/>
              <w:ind w:left="144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Hit a Cloudflare 403 block, pivoted to Playwright headless Chromium. Found oembed pagination was broken — every page returned the same 50 products. Capped at 50 and disclosed it in the report rather than hiding it.</w:t>
            </w:r>
          </w:p>
        </w:tc>
      </w:tr>
      <w:tr>
        <w:tc>
          <w:tcPr>
            <w:tcW w:type="dxa" w:w="1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</w:tcPr>
          <w:p>
            <w:pPr>
              <w:spacing w:after="60" w:before="60"/>
              <w:ind w:left="144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ChatGPT</w:t>
            </w:r>
          </w:p>
        </w:tc>
        <w:tc>
          <w:tcPr>
            <w:tcW w:type="dxa" w:w="35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</w:tcPr>
          <w:p>
            <w:pPr>
              <w:spacing w:after="60" w:before="60"/>
              <w:ind w:left="144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Competitor positioning analysis, client FAQ framing
https://chatgpt.com/share/6aa93281-6108-83ee-bd6b-681a3b0937f6</w:t>
            </w:r>
            <w:r>
              <w:br/>
            </w:r>
            <w:r>
              <w:t>https://chatgpt.com/share/6aa94139-cb20-83ee-9432-6d0cc981c84c</w:t>
            </w:r>
          </w:p>
        </w:tc>
        <w:tc>
          <w:tcPr>
            <w:tcW w:type="dxa" w:w="43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</w:tcPr>
          <w:p>
            <w:pPr>
              <w:spacing w:after="60" w:before="60"/>
              <w:ind w:left="144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Output was generic — needed grounding in Swym’s actual merchant scale and data depth before it was usable.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color w:val="1A1A1A"/>
          <w:sz w:val="22"/>
          <w:szCs w:val="22"/>
        </w:rPr>
        <w:t xml:space="preserve">The judgment calls that mattered — which brand to pick, why cross-merchant benchmarks are the moat and not the AI interface, why FM-03 is P0 rather than P1 — none of those came from the tools. They came from looking at the actual data and asking what it means for a merchant running 1,000 SKUs with no intent capture. The tools handled speed and volume. The product thinking was mine.</w:t>
      </w:r>
    </w:p>
    <w:p>
      <w:pPr>
        <w:spacing w:after="80"/>
      </w:pP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color w:val="1A1A1A"/>
          <w:sz w:val="22"/>
          <w:szCs w:val="22"/>
        </w:rPr>
        <w:t xml:space="preserve">One limitation to note: </w:t>
      </w:r>
      <w:r>
        <w:rPr>
          <w:rFonts w:ascii="Calibri" w:cs="Calibri" w:eastAsia="Calibri" w:hAnsi="Calibri"/>
          <w:b w:val="false"/>
          <w:bCs w:val="false"/>
          <w:color w:val="1A1A1A"/>
          <w:sz w:val="22"/>
          <w:szCs w:val="22"/>
        </w:rPr>
        <w:t xml:space="preserve">the ChatGPT shared link is JavaScript-rendered and the conversation body doesn’t come through in a web fetch. I’ve referenced it by session title and what I know was covered. The full transcript is accessible at the link above.</w:t>
      </w: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2026-09-15T12:06:04.794Z</dcterms:created>
  <dcterms:modified xsi:type="dcterms:W3CDTF">2026-09-15T12:06:04.805Z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