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2D3D"/>
          <w:sz w:val="36"/>
          <w:szCs w:val="36"/>
        </w:rPr>
        <w:t xml:space="preserve">Beacon Product Builder — Claude AI Workflow Transcript</w:t>
      </w:r>
    </w:p>
    <w:p>
      <w:pPr>
        <w:spacing w:after="40"/>
      </w:pPr>
      <w:r>
        <w:rPr>
          <w:rFonts w:ascii="Calibri" w:cs="Calibri" w:eastAsia="Calibri" w:hAnsi="Calibri"/>
          <w:color w:val="718096"/>
          <w:sz w:val="18"/>
          <w:szCs w:val="18"/>
        </w:rPr>
        <w:t xml:space="preserve">Tool: Claude Sonnet (claude.ai)   |   Date: September 2026   |   Assignment: Swym Beacon Product Builder</w:t>
      </w:r>
    </w:p>
    <w:p>
      <w:pPr>
        <w:spacing w:after="200"/>
      </w:pPr>
      <w:r>
        <w:rPr>
          <w:rFonts w:ascii="Calibri" w:cs="Calibri" w:eastAsia="Calibri" w:hAnsi="Calibri"/>
          <w:color w:val="4A5568"/>
          <w:sz w:val="20"/>
          <w:szCs w:val="20"/>
        </w:rPr>
        <w:t xml:space="preserve">This transcript captures the key exchanges from the Claude session used for research, architecture, competitive analysis, and document generation across Parts 1, 2, and 3 of the assignment.</w:t>
      </w:r>
    </w:p>
    <w:p>
      <w:pPr>
        <w:pBdr>
          <w:bottom w:val="single" w:color="DDDDDD" w:sz="6" w:space="1"/>
        </w:pBdr>
        <w:spacing w:after="160" w:before="160"/>
      </w:pPr>
    </w:p>
    <w:p>
      <w:pPr>
        <w:pStyle w:val="Heading1"/>
        <w:spacing w:after="140" w:before="320"/>
      </w:pPr>
      <w:r>
        <w:rPr>
          <w:rFonts w:ascii="Calibri" w:cs="Calibri" w:eastAsia="Calibri" w:hAnsi="Calibri"/>
          <w:b/>
          <w:bCs/>
          <w:color w:val="1F2D3D"/>
          <w:sz w:val="32"/>
          <w:szCs w:val="32"/>
        </w:rPr>
        <w:t xml:space="preserve">Phase 1 — Store Selection</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It's a take home assignment for a technical role at https://www.getswym.com/ — let's first just discuss to understand what swym might be looking for, what this company does and why it's hiring.</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Swym is a shopper engagement and intent data platform built primarily on Shopify. Core products: Wishlist Plus, Save for Later, Back-in-Stock Alerts, Gift Registry. They sit at the gap between desire and purchase — capturing what shoppers want before they're ready to buy. Beacon is their new merchant intelligence layer: moving up the value chain from capturing intent data to reasoning over it and surfacing actionable insights. The assignment is testing: can you ship, do you understand merchant friction (not just technical friction), can you reason about defensibility honestly, and do you use AI well.</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which store you will choose?</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Considered Princess Polly, Gymshark, Steve Madden, Allbirds. Recommended Allbirds — mid-size DTC, publicly accessible catalog, sustainability-driven shoppers who browse carefully and return, lots of colorway/size variants. Then pivoted to Indian brands after pushback — shortlisted Minimalist, Nestasia, Vahdam Teas. Nestasia confirmed on Shopify Plus. Final recommendation: Nestasia. Home decor, gifting-heavy, large catalog, new launches weekly, Shopify Plus with Shopflo checkout layer.</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i see a heart symbol on Nestasia website. that's actually wishlist</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Confirmed — it's a localStorage-based wishlist, not Swym. No account sync, no data flowing anywhere, no ESP integration, no merchant dashboard. This is the gap. Shoppers are clicking the heart but those signals are disappearing. Zero data is being captured. This makes the assignment more compelling: "You have a wishlist button. You have zero wishlist intelligence."</w:t>
            </w:r>
          </w:p>
        </w:tc>
      </w:tr>
    </w:tbl>
    <w:p>
      <w:pPr>
        <w:spacing w:after="100"/>
      </w:pPr>
    </w:p>
    <w:p>
      <w:pPr>
        <w:pBdr>
          <w:bottom w:val="single" w:color="DDDDDD" w:sz="6" w:space="1"/>
        </w:pBdr>
        <w:spacing w:after="160" w:before="160"/>
      </w:pPr>
    </w:p>
    <w:p>
      <w:pPr>
        <w:pStyle w:val="Heading1"/>
        <w:spacing w:after="140" w:before="320"/>
      </w:pPr>
      <w:r>
        <w:rPr>
          <w:rFonts w:ascii="Calibri" w:cs="Calibri" w:eastAsia="Calibri" w:hAnsi="Calibri"/>
          <w:b/>
          <w:bCs/>
          <w:color w:val="1F2D3D"/>
          <w:sz w:val="32"/>
          <w:szCs w:val="32"/>
        </w:rPr>
        <w:t xml:space="preserve">Phase 2 — Nestasia Data Exploration</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dig deeper to understand any other signals are possible? ... dig more deeper</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Systematically probed every public Nestasia endpoint. Confirmed signals:
1. oembed endpoint: /collections/{handle}.oembed?page={n} — variants, prices, in_stock boolean per variant, SKU, thumbnail URL with version timestamp
2. Collection HTML filter panels — exposed Occasions tags with counts (Housewarming 886, Diwali 581, Wedding 446), Availability counts per collection
3. Product pages — live inventory count ("Only X left!"), both original and sale price (discount depth calculable), review count and rating
Key finding: In Nestasia's "What's Trending" collection — 1,064 out of 1,254 products (84.8%) are out of stock with zero recovery mechanism. That's the entire Beacon pitch for Nestasia in one number.</w:t>
            </w:r>
          </w:p>
        </w:tc>
      </w:tr>
    </w:tbl>
    <w:p>
      <w:pPr>
        <w:spacing w:after="100"/>
      </w:pPr>
    </w:p>
    <w:p>
      <w:pPr>
        <w:pBdr>
          <w:bottom w:val="single" w:color="DDDDDD" w:sz="6" w:space="1"/>
        </w:pBdr>
        <w:spacing w:after="160" w:before="160"/>
      </w:pPr>
    </w:p>
    <w:p>
      <w:pPr>
        <w:pStyle w:val="Heading1"/>
        <w:spacing w:after="140" w:before="320"/>
      </w:pPr>
      <w:r>
        <w:rPr>
          <w:rFonts w:ascii="Calibri" w:cs="Calibri" w:eastAsia="Calibri" w:hAnsi="Calibri"/>
          <w:b/>
          <w:bCs/>
          <w:color w:val="1F2D3D"/>
          <w:sz w:val="32"/>
          <w:szCs w:val="32"/>
        </w:rPr>
        <w:t xml:space="preserve">Phase 3 — Architecture &amp; Defensibility (Part 2)</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think deeply and check whether both sections are fully answered — Part 2: Q4 and Q5. headings should clearly show 4 and 5</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Identified that Q5 (Product Defensibility) was missing entirely from the Word document — only Q4 was covered. Rebuilt the document to include both. Q4 covers the 7-layer query pipeline (merchant context hydration, query classification, signal assembly across 4 tiers, scoring model, answer synthesis, action bridge, confidence surfacing, learning loop) plus 9 failure modes with P0/P1 severity ratings and a launch readiness checklist. Q5 covers: what has already been absorbed by Shopify/Klaviyo/Prediko, the three genuine moats (pre-purchase intent signal, cross-merchant benchmarks, omnichannel intent bridge), the 18-24 month window with a timeline table, the three-version test (commodity/integration/intelligence platform), and the discipline test.</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think deeploy beyond Nestasia, search for similar category brand across different geography where swym is already deployed</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Identified confirmed Swym customers across geographies: TOV Furniture (USA) — furniture brand, Swym case study, B2B AOV 4.2x site average. Dubarry of Ireland (UK/Ireland) — 7 international storefronts, 79% BIS email open rate, equestrian/heritage brand. Country Interiors (UK) — Cotswolds home decor, confirmed Swym install. Magnolia (USA) — Joanna Gaines brand, celebrity-driven demand spikes. Brighton (USA) — 700,000 customer preference records ingested into Swym wishlists, connected to Shopify POS for in-store clienteling. The cross-geography pattern: same three failure modes everywhere regardless of market — pre-OOS blind spot, multi-market variant problem, intent data silo.</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Now deep further deeper into competitor of swym and see what they are offering in similar segment</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Researched September 2026 competitive state. Key findings: Shopify Sidekick Winter 2026 now does restock recommendations from inventory velocity, days-of-stock calculations, and AI restock quantities — that feature is gone, do not compete there. Klaviyo K:AI Spring 2026 repositioned as "AI-first B2C CRM" with Next Best Product recommendations across email/SMS/RCS. Prediko does inventory forecasting 12 months forward with stockout revenue calculation. Growave commoditising BIS alerts. New entrants from uploaded competitor doc: Triple Whale (business performance analytics — "how did my business perform?" vs Beacon's "what do shoppers want right now?") and Bloomreach (shopper personalization — different buyer, different layer). Beacon's uncontested space: pre-purchase intent + cross-merchant benchmarks + confidence calibration. No competitor occupies that quadrant.</w:t>
            </w:r>
          </w:p>
        </w:tc>
      </w:tr>
    </w:tbl>
    <w:p>
      <w:pPr>
        <w:spacing w:after="100"/>
      </w:pPr>
    </w:p>
    <w:p>
      <w:pPr>
        <w:pBdr>
          <w:bottom w:val="single" w:color="DDDDDD" w:sz="6" w:space="1"/>
        </w:pBdr>
        <w:spacing w:after="160" w:before="160"/>
      </w:pPr>
    </w:p>
    <w:p>
      <w:pPr>
        <w:pStyle w:val="Heading1"/>
        <w:spacing w:after="140" w:before="320"/>
      </w:pPr>
      <w:r>
        <w:rPr>
          <w:rFonts w:ascii="Calibri" w:cs="Calibri" w:eastAsia="Calibri" w:hAnsi="Calibri"/>
          <w:b/>
          <w:bCs/>
          <w:color w:val="1F2D3D"/>
          <w:sz w:val="32"/>
          <w:szCs w:val="32"/>
        </w:rPr>
        <w:t xml:space="preserve">Phase 4 — Document Generation &amp; Iteration</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create a folder with answers and explanations. FAQ by clients with respect to competitor analysis. Do not just try to answer question. It's a long term product strategy that i have to justify to engineering team.</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Generated 6-document strategy folder: 00_README (master index + investment thesis), 01_query_to_answer_architecture (7-layer pipeline spec), 02_failure_modes_and_safeguards (13 failure modes, P0-P3 severity, launch checklist), 03_defensibility_strategy (three moats, 18-24 month window, three-version test), 04_competitor_deep_dive (Shopify/Klaviyo/Prediko/Growave/Triple Whale/Bloomreach), 05_client_faq (14 scripted answers for sales/CSM), 06_engineering_justification (build vs buy decisions, phase sequence, team requirements, legal review requirement).</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01 query to answer architecture file should be a word document with bit more concise info. Combine 02 failure modes and safeguards into it. More like a human engineer has written it, which will go in confluence page upload.</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Built beacon_architecture_v2.docx using docx npm library. Dark navy headers, blue left-border note boxes for insights, amber left-border boxes for warnings, code blocks in Courier New on grey background. Rendered to PDF for visual verification across each iteration. Multiple rounds of feedback incorporated: removed verbose paragraph, clarified BIS comment in code block, removed cover page, removed headers/footers, fixed heading numbers to show Q4/Q5 explicitly, added Q5 defensibility section which was missing entirely, added ambiguous query handling section.</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got this answer from another review — anything useful can be taken from here? [uploaded competitor analysis HTML]</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Read the uploaded HTML. Identified three genuinely useful additions: (1) Triple Whale and Bloomreach as missing competitors — added full sections to competitor deep dive with positioning distinctions and threat trajectories. (2) Deterministic-first design principle: "Metrics, aggregation, ranking, thresholds and business calculations should come from structured systems. The LLM should not be the source of truth for numeric facts." Added to Layer 3 of the Word doc. (3) FM-09: Compute cost at 50,000 store scale — running a full LLM pass per query per store is economically unviable; fix is to precompute signal aggregation on batch pipeline, reserve LLM for final synthesis only. Added with code block showing architecture split.</w:t>
            </w:r>
          </w:p>
        </w:tc>
      </w:tr>
    </w:tbl>
    <w:p>
      <w:pPr>
        <w:spacing w:after="100"/>
      </w:pPr>
    </w:p>
    <w:p>
      <w:pPr>
        <w:pBdr>
          <w:bottom w:val="single" w:color="DDDDDD" w:sz="6" w:space="1"/>
        </w:pBdr>
        <w:spacing w:after="160" w:before="160"/>
      </w:pPr>
    </w:p>
    <w:p>
      <w:pPr>
        <w:pStyle w:val="Heading1"/>
        <w:spacing w:after="140" w:before="320"/>
      </w:pPr>
      <w:r>
        <w:rPr>
          <w:rFonts w:ascii="Calibri" w:cs="Calibri" w:eastAsia="Calibri" w:hAnsi="Calibri"/>
          <w:b/>
          <w:bCs/>
          <w:color w:val="1F2D3D"/>
          <w:sz w:val="32"/>
          <w:szCs w:val="32"/>
        </w:rPr>
        <w:t xml:space="preserve">Phase 5 — Part 3: Discovery &amp; Reflection</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move on to Part 3: Q6 Product Discovery &amp; Prioritization, Q7 AI Transcript / Reflection</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Q6: Built a four-layer discovery framework specific to Beacon's situation (not generic PM frameworks). Layer 1: Signal-first problem discovery — start with what the data already shows before any merchant interview. Layer 2: Merchant archetype segmentation — 5 archetypes (gifting brand, drop brand, B2B, omnichannel, new merchant) each with distinct signal pattern and Beacon priority. Layer 3: Three-filter prioritization test — intent data dependency, same-session action proximity, measurable outcome. Applied to 6 feature candidates with explicit verdicts. Layer 4: Activation over feature count — role is in Founder's Office, success metric is activation not features shipped. Closes with phased roadmap table. Q7: Initial verbose version rejected. Rebuilt as one-page document: three-word opener, one table (tool / what it did / what I had to fix), two closing paragraphs. No sections, no headers beyond the title.</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182CE" w:sz="12"/>
              <w:bottom w:val="none"/>
              <w:right w:val="none"/>
            </w:tcBorders>
            <w:shd w:fill="EBF4FF" w:val="clear"/>
          </w:tcPr>
          <w:p>
            <w:pPr>
              <w:spacing w:after="40" w:before="60"/>
              <w:ind w:left="215"/>
            </w:pPr>
            <w:r>
              <w:rPr>
                <w:rFonts w:ascii="Calibri" w:cs="Calibri" w:eastAsia="Calibri" w:hAnsi="Calibri"/>
                <w:b/>
                <w:bCs/>
                <w:color w:val="2C5282"/>
                <w:sz w:val="16"/>
                <w:szCs w:val="16"/>
              </w:rPr>
              <w:t xml:space="preserve">YOU</w:t>
            </w:r>
          </w:p>
          <w:p>
            <w:pPr>
              <w:spacing w:after="80" w:before="0"/>
              <w:ind w:left="215"/>
            </w:pPr>
            <w:r>
              <w:rPr>
                <w:rFonts w:ascii="Calibri" w:cs="Calibri" w:eastAsia="Calibri" w:hAnsi="Calibri"/>
                <w:color w:val="1A1A1A"/>
                <w:sz w:val="20"/>
                <w:szCs w:val="20"/>
              </w:rPr>
              <w:t xml:space="preserve">i don't want such verbose writeup [for Q7]</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tcW w:type="dxa" w:w="9200"/>
            <w:tcBorders>
              <w:top w:val="none"/>
              <w:left w:val="thick" w:color="38A169" w:sz="12"/>
              <w:bottom w:val="none"/>
              <w:right w:val="none"/>
            </w:tcBorders>
            <w:shd w:fill="F7F9FC" w:val="clear"/>
          </w:tcPr>
          <w:p>
            <w:pPr>
              <w:spacing w:after="40" w:before="60"/>
              <w:ind w:left="215"/>
            </w:pPr>
            <w:r>
              <w:rPr>
                <w:rFonts w:ascii="Calibri" w:cs="Calibri" w:eastAsia="Calibri" w:hAnsi="Calibri"/>
                <w:b/>
                <w:bCs/>
                <w:color w:val="276749"/>
                <w:sz w:val="16"/>
                <w:szCs w:val="16"/>
              </w:rPr>
              <w:t xml:space="preserve">CLAUDE</w:t>
            </w:r>
          </w:p>
          <w:p>
            <w:pPr>
              <w:spacing w:after="80" w:before="0"/>
              <w:ind w:left="215"/>
            </w:pPr>
            <w:r>
              <w:rPr>
                <w:rFonts w:ascii="Calibri" w:cs="Calibri" w:eastAsia="Calibri" w:hAnsi="Calibri"/>
                <w:color w:val="1A1A1A"/>
                <w:sz w:val="20"/>
                <w:szCs w:val="20"/>
              </w:rPr>
              <w:t xml:space="preserve">Stripped to one page: "Three tools, different jobs." Table with three rows — Claude, Gemini, ChatGPT — each showing what it did and what needed overriding. One paragraph on where the judgment calls actually came from. One honest limitation paragraph about the ChatGPT link not rendering. No section headers, no bullets, no structure beyond the table.</w:t>
            </w:r>
          </w:p>
        </w:tc>
      </w:tr>
    </w:tbl>
    <w:p>
      <w:pPr>
        <w:spacing w:after="100"/>
      </w:pPr>
    </w:p>
    <w:p>
      <w:pPr>
        <w:pBdr>
          <w:bottom w:val="single" w:color="DDDDDD" w:sz="6" w:space="1"/>
        </w:pBdr>
        <w:spacing w:after="160" w:before="160"/>
      </w:pPr>
    </w:p>
    <w:p>
      <w:pPr>
        <w:pStyle w:val="Heading1"/>
        <w:spacing w:after="140" w:before="320"/>
      </w:pPr>
      <w:r>
        <w:rPr>
          <w:rFonts w:ascii="Calibri" w:cs="Calibri" w:eastAsia="Calibri" w:hAnsi="Calibri"/>
          <w:b/>
          <w:bCs/>
          <w:color w:val="1F2D3D"/>
          <w:sz w:val="32"/>
          <w:szCs w:val="32"/>
        </w:rPr>
        <w:t xml:space="preserve">Deliverables Produced in This Session</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000"/>
        <w:gridCol w:w="2000"/>
      </w:tblGrid>
      <w:tr>
        <w:trPr>
          <w:tblHeader/>
        </w:trPr>
        <w:tc>
          <w:tcPr>
            <w:tcW w:type="dxa" w:w="3200"/>
            <w:tcBorders>
              <w:top w:val="none"/>
              <w:left w:val="none"/>
              <w:bottom w:val="none"/>
              <w:right w:val="none"/>
            </w:tcBorders>
            <w:shd w:fill="1F2D3D" w:val="clear"/>
          </w:tcPr>
          <w:p>
            <w:pPr>
              <w:spacing w:after="80" w:before="80"/>
              <w:ind w:left="144"/>
            </w:pPr>
            <w:r>
              <w:rPr>
                <w:rFonts w:ascii="Calibri" w:cs="Calibri" w:eastAsia="Calibri" w:hAnsi="Calibri"/>
                <w:b/>
                <w:bCs/>
                <w:color w:val="FFFFFF"/>
                <w:sz w:val="20"/>
                <w:szCs w:val="20"/>
              </w:rPr>
              <w:t xml:space="preserve">File</w:t>
            </w:r>
          </w:p>
        </w:tc>
        <w:tc>
          <w:tcPr>
            <w:tcW w:type="dxa" w:w="4000"/>
            <w:tcBorders>
              <w:top w:val="none"/>
              <w:left w:val="none"/>
              <w:bottom w:val="none"/>
              <w:right w:val="none"/>
            </w:tcBorders>
            <w:shd w:fill="1F2D3D" w:val="clear"/>
          </w:tcPr>
          <w:p>
            <w:pPr>
              <w:spacing w:after="80" w:before="80"/>
              <w:ind w:left="144"/>
            </w:pPr>
            <w:r>
              <w:rPr>
                <w:rFonts w:ascii="Calibri" w:cs="Calibri" w:eastAsia="Calibri" w:hAnsi="Calibri"/>
                <w:b/>
                <w:bCs/>
                <w:color w:val="FFFFFF"/>
                <w:sz w:val="20"/>
                <w:szCs w:val="20"/>
              </w:rPr>
              <w:t xml:space="preserve">Contents</w:t>
            </w:r>
          </w:p>
        </w:tc>
        <w:tc>
          <w:tcPr>
            <w:tcW w:type="dxa" w:w="2000"/>
            <w:tcBorders>
              <w:top w:val="none"/>
              <w:left w:val="none"/>
              <w:bottom w:val="none"/>
              <w:right w:val="none"/>
            </w:tcBorders>
            <w:shd w:fill="1F2D3D" w:val="clear"/>
          </w:tcPr>
          <w:p>
            <w:pPr>
              <w:spacing w:after="80" w:before="80"/>
              <w:ind w:left="144"/>
            </w:pPr>
            <w:r>
              <w:rPr>
                <w:rFonts w:ascii="Calibri" w:cs="Calibri" w:eastAsia="Calibri" w:hAnsi="Calibri"/>
                <w:b/>
                <w:bCs/>
                <w:color w:val="FFFFFF"/>
                <w:sz w:val="20"/>
                <w:szCs w:val="20"/>
              </w:rPr>
              <w:t xml:space="preserve">Assignment Part</w:t>
            </w:r>
          </w:p>
        </w:tc>
      </w:tr>
      <w:tr>
        <w:tc>
          <w:tcPr>
            <w:tcW w:type="dxa" w:w="32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beacon_architecture_v2.docx</w:t>
            </w:r>
          </w:p>
        </w:tc>
        <w:tc>
          <w:tcPr>
            <w:tcW w:type="dxa" w:w="4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Q4: 7-layer query pipeline + 9 failure modes + Q5: defensibility, three moats, 18-24 month window</w:t>
            </w:r>
          </w:p>
        </w:tc>
        <w:tc>
          <w:tcPr>
            <w:tcW w:type="dxa" w:w="2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Part 2 (Q4 + Q5)</w:t>
            </w:r>
          </w:p>
        </w:tc>
      </w:tr>
      <w:tr>
        <w:tc>
          <w:tcPr>
            <w:tcW w:type="dxa" w:w="32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beacon_q6_discovery.docx</w:t>
            </w:r>
          </w:p>
        </w:tc>
        <w:tc>
          <w:tcPr>
            <w:tcW w:type="dxa" w:w="40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Four-layer discovery framework, merchant archetypes, three-filter prioritization, phased roadmap</w:t>
            </w:r>
          </w:p>
        </w:tc>
        <w:tc>
          <w:tcPr>
            <w:tcW w:type="dxa" w:w="20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Part 3 (Q6)</w:t>
            </w:r>
          </w:p>
        </w:tc>
      </w:tr>
      <w:tr>
        <w:tc>
          <w:tcPr>
            <w:tcW w:type="dxa" w:w="32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beacon_q7_reflection.docx</w:t>
            </w:r>
          </w:p>
        </w:tc>
        <w:tc>
          <w:tcPr>
            <w:tcW w:type="dxa" w:w="4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One-page AI workflow reflection across Claude, Gemini, ChatGPT</w:t>
            </w:r>
          </w:p>
        </w:tc>
        <w:tc>
          <w:tcPr>
            <w:tcW w:type="dxa" w:w="2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Part 3 (Q7)</w:t>
            </w:r>
          </w:p>
        </w:tc>
      </w:tr>
      <w:tr>
        <w:tc>
          <w:tcPr>
            <w:tcW w:type="dxa" w:w="32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04_competitor_deep_dive.md</w:t>
            </w:r>
          </w:p>
        </w:tc>
        <w:tc>
          <w:tcPr>
            <w:tcW w:type="dxa" w:w="40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Shopify, Klaviyo, Prediko, Growave, Triple Whale, Bloomreach — current state + gap matrix</w:t>
            </w:r>
          </w:p>
        </w:tc>
        <w:tc>
          <w:tcPr>
            <w:tcW w:type="dxa" w:w="20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Part 2 (Q5)</w:t>
            </w:r>
          </w:p>
        </w:tc>
      </w:tr>
      <w:tr>
        <w:tc>
          <w:tcPr>
            <w:tcW w:type="dxa" w:w="32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05_client_faq.md</w:t>
            </w:r>
          </w:p>
        </w:tc>
        <w:tc>
          <w:tcPr>
            <w:tcW w:type="dxa" w:w="4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14 scripted merchant FAQ answers vs. each competitor</w:t>
            </w:r>
          </w:p>
        </w:tc>
        <w:tc>
          <w:tcPr>
            <w:tcW w:type="dxa" w:w="2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Part 2 (Q5)</w:t>
            </w:r>
          </w:p>
        </w:tc>
      </w:tr>
      <w:tr>
        <w:tc>
          <w:tcPr>
            <w:tcW w:type="dxa" w:w="32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06_engineering_justification.md</w:t>
            </w:r>
          </w:p>
        </w:tc>
        <w:tc>
          <w:tcPr>
            <w:tcW w:type="dxa" w:w="40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Build vs buy decisions, phase sequence, team requirements, legal review</w:t>
            </w:r>
          </w:p>
        </w:tc>
        <w:tc>
          <w:tcPr>
            <w:tcW w:type="dxa" w:w="2000"/>
            <w:tcBorders>
              <w:top w:val="single" w:color="E2E8F0" w:sz="4"/>
              <w:left w:val="single" w:color="E2E8F0" w:sz="4"/>
              <w:bottom w:val="single" w:color="E2E8F0" w:sz="4"/>
              <w:right w:val="single" w:color="E2E8F0" w:sz="4"/>
            </w:tcBorders>
            <w:shd w:fill="F4F7FB" w:val="clear"/>
          </w:tcPr>
          <w:p>
            <w:pPr>
              <w:spacing w:after="60" w:before="60"/>
              <w:ind w:left="144"/>
            </w:pPr>
            <w:r>
              <w:rPr>
                <w:rFonts w:ascii="Calibri" w:cs="Calibri" w:eastAsia="Calibri" w:hAnsi="Calibri"/>
                <w:color w:val="1A1A1A"/>
                <w:sz w:val="19"/>
                <w:szCs w:val="19"/>
              </w:rPr>
              <w:t xml:space="preserve">Part 2 (Q4)</w:t>
            </w:r>
          </w:p>
        </w:tc>
      </w:tr>
      <w:tr>
        <w:tc>
          <w:tcPr>
            <w:tcW w:type="dxa" w:w="32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nestasia_beacon.py</w:t>
            </w:r>
          </w:p>
        </w:tc>
        <w:tc>
          <w:tcPr>
            <w:tcW w:type="dxa" w:w="4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Working pipeline: oembed sweep, facet extraction, product-page deep dive, scoring, HTML report (built via Gemini)</w:t>
            </w:r>
          </w:p>
        </w:tc>
        <w:tc>
          <w:tcPr>
            <w:tcW w:type="dxa" w:w="2000"/>
            <w:tcBorders>
              <w:top w:val="single" w:color="E2E8F0" w:sz="4"/>
              <w:left w:val="single" w:color="E2E8F0" w:sz="4"/>
              <w:bottom w:val="single" w:color="E2E8F0" w:sz="4"/>
              <w:right w:val="single" w:color="E2E8F0" w:sz="4"/>
            </w:tcBorders>
            <w:shd w:fill="FFFFFF" w:val="clear"/>
          </w:tcPr>
          <w:p>
            <w:pPr>
              <w:spacing w:after="60" w:before="60"/>
              <w:ind w:left="144"/>
            </w:pPr>
            <w:r>
              <w:rPr>
                <w:rFonts w:ascii="Calibri" w:cs="Calibri" w:eastAsia="Calibri" w:hAnsi="Calibri"/>
                <w:color w:val="1A1A1A"/>
                <w:sz w:val="19"/>
                <w:szCs w:val="19"/>
              </w:rPr>
              <w:t xml:space="preserve">Part 1</w:t>
            </w:r>
          </w:p>
        </w:tc>
      </w:tr>
    </w:tbl>
    <w:p>
      <w:pPr>
        <w:spacing w:after="100"/>
      </w:pPr>
    </w:p>
    <w:p>
      <w:pPr>
        <w:spacing w:after="100"/>
      </w:pPr>
    </w:p>
    <w:p>
      <w:pPr>
        <w:spacing w:after="100"/>
        <w:jc w:val="center"/>
      </w:pPr>
      <w:r>
        <w:rPr>
          <w:rFonts w:ascii="Calibri" w:cs="Calibri" w:eastAsia="Calibri" w:hAnsi="Calibri"/>
          <w:i/>
          <w:iCs/>
          <w:color w:val="718096"/>
          <w:sz w:val="18"/>
          <w:szCs w:val="18"/>
        </w:rPr>
        <w:t xml:space="preserve">Full Gemini session: https://gemini.google.com/app/b098e8eb2475b076   |   Full ChatGPT session: https://chatgpt.com/share/6aa93281-6108-83ee-bd6b-681a3b0937f6</w:t>
      </w:r>
    </w:p>
    <w:p>
      <w:pPr>
        <w:spacing w:after="100"/>
        <w:jc w:val="center"/>
      </w:pPr>
      <w:r>
        <w:rPr>
          <w:rFonts w:ascii="Calibri" w:cs="Calibri" w:eastAsia="Calibri" w:hAnsi="Calibri"/>
          <w:i/>
          <w:iCs/>
          <w:color w:val="718096"/>
          <w:sz w:val="18"/>
          <w:szCs w:val="18"/>
        </w:rPr>
        <w:t xml:space="preserve">Claude does not generate shareable conversation links. This document serves as the Claude session transcript for submission.</w:t>
      </w:r>
    </w:p>
    <w:sectPr>
      <w:pgSz w:w="11906" w:h="16838" w:orient="portrait"/>
      <w:pgMar w:top="1296" w:right="1584"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2026-09-15T12:56:40.098Z</dcterms:created>
  <dcterms:modified xsi:type="dcterms:W3CDTF">2026-09-15T12:56:40.106Z</dcterms:modified>
</cp:coreProperties>
</file>

<file path=docProps/custom.xml><?xml version="1.0" encoding="utf-8"?>
<Properties xmlns="http://schemas.openxmlformats.org/officeDocument/2006/custom-properties" xmlns:vt="http://schemas.openxmlformats.org/officeDocument/2006/docPropsVTypes"/>
</file>