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2D3D"/>
          <w:sz w:val="32"/>
          <w:szCs w:val="32"/>
        </w:rPr>
        <w:t xml:space="preserve">Question 7 — AI Workflow Reflection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Three tools, different jobs.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3500"/>
        <w:gridCol w:w="4300"/>
      </w:tblGrid>
      <w:tr>
        <w:trPr>
          <w:tblHeader/>
        </w:trP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00"/>
            <w:tcBorders>
              <w:top w:val="none"/>
              <w:left w:val="none"/>
              <w:bottom w:val="none"/>
              <w:right w:val="none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used it for</w:t>
            </w:r>
          </w:p>
        </w:tc>
        <w:tc>
          <w:tcPr>
            <w:tcW w:type="dxa" w:w="4300"/>
            <w:tcBorders>
              <w:top w:val="none"/>
              <w:left w:val="none"/>
              <w:bottom w:val="none"/>
              <w:right w:val="none"/>
            </w:tcBorders>
            <w:shd w:fill="1F2D3D" w:val="clear"/>
          </w:tcPr>
          <w:p>
            <w:pPr>
              <w:spacing w:after="80" w:before="80"/>
              <w:ind w:left="1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 had to fix or override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Claude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Nestasia data exploration, competitive research, architecture and documents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Couldn’t hit Nestasia directly from sandbox — used web fetch instead. Scoring weights and defensibility framing were my calls, not the tool’s.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7FB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Gemini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7FB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Building the actual nestasia_beacon.py pipeline and HTML report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4F7FB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Hit a Cloudflare 403 block, pivoted to Playwright headless Chromium. Found oembed pagination was broken — every page returned the same 50 products. Capped at 50 and disclosed it in the report rather than hiding it.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ChatGPT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Competitor positioning analysis, client FAQ framing
https://chatgpt.com/share/6aa93281-6108-83ee-bd6b-681a3b0937f6</w:t>
            </w:r>
          </w:p>
        </w:tc>
        <w:tc>
          <w:tcPr>
            <w:tcW w:type="dxa" w:w="4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</w:tcPr>
          <w:p>
            <w:pPr>
              <w:spacing w:after="60" w:before="60"/>
              <w:ind w:left="14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Output was generic — needed grounding in Swym’s actual merchant scale and data depth before it was usable.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judgment calls that mattered — which brand to pick, why cross-merchant benchmarks are the moat and not the AI interface, why FM-03 is P0 rather than P1 — none of those came from the tools. They came from looking at the actual data and asking what it means for a merchant running 1,000 SKUs with no intent capture. The tools handled speed and volume. The product thinking was mine.</w:t>
      </w:r>
    </w:p>
    <w:p>
      <w:pPr>
        <w:spacing w:after="80"/>
      </w:pP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One limitation to note: </w:t>
      </w: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the ChatGPT shared link is JavaScript-rendered and the conversation body doesn’t come through in a web fetch. I’ve referenced it by session title and what I know was covered. The full transcript is accessible at the link above.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2026-09-15T12:06:04.794Z</dcterms:created>
  <dcterms:modified xsi:type="dcterms:W3CDTF">2026-09-15T12:06:04.805Z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