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400"/>
      </w:pPr>
      <w:r>
        <w:rPr>
          <w:rFonts w:ascii="Calibri" w:cs="Calibri" w:eastAsia="Calibri" w:hAnsi="Calibri"/>
          <w:b/>
          <w:bCs/>
          <w:color w:val="1F2D3D"/>
          <w:sz w:val="36"/>
          <w:szCs w:val="36"/>
        </w:rPr>
        <w:t xml:space="preserve">Question 6 — Product Discovery &amp; Prioritization</w:t>
      </w:r>
    </w:p>
    <w:p>
      <w:pPr>
        <w:spacing w:after="100"/>
      </w:pPr>
      <w:r>
        <w:rPr>
          <w:rFonts w:ascii="Calibri" w:cs="Calibri" w:eastAsia="Calibri" w:hAnsi="Calibri"/>
          <w:color w:val="1A1A1A"/>
          <w:sz w:val="22"/>
          <w:szCs w:val="22"/>
        </w:rPr>
        <w:t xml:space="preserve">Framework for identifying high-value merchant problems and deciding which features to prioritize for Beacon.</w:t>
      </w:r>
    </w:p>
    <w:p>
      <w:pPr>
        <w:spacing w:after="80"/>
      </w:pPr>
    </w:p>
    <w:p>
      <w:pPr>
        <w:pStyle w:val="Heading2"/>
        <w:spacing w:after="120" w:before="320"/>
      </w:pPr>
      <w:r>
        <w:rPr>
          <w:rFonts w:ascii="Calibri" w:cs="Calibri" w:eastAsia="Calibri" w:hAnsi="Calibri"/>
          <w:b/>
          <w:bCs/>
          <w:color w:val="1F2D3D"/>
          <w:sz w:val="28"/>
          <w:szCs w:val="28"/>
        </w:rPr>
        <w:t xml:space="preserve">Why Standard PM Frameworks Break for Beacon</w:t>
      </w:r>
    </w:p>
    <w:p>
      <w:pPr>
        <w:spacing w:after="100"/>
      </w:pPr>
      <w:r>
        <w:rPr>
          <w:rFonts w:ascii="Calibri" w:cs="Calibri" w:eastAsia="Calibri" w:hAnsi="Calibri"/>
          <w:color w:val="1A1A1A"/>
          <w:sz w:val="22"/>
          <w:szCs w:val="22"/>
        </w:rPr>
        <w:t xml:space="preserve">Standard discovery frameworks — user interviews, RICE scoring, impact vs. effort — assume you are starting with unknown problems. Beacon is different. Swym already has 64,600 stores generating intent signals. The problems are not unknown; they are visible in the data but unspoken by merchants.</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single" w:color="F6C90E" w:sz="4"/>
              <w:left w:val="thick" w:color="D97706" w:sz="12"/>
              <w:bottom w:val="single" w:color="F6C90E" w:sz="4"/>
              <w:right w:val="none"/>
            </w:tcBorders>
            <w:shd w:fill="FFFBEB" w:val="clear"/>
          </w:tcPr>
          <w:p>
            <w:pPr>
              <w:spacing w:after="80" w:before="80"/>
              <w:ind w:left="215"/>
            </w:pPr>
            <w:r>
              <w:rPr>
                <w:rFonts w:ascii="Calibri" w:cs="Calibri" w:eastAsia="Calibri" w:hAnsi="Calibri"/>
                <w:color w:val="1A1A1A"/>
                <w:sz w:val="20"/>
                <w:szCs w:val="20"/>
              </w:rPr>
              <w:t xml:space="preserve">The discovery trap: asking merchants "what do you need?" surfaces feature requests, not problems. A merchant does not say "I need cross-merchant OOS benchmarks." They say "I never know how much to reorder." The framework has to close that gap.</w:t>
            </w:r>
          </w:p>
        </w:tc>
      </w:tr>
    </w:tbl>
    <w:p>
      <w:pPr>
        <w:spacing w:after="80"/>
      </w:pPr>
    </w:p>
    <w:p>
      <w:pPr>
        <w:pStyle w:val="Heading2"/>
        <w:spacing w:after="120" w:before="320"/>
      </w:pPr>
      <w:r>
        <w:rPr>
          <w:rFonts w:ascii="Calibri" w:cs="Calibri" w:eastAsia="Calibri" w:hAnsi="Calibri"/>
          <w:b/>
          <w:bCs/>
          <w:color w:val="1F2D3D"/>
          <w:sz w:val="28"/>
          <w:szCs w:val="28"/>
        </w:rPr>
        <w:t xml:space="preserve">The Four-Layer Discovery Framework</w:t>
      </w:r>
    </w:p>
    <w:p>
      <w:pPr>
        <w:spacing w:after="80"/>
      </w:pPr>
    </w:p>
    <w:p>
      <w:pPr>
        <w:pStyle w:val="Heading3"/>
        <w:spacing w:after="80" w:before="240"/>
      </w:pPr>
      <w:r>
        <w:rPr>
          <w:rFonts w:ascii="Calibri" w:cs="Calibri" w:eastAsia="Calibri" w:hAnsi="Calibri"/>
          <w:b/>
          <w:bCs/>
          <w:color w:val="2C5282"/>
          <w:sz w:val="24"/>
          <w:szCs w:val="24"/>
        </w:rPr>
        <w:t xml:space="preserve">Layer 1 — Signal-First Problem Discovery</w:t>
      </w:r>
    </w:p>
    <w:p>
      <w:pPr>
        <w:spacing w:after="100"/>
      </w:pPr>
      <w:r>
        <w:rPr>
          <w:rFonts w:ascii="Calibri" w:cs="Calibri" w:eastAsia="Calibri" w:hAnsi="Calibri"/>
          <w:color w:val="1A1A1A"/>
          <w:sz w:val="22"/>
          <w:szCs w:val="22"/>
        </w:rPr>
        <w:t xml:space="preserve">Start with what the data already shows, before talking to any merchant. Swym's event store surfaces problems merchants have not articulated:</w:t>
      </w:r>
    </w:p>
    <w:p>
      <w:pPr>
        <w:spacing w:after="80"/>
      </w:pPr>
    </w:p>
    <w:p>
      <w:pPr>
        <w:pStyle w:val="ListParagraph"/>
        <w:numPr>
          <w:ilvl w:val="0"/>
          <w:numId w:val="1"/>
        </w:numPr>
        <w:spacing w:after="80"/>
        <w:ind w:left="360"/>
      </w:pPr>
      <w:r>
        <w:rPr>
          <w:rFonts w:ascii="Calibri" w:cs="Calibri" w:eastAsia="Calibri" w:hAnsi="Calibri"/>
          <w:color w:val="1A1A1A"/>
          <w:sz w:val="22"/>
          <w:szCs w:val="22"/>
        </w:rPr>
        <w:t xml:space="preserve">Which merchants have the highest OOS rates but the lowest BIS subscriber density? That gap is a problem.</w:t>
      </w:r>
    </w:p>
    <w:p>
      <w:pPr>
        <w:pStyle w:val="ListParagraph"/>
        <w:numPr>
          <w:ilvl w:val="0"/>
          <w:numId w:val="1"/>
        </w:numPr>
        <w:spacing w:after="80"/>
        <w:ind w:left="360"/>
      </w:pPr>
      <w:r>
        <w:rPr>
          <w:rFonts w:ascii="Calibri" w:cs="Calibri" w:eastAsia="Calibri" w:hAnsi="Calibri"/>
          <w:color w:val="1A1A1A"/>
          <w:sz w:val="22"/>
          <w:szCs w:val="22"/>
        </w:rPr>
        <w:t xml:space="preserve">Which merchants have rising wishlist velocity but no connected ESP to act on it? That gap is a problem.</w:t>
      </w:r>
    </w:p>
    <w:p>
      <w:pPr>
        <w:pStyle w:val="ListParagraph"/>
        <w:numPr>
          <w:ilvl w:val="0"/>
          <w:numId w:val="1"/>
        </w:numPr>
        <w:spacing w:after="80"/>
        <w:ind w:left="360"/>
      </w:pPr>
      <w:r>
        <w:rPr>
          <w:rFonts w:ascii="Calibri" w:cs="Calibri" w:eastAsia="Calibri" w:hAnsi="Calibri"/>
          <w:color w:val="1A1A1A"/>
          <w:sz w:val="22"/>
          <w:szCs w:val="22"/>
        </w:rPr>
        <w:t xml:space="preserve">Which merchants' BIS emails have low open rates despite high subscriber counts? That is a campaign quality problem.</w:t>
      </w:r>
    </w:p>
    <w:p>
      <w:pPr>
        <w:pStyle w:val="ListParagraph"/>
        <w:numPr>
          <w:ilvl w:val="0"/>
          <w:numId w:val="1"/>
        </w:numPr>
        <w:spacing w:after="80"/>
        <w:ind w:left="360"/>
      </w:pPr>
      <w:r>
        <w:rPr>
          <w:rFonts w:ascii="Calibri" w:cs="Calibri" w:eastAsia="Calibri" w:hAnsi="Calibri"/>
          <w:color w:val="1A1A1A"/>
          <w:sz w:val="22"/>
          <w:szCs w:val="22"/>
        </w:rPr>
        <w:t xml:space="preserve">Which merchants installed Swym but never triggered a single automated flow? That is an activation problem.</w:t>
      </w:r>
    </w:p>
    <w:p>
      <w:pPr>
        <w:spacing w:after="80"/>
      </w:pPr>
    </w:p>
    <w:p>
      <w:pPr>
        <w:spacing w:after="100"/>
      </w:pPr>
      <w:r>
        <w:rPr>
          <w:rFonts w:ascii="Calibri" w:cs="Calibri" w:eastAsia="Calibri" w:hAnsi="Calibri"/>
          <w:color w:val="1A1A1A"/>
          <w:sz w:val="22"/>
          <w:szCs w:val="22"/>
        </w:rPr>
        <w:t xml:space="preserve">This produces a problem map grounded in real merchant behaviour — not self-reported pain points, not competitor feature lists.</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single" w:color="AECBF0" w:sz="4"/>
              <w:left w:val="thick" w:color="3182CE" w:sz="12"/>
              <w:bottom w:val="single" w:color="AECBF0" w:sz="4"/>
              <w:right w:val="none"/>
            </w:tcBorders>
            <w:shd w:fill="EBF4FF" w:val="clear"/>
          </w:tcPr>
          <w:p>
            <w:pPr>
              <w:spacing w:after="80" w:before="80"/>
              <w:ind w:left="215"/>
            </w:pPr>
            <w:r>
              <w:rPr>
                <w:rFonts w:ascii="Calibri" w:cs="Calibri" w:eastAsia="Calibri" w:hAnsi="Calibri"/>
                <w:color w:val="1A1A1A"/>
                <w:sz w:val="20"/>
                <w:szCs w:val="20"/>
              </w:rPr>
              <w:t xml:space="preserve">For Beacon specifically: the signal-first approach revealed that Nestasia's "What's Trending" collection had 1,064 of 1,254 products out of stock with no recovery mechanism. No merchant interview would have surfaced that number. The data did.</w:t>
            </w:r>
          </w:p>
        </w:tc>
      </w:tr>
    </w:tbl>
    <w:p>
      <w:pPr>
        <w:spacing w:after="80"/>
      </w:pPr>
    </w:p>
    <w:p>
      <w:pPr>
        <w:pStyle w:val="Heading3"/>
        <w:spacing w:after="80" w:before="240"/>
      </w:pPr>
      <w:r>
        <w:rPr>
          <w:rFonts w:ascii="Calibri" w:cs="Calibri" w:eastAsia="Calibri" w:hAnsi="Calibri"/>
          <w:b/>
          <w:bCs/>
          <w:color w:val="2C5282"/>
          <w:sz w:val="24"/>
          <w:szCs w:val="24"/>
        </w:rPr>
        <w:t xml:space="preserve">Layer 2 — Merchant Archetype Segmentation</w:t>
      </w:r>
    </w:p>
    <w:p>
      <w:pPr>
        <w:spacing w:after="100"/>
      </w:pPr>
      <w:r>
        <w:rPr>
          <w:rFonts w:ascii="Calibri" w:cs="Calibri" w:eastAsia="Calibri" w:hAnsi="Calibri"/>
          <w:color w:val="1A1A1A"/>
          <w:sz w:val="22"/>
          <w:szCs w:val="22"/>
        </w:rPr>
        <w:t xml:space="preserve">Not all merchants have the same problems. Beacon's prioritization must be segmented by merchant archetype before any feature is evaluated.</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400"/>
        <w:gridCol w:w="2400"/>
        <w:gridCol w:w="2200"/>
      </w:tblGrid>
      <w:tr>
        <w:trPr>
          <w:tblHeader/>
        </w:trPr>
        <w:tc>
          <w:tcPr>
            <w:tcW w:type="dxa" w:w="2200"/>
            <w:tcBorders>
              <w:top w:val="single" w:color="1F2D3D" w:sz="4"/>
              <w:left w:val="single" w:color="1F2D3D" w:sz="4"/>
              <w:bottom w:val="single" w:color="1F2D3D" w:sz="4"/>
              <w:right w:val="single" w:color="1F2D3D" w:sz="4"/>
            </w:tcBorders>
            <w:shd w:fill="1F2D3D" w:val="clear"/>
          </w:tcPr>
          <w:p>
            <w:pPr>
              <w:spacing w:after="80" w:before="80"/>
              <w:ind w:left="144"/>
            </w:pPr>
            <w:r>
              <w:rPr>
                <w:rFonts w:ascii="Calibri" w:cs="Calibri" w:eastAsia="Calibri" w:hAnsi="Calibri"/>
                <w:b/>
                <w:bCs/>
                <w:color w:val="FFFFFF"/>
                <w:sz w:val="20"/>
                <w:szCs w:val="20"/>
              </w:rPr>
              <w:t xml:space="preserve">Archetype</w:t>
            </w:r>
          </w:p>
        </w:tc>
        <w:tc>
          <w:tcPr>
            <w:tcW w:type="dxa" w:w="2400"/>
            <w:tcBorders>
              <w:top w:val="single" w:color="1F2D3D" w:sz="4"/>
              <w:left w:val="single" w:color="1F2D3D" w:sz="4"/>
              <w:bottom w:val="single" w:color="1F2D3D" w:sz="4"/>
              <w:right w:val="single" w:color="1F2D3D" w:sz="4"/>
            </w:tcBorders>
            <w:shd w:fill="1F2D3D" w:val="clear"/>
          </w:tcPr>
          <w:p>
            <w:pPr>
              <w:spacing w:after="80" w:before="80"/>
              <w:ind w:left="144"/>
            </w:pPr>
            <w:r>
              <w:rPr>
                <w:rFonts w:ascii="Calibri" w:cs="Calibri" w:eastAsia="Calibri" w:hAnsi="Calibri"/>
                <w:b/>
                <w:bCs/>
                <w:color w:val="FFFFFF"/>
                <w:sz w:val="20"/>
                <w:szCs w:val="20"/>
              </w:rPr>
              <w:t xml:space="preserve">Signal Pattern</w:t>
            </w:r>
          </w:p>
        </w:tc>
        <w:tc>
          <w:tcPr>
            <w:tcW w:type="dxa" w:w="2400"/>
            <w:tcBorders>
              <w:top w:val="single" w:color="1F2D3D" w:sz="4"/>
              <w:left w:val="single" w:color="1F2D3D" w:sz="4"/>
              <w:bottom w:val="single" w:color="1F2D3D" w:sz="4"/>
              <w:right w:val="single" w:color="1F2D3D" w:sz="4"/>
            </w:tcBorders>
            <w:shd w:fill="1F2D3D" w:val="clear"/>
          </w:tcPr>
          <w:p>
            <w:pPr>
              <w:spacing w:after="80" w:before="80"/>
              <w:ind w:left="144"/>
            </w:pPr>
            <w:r>
              <w:rPr>
                <w:rFonts w:ascii="Calibri" w:cs="Calibri" w:eastAsia="Calibri" w:hAnsi="Calibri"/>
                <w:b/>
                <w:bCs/>
                <w:color w:val="FFFFFF"/>
                <w:sz w:val="20"/>
                <w:szCs w:val="20"/>
              </w:rPr>
              <w:t xml:space="preserve">Primary Problem</w:t>
            </w:r>
          </w:p>
        </w:tc>
        <w:tc>
          <w:tcPr>
            <w:tcW w:type="dxa" w:w="2200"/>
            <w:tcBorders>
              <w:top w:val="single" w:color="1F2D3D" w:sz="4"/>
              <w:left w:val="single" w:color="1F2D3D" w:sz="4"/>
              <w:bottom w:val="single" w:color="1F2D3D" w:sz="4"/>
              <w:right w:val="single" w:color="1F2D3D" w:sz="4"/>
            </w:tcBorders>
            <w:shd w:fill="1F2D3D" w:val="clear"/>
          </w:tcPr>
          <w:p>
            <w:pPr>
              <w:spacing w:after="80" w:before="80"/>
              <w:ind w:left="144"/>
            </w:pPr>
            <w:r>
              <w:rPr>
                <w:rFonts w:ascii="Calibri" w:cs="Calibri" w:eastAsia="Calibri" w:hAnsi="Calibri"/>
                <w:b/>
                <w:bCs/>
                <w:color w:val="FFFFFF"/>
                <w:sz w:val="20"/>
                <w:szCs w:val="20"/>
              </w:rPr>
              <w:t xml:space="preserve">Beacon Priority</w:t>
            </w:r>
          </w:p>
        </w:tc>
      </w:tr>
      <w:tr>
        <w:tc>
          <w:tcPr>
            <w:tcW w:type="dxa" w:w="22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High-catalog gifting brand (Nestasia, Dubarry)</w:t>
            </w:r>
          </w:p>
        </w:tc>
        <w:tc>
          <w:tcPr>
            <w:tcW w:type="dxa" w:w="24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High OOS rate, high gift occasion tags, low BIS density</w:t>
            </w:r>
          </w:p>
        </w:tc>
        <w:tc>
          <w:tcPr>
            <w:tcW w:type="dxa" w:w="24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Silent demand loss on seasonal products</w:t>
            </w:r>
          </w:p>
        </w:tc>
        <w:tc>
          <w:tcPr>
            <w:tcW w:type="dxa" w:w="22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Restock priority + pre-OOS alert</w:t>
            </w:r>
          </w:p>
        </w:tc>
      </w:tr>
      <w:tr>
        <w:tc>
          <w:tcPr>
            <w:tcW w:type="dxa" w:w="22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Limited-drop brand (sneakers, beauty)</w:t>
            </w:r>
          </w:p>
        </w:tc>
        <w:tc>
          <w:tcPr>
            <w:tcW w:type="dxa" w:w="24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Spike wishlist velocity before drops, fast OOS</w:t>
            </w:r>
          </w:p>
        </w:tc>
        <w:tc>
          <w:tcPr>
            <w:tcW w:type="dxa" w:w="24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No demand capture before the drop; no recovery after</w:t>
            </w:r>
          </w:p>
        </w:tc>
        <w:tc>
          <w:tcPr>
            <w:tcW w:type="dxa" w:w="22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Predictive demand alert + BIS surge detection</w:t>
            </w:r>
          </w:p>
        </w:tc>
      </w:tr>
      <w:tr>
        <w:tc>
          <w:tcPr>
            <w:tcW w:type="dxa" w:w="22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B2B / trade merchant (TOV Furniture)</w:t>
            </w:r>
          </w:p>
        </w:tc>
        <w:tc>
          <w:tcPr>
            <w:tcW w:type="dxa" w:w="24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High AOV saves, multi-save from same session</w:t>
            </w:r>
          </w:p>
        </w:tc>
        <w:tc>
          <w:tcPr>
            <w:tcW w:type="dxa" w:w="24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Cannot distinguish B2B from B2C intent; wrong restock qty</w:t>
            </w:r>
          </w:p>
        </w:tc>
        <w:tc>
          <w:tcPr>
            <w:tcW w:type="dxa" w:w="22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B2B intent segmentation</w:t>
            </w:r>
          </w:p>
        </w:tc>
      </w:tr>
      <w:tr>
        <w:tc>
          <w:tcPr>
            <w:tcW w:type="dxa" w:w="22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Omnichannel merchant (Brighton)</w:t>
            </w:r>
          </w:p>
        </w:tc>
        <w:tc>
          <w:tcPr>
            <w:tcW w:type="dxa" w:w="24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Online wishlist + POS purchase data</w:t>
            </w:r>
          </w:p>
        </w:tc>
        <w:tc>
          <w:tcPr>
            <w:tcW w:type="dxa" w:w="24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Intent signal not reaching in-store associates</w:t>
            </w:r>
          </w:p>
        </w:tc>
        <w:tc>
          <w:tcPr>
            <w:tcW w:type="dxa" w:w="22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Clienteling intent bridge</w:t>
            </w:r>
          </w:p>
        </w:tc>
      </w:tr>
      <w:tr>
        <w:tc>
          <w:tcPr>
            <w:tcW w:type="dxa" w:w="22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New merchant (&lt; 6 months, cold data)</w:t>
            </w:r>
          </w:p>
        </w:tc>
        <w:tc>
          <w:tcPr>
            <w:tcW w:type="dxa" w:w="24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Low event volume, no seasonal baseline</w:t>
            </w:r>
          </w:p>
        </w:tc>
        <w:tc>
          <w:tcPr>
            <w:tcW w:type="dxa" w:w="24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Cannot use Beacon yet; needs guidance</w:t>
            </w:r>
          </w:p>
        </w:tc>
        <w:tc>
          <w:tcPr>
            <w:tcW w:type="dxa" w:w="22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Setup checklist, not intelligence</w:t>
            </w:r>
          </w:p>
        </w:tc>
      </w:tr>
    </w:tbl>
    <w:p>
      <w:pPr>
        <w:spacing w:after="80"/>
      </w:pPr>
    </w:p>
    <w:p>
      <w:pPr>
        <w:spacing w:after="100"/>
      </w:pPr>
      <w:r>
        <w:rPr>
          <w:rFonts w:ascii="Calibri" w:cs="Calibri" w:eastAsia="Calibri" w:hAnsi="Calibri"/>
          <w:color w:val="1A1A1A"/>
          <w:sz w:val="22"/>
          <w:szCs w:val="22"/>
        </w:rPr>
        <w:t xml:space="preserve">Feature prioritization is archetype-specific. A feature that solves the gifting brand problem first (highest merchant count in Swym's install base) is prioritized before a feature that solves the B2B problem — even if the B2B feature is technically more interesting.</w:t>
      </w:r>
    </w:p>
    <w:p>
      <w:pPr>
        <w:spacing w:after="80"/>
      </w:pPr>
    </w:p>
    <w:p>
      <w:pPr>
        <w:pStyle w:val="Heading3"/>
        <w:spacing w:after="80" w:before="240"/>
      </w:pPr>
      <w:r>
        <w:rPr>
          <w:rFonts w:ascii="Calibri" w:cs="Calibri" w:eastAsia="Calibri" w:hAnsi="Calibri"/>
          <w:b/>
          <w:bCs/>
          <w:color w:val="2C5282"/>
          <w:sz w:val="24"/>
          <w:szCs w:val="24"/>
        </w:rPr>
        <w:t xml:space="preserve">Layer 3 — The Three-Filter Prioritization Test</w:t>
      </w:r>
    </w:p>
    <w:p>
      <w:pPr>
        <w:spacing w:after="100"/>
      </w:pPr>
      <w:r>
        <w:rPr>
          <w:rFonts w:ascii="Calibri" w:cs="Calibri" w:eastAsia="Calibri" w:hAnsi="Calibri"/>
          <w:color w:val="1A1A1A"/>
          <w:sz w:val="22"/>
          <w:szCs w:val="22"/>
        </w:rPr>
        <w:t xml:space="preserve">Once candidate problems are identified, each potential feature is run through three filters in order. A feature must pass all three.</w:t>
      </w:r>
    </w:p>
    <w:p>
      <w:pPr>
        <w:spacing w:after="80"/>
      </w:pPr>
    </w:p>
    <w:p>
      <w:pPr>
        <w:spacing w:after="100"/>
      </w:pPr>
      <w:r>
        <w:rPr>
          <w:rFonts w:ascii="Calibri" w:cs="Calibri" w:eastAsia="Calibri" w:hAnsi="Calibri"/>
          <w:b/>
          <w:bCs/>
          <w:color w:val="1A1A1A"/>
          <w:sz w:val="22"/>
          <w:szCs w:val="22"/>
        </w:rPr>
        <w:t xml:space="preserve">Filter 1 — Intent data dependency: </w:t>
      </w:r>
      <w:r>
        <w:rPr>
          <w:rFonts w:ascii="Calibri" w:cs="Calibri" w:eastAsia="Calibri" w:hAnsi="Calibri"/>
          <w:color w:val="1A1A1A"/>
          <w:sz w:val="22"/>
          <w:szCs w:val="22"/>
        </w:rPr>
        <w:t xml:space="preserve">Can this feature only be built with Swym's pre-purchase intent data? If a competitor without Swym's data could build the same feature, it goes to the bottom of the list. Beacon's defensibility depends on this filter being applied ruthlessly.</w:t>
      </w:r>
    </w:p>
    <w:p>
      <w:pPr>
        <w:spacing w:after="80"/>
      </w:pPr>
    </w:p>
    <w:p>
      <w:pPr>
        <w:spacing w:after="100"/>
      </w:pPr>
      <w:r>
        <w:rPr>
          <w:rFonts w:ascii="Calibri" w:cs="Calibri" w:eastAsia="Calibri" w:hAnsi="Calibri"/>
          <w:b/>
          <w:bCs/>
          <w:color w:val="1A1A1A"/>
          <w:sz w:val="22"/>
          <w:szCs w:val="22"/>
        </w:rPr>
        <w:t xml:space="preserve">Filter 2 — Merchant action proximity: </w:t>
      </w:r>
      <w:r>
        <w:rPr>
          <w:rFonts w:ascii="Calibri" w:cs="Calibri" w:eastAsia="Calibri" w:hAnsi="Calibri"/>
          <w:color w:val="1A1A1A"/>
          <w:sz w:val="22"/>
          <w:szCs w:val="22"/>
        </w:rPr>
        <w:t xml:space="preserve">Does this feature produce a decision the merchant can act on within the same session? Intelligence that requires a merchant to go away and think for a week before acting is not Beacon-grade intelligence. The output must be: "do this today."</w:t>
      </w:r>
    </w:p>
    <w:p>
      <w:pPr>
        <w:spacing w:after="80"/>
      </w:pPr>
    </w:p>
    <w:p>
      <w:pPr>
        <w:spacing w:after="100"/>
      </w:pPr>
      <w:r>
        <w:rPr>
          <w:rFonts w:ascii="Calibri" w:cs="Calibri" w:eastAsia="Calibri" w:hAnsi="Calibri"/>
          <w:b/>
          <w:bCs/>
          <w:color w:val="1A1A1A"/>
          <w:sz w:val="22"/>
          <w:szCs w:val="22"/>
        </w:rPr>
        <w:t xml:space="preserve">Filter 3 — Outcome measurability: </w:t>
      </w:r>
      <w:r>
        <w:rPr>
          <w:rFonts w:ascii="Calibri" w:cs="Calibri" w:eastAsia="Calibri" w:hAnsi="Calibri"/>
          <w:color w:val="1A1A1A"/>
          <w:sz w:val="22"/>
          <w:szCs w:val="22"/>
        </w:rPr>
        <w:t xml:space="preserve">Can Swym measure whether the merchant's action produced a better result than no action? If the outcome loop cannot be closed, the feature cannot improve over time. Features without a measurable feedback loop are deprioritized.</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400"/>
        <w:gridCol w:w="1600"/>
        <w:gridCol w:w="1700"/>
        <w:gridCol w:w="1900"/>
      </w:tblGrid>
      <w:tr>
        <w:trPr>
          <w:tblHeader/>
        </w:trPr>
        <w:tc>
          <w:tcPr>
            <w:tcW w:type="dxa" w:w="2600"/>
            <w:tcBorders>
              <w:top w:val="single" w:color="1F2D3D" w:sz="4"/>
              <w:left w:val="single" w:color="1F2D3D" w:sz="4"/>
              <w:bottom w:val="single" w:color="1F2D3D" w:sz="4"/>
              <w:right w:val="single" w:color="1F2D3D" w:sz="4"/>
            </w:tcBorders>
            <w:shd w:fill="1F2D3D" w:val="clear"/>
          </w:tcPr>
          <w:p>
            <w:pPr>
              <w:spacing w:after="80" w:before="80"/>
              <w:ind w:left="144"/>
            </w:pPr>
            <w:r>
              <w:rPr>
                <w:rFonts w:ascii="Calibri" w:cs="Calibri" w:eastAsia="Calibri" w:hAnsi="Calibri"/>
                <w:b/>
                <w:bCs/>
                <w:color w:val="FFFFFF"/>
                <w:sz w:val="20"/>
                <w:szCs w:val="20"/>
              </w:rPr>
              <w:t xml:space="preserve">Feature Candidate</w:t>
            </w:r>
          </w:p>
        </w:tc>
        <w:tc>
          <w:tcPr>
            <w:tcW w:type="dxa" w:w="1400"/>
            <w:tcBorders>
              <w:top w:val="single" w:color="1F2D3D" w:sz="4"/>
              <w:left w:val="single" w:color="1F2D3D" w:sz="4"/>
              <w:bottom w:val="single" w:color="1F2D3D" w:sz="4"/>
              <w:right w:val="single" w:color="1F2D3D" w:sz="4"/>
            </w:tcBorders>
            <w:shd w:fill="1F2D3D" w:val="clear"/>
          </w:tcPr>
          <w:p>
            <w:pPr>
              <w:spacing w:after="80" w:before="80"/>
              <w:ind w:left="144"/>
            </w:pPr>
            <w:r>
              <w:rPr>
                <w:rFonts w:ascii="Calibri" w:cs="Calibri" w:eastAsia="Calibri" w:hAnsi="Calibri"/>
                <w:b/>
                <w:bCs/>
                <w:color w:val="FFFFFF"/>
                <w:sz w:val="20"/>
                <w:szCs w:val="20"/>
              </w:rPr>
              <w:t xml:space="preserve">Intent data only?</w:t>
            </w:r>
          </w:p>
        </w:tc>
        <w:tc>
          <w:tcPr>
            <w:tcW w:type="dxa" w:w="1600"/>
            <w:tcBorders>
              <w:top w:val="single" w:color="1F2D3D" w:sz="4"/>
              <w:left w:val="single" w:color="1F2D3D" w:sz="4"/>
              <w:bottom w:val="single" w:color="1F2D3D" w:sz="4"/>
              <w:right w:val="single" w:color="1F2D3D" w:sz="4"/>
            </w:tcBorders>
            <w:shd w:fill="1F2D3D" w:val="clear"/>
          </w:tcPr>
          <w:p>
            <w:pPr>
              <w:spacing w:after="80" w:before="80"/>
              <w:ind w:left="144"/>
            </w:pPr>
            <w:r>
              <w:rPr>
                <w:rFonts w:ascii="Calibri" w:cs="Calibri" w:eastAsia="Calibri" w:hAnsi="Calibri"/>
                <w:b/>
                <w:bCs/>
                <w:color w:val="FFFFFF"/>
                <w:sz w:val="20"/>
                <w:szCs w:val="20"/>
              </w:rPr>
              <w:t xml:space="preserve">Same-session action?</w:t>
            </w:r>
          </w:p>
        </w:tc>
        <w:tc>
          <w:tcPr>
            <w:tcW w:type="dxa" w:w="1700"/>
            <w:tcBorders>
              <w:top w:val="single" w:color="1F2D3D" w:sz="4"/>
              <w:left w:val="single" w:color="1F2D3D" w:sz="4"/>
              <w:bottom w:val="single" w:color="1F2D3D" w:sz="4"/>
              <w:right w:val="single" w:color="1F2D3D" w:sz="4"/>
            </w:tcBorders>
            <w:shd w:fill="1F2D3D" w:val="clear"/>
          </w:tcPr>
          <w:p>
            <w:pPr>
              <w:spacing w:after="80" w:before="80"/>
              <w:ind w:left="144"/>
            </w:pPr>
            <w:r>
              <w:rPr>
                <w:rFonts w:ascii="Calibri" w:cs="Calibri" w:eastAsia="Calibri" w:hAnsi="Calibri"/>
                <w:b/>
                <w:bCs/>
                <w:color w:val="FFFFFF"/>
                <w:sz w:val="20"/>
                <w:szCs w:val="20"/>
              </w:rPr>
              <w:t xml:space="preserve">Measurable outcome?</w:t>
            </w:r>
          </w:p>
        </w:tc>
        <w:tc>
          <w:tcPr>
            <w:tcW w:type="dxa" w:w="1900"/>
            <w:tcBorders>
              <w:top w:val="single" w:color="1F2D3D" w:sz="4"/>
              <w:left w:val="single" w:color="1F2D3D" w:sz="4"/>
              <w:bottom w:val="single" w:color="1F2D3D" w:sz="4"/>
              <w:right w:val="single" w:color="1F2D3D" w:sz="4"/>
            </w:tcBorders>
            <w:shd w:fill="1F2D3D" w:val="clear"/>
          </w:tcPr>
          <w:p>
            <w:pPr>
              <w:spacing w:after="80" w:before="80"/>
              <w:ind w:left="144"/>
            </w:pPr>
            <w:r>
              <w:rPr>
                <w:rFonts w:ascii="Calibri" w:cs="Calibri" w:eastAsia="Calibri" w:hAnsi="Calibri"/>
                <w:b/>
                <w:bCs/>
                <w:color w:val="FFFFFF"/>
                <w:sz w:val="20"/>
                <w:szCs w:val="20"/>
              </w:rPr>
              <w:t xml:space="preserve">Decision</w:t>
            </w:r>
          </w:p>
        </w:tc>
      </w:tr>
      <w:tr>
        <w:tc>
          <w:tcPr>
            <w:tcW w:type="dxa" w:w="26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Restock priority ranking</w:t>
            </w:r>
          </w:p>
        </w:tc>
        <w:tc>
          <w:tcPr>
            <w:tcW w:type="dxa" w:w="14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Yes</w:t>
            </w:r>
          </w:p>
        </w:tc>
        <w:tc>
          <w:tcPr>
            <w:tcW w:type="dxa" w:w="16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Yes — reorder button</w:t>
            </w:r>
          </w:p>
        </w:tc>
        <w:tc>
          <w:tcPr>
            <w:tcW w:type="dxa" w:w="17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Yes — restock + BIS conversion</w:t>
            </w:r>
          </w:p>
        </w:tc>
        <w:tc>
          <w:tcPr>
            <w:tcW w:type="dxa" w:w="19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Build first</w:t>
            </w:r>
          </w:p>
        </w:tc>
      </w:tr>
      <w:tr>
        <w:tc>
          <w:tcPr>
            <w:tcW w:type="dxa" w:w="26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Pre-OOS velocity alert</w:t>
            </w:r>
          </w:p>
        </w:tc>
        <w:tc>
          <w:tcPr>
            <w:tcW w:type="dxa" w:w="14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Yes — wishlist velocity signal</w:t>
            </w:r>
          </w:p>
        </w:tc>
        <w:tc>
          <w:tcPr>
            <w:tcW w:type="dxa" w:w="16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Yes — reorder before OOS</w:t>
            </w:r>
          </w:p>
        </w:tc>
        <w:tc>
          <w:tcPr>
            <w:tcW w:type="dxa" w:w="17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Yes — averted stockout revenue</w:t>
            </w:r>
          </w:p>
        </w:tc>
        <w:tc>
          <w:tcPr>
            <w:tcW w:type="dxa" w:w="19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Build first</w:t>
            </w:r>
          </w:p>
        </w:tc>
      </w:tr>
      <w:tr>
        <w:tc>
          <w:tcPr>
            <w:tcW w:type="dxa" w:w="26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Cross-merchant OOS benchmark</w:t>
            </w:r>
          </w:p>
        </w:tc>
        <w:tc>
          <w:tcPr>
            <w:tcW w:type="dxa" w:w="14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Yes — requires 64k store data</w:t>
            </w:r>
          </w:p>
        </w:tc>
        <w:tc>
          <w:tcPr>
            <w:tcW w:type="dxa" w:w="16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Yes — context for restock decision</w:t>
            </w:r>
          </w:p>
        </w:tc>
        <w:tc>
          <w:tcPr>
            <w:tcW w:type="dxa" w:w="17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Indirect — benchmark accuracy improves</w:t>
            </w:r>
          </w:p>
        </w:tc>
        <w:tc>
          <w:tcPr>
            <w:tcW w:type="dxa" w:w="19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Build first</w:t>
            </w:r>
          </w:p>
        </w:tc>
      </w:tr>
      <w:tr>
        <w:tc>
          <w:tcPr>
            <w:tcW w:type="dxa" w:w="26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Campaign copy generation</w:t>
            </w:r>
          </w:p>
        </w:tc>
        <w:tc>
          <w:tcPr>
            <w:tcW w:type="dxa" w:w="14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No — LLM can do this without intent data</w:t>
            </w:r>
          </w:p>
        </w:tc>
        <w:tc>
          <w:tcPr>
            <w:tcW w:type="dxa" w:w="16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Yes</w:t>
            </w:r>
          </w:p>
        </w:tc>
        <w:tc>
          <w:tcPr>
            <w:tcW w:type="dxa" w:w="17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Yes</w:t>
            </w:r>
          </w:p>
        </w:tc>
        <w:tc>
          <w:tcPr>
            <w:tcW w:type="dxa" w:w="19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Do not build</w:t>
            </w:r>
          </w:p>
        </w:tc>
      </w:tr>
      <w:tr>
        <w:tc>
          <w:tcPr>
            <w:tcW w:type="dxa" w:w="26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Inventory purchase orders</w:t>
            </w:r>
          </w:p>
        </w:tc>
        <w:tc>
          <w:tcPr>
            <w:tcW w:type="dxa" w:w="14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No — requires supplier + finance data</w:t>
            </w:r>
          </w:p>
        </w:tc>
        <w:tc>
          <w:tcPr>
            <w:tcW w:type="dxa" w:w="16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Yes</w:t>
            </w:r>
          </w:p>
        </w:tc>
        <w:tc>
          <w:tcPr>
            <w:tcW w:type="dxa" w:w="17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Yes</w:t>
            </w:r>
          </w:p>
        </w:tc>
        <w:tc>
          <w:tcPr>
            <w:tcW w:type="dxa" w:w="19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Do not build — partner with Prediko</w:t>
            </w:r>
          </w:p>
        </w:tc>
      </w:tr>
      <w:tr>
        <w:tc>
          <w:tcPr>
            <w:tcW w:type="dxa" w:w="26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Clienteling intent bridge (POS)</w:t>
            </w:r>
          </w:p>
        </w:tc>
        <w:tc>
          <w:tcPr>
            <w:tcW w:type="dxa" w:w="14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Yes — wishlist to in-store</w:t>
            </w:r>
          </w:p>
        </w:tc>
        <w:tc>
          <w:tcPr>
            <w:tcW w:type="dxa" w:w="16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Yes — associate gets context before customer walks in</w:t>
            </w:r>
          </w:p>
        </w:tc>
        <w:tc>
          <w:tcPr>
            <w:tcW w:type="dxa" w:w="17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Yes — in-store conversion lift</w:t>
            </w:r>
          </w:p>
        </w:tc>
        <w:tc>
          <w:tcPr>
            <w:tcW w:type="dxa" w:w="19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Build third</w:t>
            </w:r>
          </w:p>
        </w:tc>
      </w:tr>
    </w:tbl>
    <w:p>
      <w:pPr>
        <w:spacing w:after="80"/>
      </w:pPr>
    </w:p>
    <w:p>
      <w:pPr>
        <w:pStyle w:val="Heading3"/>
        <w:spacing w:after="80" w:before="240"/>
      </w:pPr>
      <w:r>
        <w:rPr>
          <w:rFonts w:ascii="Calibri" w:cs="Calibri" w:eastAsia="Calibri" w:hAnsi="Calibri"/>
          <w:b/>
          <w:bCs/>
          <w:color w:val="2C5282"/>
          <w:sz w:val="24"/>
          <w:szCs w:val="24"/>
        </w:rPr>
        <w:t xml:space="preserve">Layer 4 — Activation Over Feature Count</w:t>
      </w:r>
    </w:p>
    <w:p>
      <w:pPr>
        <w:spacing w:after="100"/>
      </w:pPr>
      <w:r>
        <w:rPr>
          <w:rFonts w:ascii="Calibri" w:cs="Calibri" w:eastAsia="Calibri" w:hAnsi="Calibri"/>
          <w:color w:val="1A1A1A"/>
          <w:sz w:val="22"/>
          <w:szCs w:val="22"/>
        </w:rPr>
        <w:t xml:space="preserve">The role is in Swym's Founder's Office with success metrics around merchant activation and workflow adoption — not feature shipping. This changes the prioritization calculus.</w:t>
      </w:r>
    </w:p>
    <w:p>
      <w:pPr>
        <w:spacing w:after="80"/>
      </w:pPr>
    </w:p>
    <w:p>
      <w:pPr>
        <w:pStyle w:val="ListParagraph"/>
        <w:numPr>
          <w:ilvl w:val="0"/>
          <w:numId w:val="1"/>
        </w:numPr>
        <w:spacing w:after="80"/>
        <w:ind w:left="360"/>
      </w:pPr>
      <w:r>
        <w:rPr>
          <w:rFonts w:ascii="Calibri" w:cs="Calibri" w:eastAsia="Calibri" w:hAnsi="Calibri"/>
          <w:color w:val="1A1A1A"/>
          <w:sz w:val="22"/>
          <w:szCs w:val="22"/>
        </w:rPr>
        <w:t xml:space="preserve">A feature that 80% of merchants ignore after one use is worth less than a feature that 20% of merchants use every week and tell other merchants about.</w:t>
      </w:r>
    </w:p>
    <w:p>
      <w:pPr>
        <w:pStyle w:val="ListParagraph"/>
        <w:numPr>
          <w:ilvl w:val="0"/>
          <w:numId w:val="1"/>
        </w:numPr>
        <w:spacing w:after="80"/>
        <w:ind w:left="360"/>
      </w:pPr>
      <w:r>
        <w:rPr>
          <w:rFonts w:ascii="Calibri" w:cs="Calibri" w:eastAsia="Calibri" w:hAnsi="Calibri"/>
          <w:color w:val="1A1A1A"/>
          <w:sz w:val="22"/>
          <w:szCs w:val="22"/>
        </w:rPr>
        <w:t xml:space="preserve">Prioritization favors features that get merchants to a first insight within 5 minutes of install — because activation rates determine whether Beacon gets used at all.</w:t>
      </w:r>
    </w:p>
    <w:p>
      <w:pPr>
        <w:pStyle w:val="ListParagraph"/>
        <w:numPr>
          <w:ilvl w:val="0"/>
          <w:numId w:val="1"/>
        </w:numPr>
        <w:spacing w:after="80"/>
        <w:ind w:left="360"/>
      </w:pPr>
      <w:r>
        <w:rPr>
          <w:rFonts w:ascii="Calibri" w:cs="Calibri" w:eastAsia="Calibri" w:hAnsi="Calibri"/>
          <w:color w:val="1A1A1A"/>
          <w:sz w:val="22"/>
          <w:szCs w:val="22"/>
        </w:rPr>
        <w:t xml:space="preserve">The first three features Beacon ships should be chosen not for their ceiling (maximum value possible) but for their floor (minimum friction to first value).</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single" w:color="AECBF0" w:sz="4"/>
              <w:left w:val="thick" w:color="3182CE" w:sz="12"/>
              <w:bottom w:val="single" w:color="AECBF0" w:sz="4"/>
              <w:right w:val="none"/>
            </w:tcBorders>
            <w:shd w:fill="EBF4FF" w:val="clear"/>
          </w:tcPr>
          <w:p>
            <w:pPr>
              <w:spacing w:after="80" w:before="80"/>
              <w:ind w:left="215"/>
            </w:pPr>
            <w:r>
              <w:rPr>
                <w:rFonts w:ascii="Calibri" w:cs="Calibri" w:eastAsia="Calibri" w:hAnsi="Calibri"/>
                <w:color w:val="1A1A1A"/>
                <w:sz w:val="20"/>
                <w:szCs w:val="20"/>
              </w:rPr>
              <w:t xml:space="preserve">Practical implication: the restock priority ranking ships before the cross-merchant benchmark, even though the benchmark is the deeper moat. The ranking gives a merchant something actionable on day one. The benchmark becomes more powerful once merchants trust and return to Beacon.</w:t>
            </w:r>
          </w:p>
        </w:tc>
      </w:tr>
    </w:tbl>
    <w:p>
      <w:pPr>
        <w:spacing w:after="80"/>
      </w:pPr>
    </w:p>
    <w:p>
      <w:pPr>
        <w:pStyle w:val="Heading2"/>
        <w:spacing w:after="120" w:before="320"/>
      </w:pPr>
      <w:r>
        <w:rPr>
          <w:rFonts w:ascii="Calibri" w:cs="Calibri" w:eastAsia="Calibri" w:hAnsi="Calibri"/>
          <w:b/>
          <w:bCs/>
          <w:color w:val="1F2D3D"/>
          <w:sz w:val="28"/>
          <w:szCs w:val="28"/>
        </w:rPr>
        <w:t xml:space="preserve">Output of the Framework: Prioritized Beacon Roadmap</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800"/>
        <w:gridCol w:w="2200"/>
        <w:gridCol w:w="3000"/>
      </w:tblGrid>
      <w:tr>
        <w:trPr>
          <w:tblHeader/>
        </w:trPr>
        <w:tc>
          <w:tcPr>
            <w:tcW w:type="dxa" w:w="1200"/>
            <w:tcBorders>
              <w:top w:val="single" w:color="1F2D3D" w:sz="4"/>
              <w:left w:val="single" w:color="1F2D3D" w:sz="4"/>
              <w:bottom w:val="single" w:color="1F2D3D" w:sz="4"/>
              <w:right w:val="single" w:color="1F2D3D" w:sz="4"/>
            </w:tcBorders>
            <w:shd w:fill="1F2D3D" w:val="clear"/>
          </w:tcPr>
          <w:p>
            <w:pPr>
              <w:spacing w:after="80" w:before="80"/>
              <w:ind w:left="144"/>
            </w:pPr>
            <w:r>
              <w:rPr>
                <w:rFonts w:ascii="Calibri" w:cs="Calibri" w:eastAsia="Calibri" w:hAnsi="Calibri"/>
                <w:b/>
                <w:bCs/>
                <w:color w:val="FFFFFF"/>
                <w:sz w:val="20"/>
                <w:szCs w:val="20"/>
              </w:rPr>
              <w:t xml:space="preserve">Phase</w:t>
            </w:r>
          </w:p>
        </w:tc>
        <w:tc>
          <w:tcPr>
            <w:tcW w:type="dxa" w:w="2800"/>
            <w:tcBorders>
              <w:top w:val="single" w:color="1F2D3D" w:sz="4"/>
              <w:left w:val="single" w:color="1F2D3D" w:sz="4"/>
              <w:bottom w:val="single" w:color="1F2D3D" w:sz="4"/>
              <w:right w:val="single" w:color="1F2D3D" w:sz="4"/>
            </w:tcBorders>
            <w:shd w:fill="1F2D3D" w:val="clear"/>
          </w:tcPr>
          <w:p>
            <w:pPr>
              <w:spacing w:after="80" w:before="80"/>
              <w:ind w:left="144"/>
            </w:pPr>
            <w:r>
              <w:rPr>
                <w:rFonts w:ascii="Calibri" w:cs="Calibri" w:eastAsia="Calibri" w:hAnsi="Calibri"/>
                <w:b/>
                <w:bCs/>
                <w:color w:val="FFFFFF"/>
                <w:sz w:val="20"/>
                <w:szCs w:val="20"/>
              </w:rPr>
              <w:t xml:space="preserve">Feature</w:t>
            </w:r>
          </w:p>
        </w:tc>
        <w:tc>
          <w:tcPr>
            <w:tcW w:type="dxa" w:w="2200"/>
            <w:tcBorders>
              <w:top w:val="single" w:color="1F2D3D" w:sz="4"/>
              <w:left w:val="single" w:color="1F2D3D" w:sz="4"/>
              <w:bottom w:val="single" w:color="1F2D3D" w:sz="4"/>
              <w:right w:val="single" w:color="1F2D3D" w:sz="4"/>
            </w:tcBorders>
            <w:shd w:fill="1F2D3D" w:val="clear"/>
          </w:tcPr>
          <w:p>
            <w:pPr>
              <w:spacing w:after="80" w:before="80"/>
              <w:ind w:left="144"/>
            </w:pPr>
            <w:r>
              <w:rPr>
                <w:rFonts w:ascii="Calibri" w:cs="Calibri" w:eastAsia="Calibri" w:hAnsi="Calibri"/>
                <w:b/>
                <w:bCs/>
                <w:color w:val="FFFFFF"/>
                <w:sz w:val="20"/>
                <w:szCs w:val="20"/>
              </w:rPr>
              <w:t xml:space="preserve">Merchant archetype served</w:t>
            </w:r>
          </w:p>
        </w:tc>
        <w:tc>
          <w:tcPr>
            <w:tcW w:type="dxa" w:w="3000"/>
            <w:tcBorders>
              <w:top w:val="single" w:color="1F2D3D" w:sz="4"/>
              <w:left w:val="single" w:color="1F2D3D" w:sz="4"/>
              <w:bottom w:val="single" w:color="1F2D3D" w:sz="4"/>
              <w:right w:val="single" w:color="1F2D3D" w:sz="4"/>
            </w:tcBorders>
            <w:shd w:fill="1F2D3D" w:val="clear"/>
          </w:tcPr>
          <w:p>
            <w:pPr>
              <w:spacing w:after="80" w:before="80"/>
              <w:ind w:left="144"/>
            </w:pPr>
            <w:r>
              <w:rPr>
                <w:rFonts w:ascii="Calibri" w:cs="Calibri" w:eastAsia="Calibri" w:hAnsi="Calibri"/>
                <w:b/>
                <w:bCs/>
                <w:color w:val="FFFFFF"/>
                <w:sz w:val="20"/>
                <w:szCs w:val="20"/>
              </w:rPr>
              <w:t xml:space="preserve">Why this order</w:t>
            </w:r>
          </w:p>
        </w:tc>
      </w:tr>
      <w:tr>
        <w:tc>
          <w:tcPr>
            <w:tcW w:type="dxa" w:w="12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Phase 1</w:t>
            </w:r>
          </w:p>
        </w:tc>
        <w:tc>
          <w:tcPr>
            <w:tcW w:type="dxa" w:w="28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Restock priority ranking — variant level, with evidence</w:t>
            </w:r>
          </w:p>
        </w:tc>
        <w:tc>
          <w:tcPr>
            <w:tcW w:type="dxa" w:w="22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All archetypes</w:t>
            </w:r>
          </w:p>
        </w:tc>
        <w:tc>
          <w:tcPr>
            <w:tcW w:type="dxa" w:w="30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Fastest path to first merchant value. Answers the assignment's exact example query.</w:t>
            </w:r>
          </w:p>
        </w:tc>
      </w:tr>
      <w:tr>
        <w:tc>
          <w:tcPr>
            <w:tcW w:type="dxa" w:w="12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Phase 1</w:t>
            </w:r>
          </w:p>
        </w:tc>
        <w:tc>
          <w:tcPr>
            <w:tcW w:type="dxa" w:w="28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Cold start checklist — replaces ranking for data-thin stores</w:t>
            </w:r>
          </w:p>
        </w:tc>
        <w:tc>
          <w:tcPr>
            <w:tcW w:type="dxa" w:w="22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New merchants</w:t>
            </w:r>
          </w:p>
        </w:tc>
        <w:tc>
          <w:tcPr>
            <w:tcW w:type="dxa" w:w="30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Prevents FM-01. Ensures Beacon's first impression is always honest.</w:t>
            </w:r>
          </w:p>
        </w:tc>
      </w:tr>
      <w:tr>
        <w:tc>
          <w:tcPr>
            <w:tcW w:type="dxa" w:w="12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Phase 1</w:t>
            </w:r>
          </w:p>
        </w:tc>
        <w:tc>
          <w:tcPr>
            <w:tcW w:type="dxa" w:w="28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Discontinued product handling — one-click from any recommendation</w:t>
            </w:r>
          </w:p>
        </w:tc>
        <w:tc>
          <w:tcPr>
            <w:tcW w:type="dxa" w:w="22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All archetypes</w:t>
            </w:r>
          </w:p>
        </w:tc>
        <w:tc>
          <w:tcPr>
            <w:tcW w:type="dxa" w:w="30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Prevents FM-04. Builds trust that Beacon knows what it doesn't know.</w:t>
            </w:r>
          </w:p>
        </w:tc>
      </w:tr>
      <w:tr>
        <w:tc>
          <w:tcPr>
            <w:tcW w:type="dxa" w:w="12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Phase 2</w:t>
            </w:r>
          </w:p>
        </w:tc>
        <w:tc>
          <w:tcPr>
            <w:tcW w:type="dxa" w:w="28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Pre-OOS velocity alert — in-stock products accumulating saves at 3x baseline</w:t>
            </w:r>
          </w:p>
        </w:tc>
        <w:tc>
          <w:tcPr>
            <w:tcW w:type="dxa" w:w="22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Gifting brands, drop brands</w:t>
            </w:r>
          </w:p>
        </w:tc>
        <w:tc>
          <w:tcPr>
            <w:tcW w:type="dxa" w:w="30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Proactive intelligence. Shifts Beacon from reactive to predictive.</w:t>
            </w:r>
          </w:p>
        </w:tc>
      </w:tr>
      <w:tr>
        <w:tc>
          <w:tcPr>
            <w:tcW w:type="dxa" w:w="12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Phase 2</w:t>
            </w:r>
          </w:p>
        </w:tc>
        <w:tc>
          <w:tcPr>
            <w:tcW w:type="dxa" w:w="28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Cross-merchant OOS benchmarks — category-level comparison</w:t>
            </w:r>
          </w:p>
        </w:tc>
        <w:tc>
          <w:tcPr>
            <w:tcW w:type="dxa" w:w="22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Mid-market and above</w:t>
            </w:r>
          </w:p>
        </w:tc>
        <w:tc>
          <w:tcPr>
            <w:tcW w:type="dxa" w:w="30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The moat feature. Requires Phase 1 data to be credible.</w:t>
            </w:r>
          </w:p>
        </w:tc>
      </w:tr>
      <w:tr>
        <w:tc>
          <w:tcPr>
            <w:tcW w:type="dxa" w:w="12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Phase 3</w:t>
            </w:r>
          </w:p>
        </w:tc>
        <w:tc>
          <w:tcPr>
            <w:tcW w:type="dxa" w:w="28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B2B intent segmentation</w:t>
            </w:r>
          </w:p>
        </w:tc>
        <w:tc>
          <w:tcPr>
            <w:tcW w:type="dxa" w:w="22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Trade / wholesale merchants</w:t>
            </w:r>
          </w:p>
        </w:tc>
        <w:tc>
          <w:tcPr>
            <w:tcW w:type="dxa" w:w="3000"/>
            <w:tcBorders>
              <w:top w:val="single" w:color="DDDDDD" w:sz="4"/>
              <w:left w:val="single" w:color="DDDDDD" w:sz="4"/>
              <w:bottom w:val="single" w:color="DDDDDD" w:sz="4"/>
              <w:right w:val="single" w:color="DDDDDD" w:sz="4"/>
            </w:tcBorders>
            <w:shd w:fill="F7FAFC" w:val="clear"/>
          </w:tcPr>
          <w:p>
            <w:pPr>
              <w:spacing w:after="60" w:before="60"/>
              <w:ind w:left="144"/>
            </w:pPr>
            <w:r>
              <w:rPr>
                <w:rFonts w:ascii="Calibri" w:cs="Calibri" w:eastAsia="Calibri" w:hAnsi="Calibri"/>
                <w:color w:val="1A1A1A"/>
                <w:sz w:val="20"/>
                <w:szCs w:val="20"/>
              </w:rPr>
              <w:t xml:space="preserve">High value per merchant, narrow segment. Sequenced after core is proven.</w:t>
            </w:r>
          </w:p>
        </w:tc>
      </w:tr>
      <w:tr>
        <w:tc>
          <w:tcPr>
            <w:tcW w:type="dxa" w:w="12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Phase 3</w:t>
            </w:r>
          </w:p>
        </w:tc>
        <w:tc>
          <w:tcPr>
            <w:tcW w:type="dxa" w:w="28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Omnichannel intent bridge (POS clienteling)</w:t>
            </w:r>
          </w:p>
        </w:tc>
        <w:tc>
          <w:tcPr>
            <w:tcW w:type="dxa" w:w="22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Brighton-type omnichannel merchants</w:t>
            </w:r>
          </w:p>
        </w:tc>
        <w:tc>
          <w:tcPr>
            <w:tcW w:type="dxa" w:w="3000"/>
            <w:tcBorders>
              <w:top w:val="single" w:color="DDDDDD" w:sz="4"/>
              <w:left w:val="single" w:color="DDDDDD" w:sz="4"/>
              <w:bottom w:val="single" w:color="DDDDDD" w:sz="4"/>
              <w:right w:val="single" w:color="DDDDDD" w:sz="4"/>
            </w:tcBorders>
            <w:shd w:fill="FFFFFF" w:val="clear"/>
          </w:tcPr>
          <w:p>
            <w:pPr>
              <w:spacing w:after="60" w:before="60"/>
              <w:ind w:left="144"/>
            </w:pPr>
            <w:r>
              <w:rPr>
                <w:rFonts w:ascii="Calibri" w:cs="Calibri" w:eastAsia="Calibri" w:hAnsi="Calibri"/>
                <w:color w:val="1A1A1A"/>
                <w:sz w:val="20"/>
                <w:szCs w:val="20"/>
              </w:rPr>
              <w:t xml:space="preserve">Complex integration. High defensibility but requires stable core first.</w:t>
            </w:r>
          </w:p>
        </w:tc>
      </w:tr>
    </w:tbl>
    <w:p>
      <w:pPr>
        <w:spacing w:after="80"/>
      </w:pP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2026-09-15T12:06:56.345Z</dcterms:created>
  <dcterms:modified xsi:type="dcterms:W3CDTF">2026-09-15T12:06:56.345Z</dcterms:modified>
</cp:coreProperties>
</file>

<file path=docProps/custom.xml><?xml version="1.0" encoding="utf-8"?>
<Properties xmlns="http://schemas.openxmlformats.org/officeDocument/2006/custom-properties" xmlns:vt="http://schemas.openxmlformats.org/officeDocument/2006/docPropsVTypes"/>
</file>