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4"/>
          <w:szCs w:val="34"/>
        </w:rPr>
        <w:t xml:space="preserve">Product Line Profitability &amp; Margin Performance</w:t>
      </w:r>
    </w:p>
    <w:p>
      <w:pPr>
        <w:spacing w:after="80"/>
        <w:jc w:val="center"/>
      </w:pPr>
      <w:r>
        <w:rPr>
          <w:b/>
          <w:bCs/>
          <w:color w:val="C0392B"/>
          <w:sz w:val="30"/>
          <w:szCs w:val="30"/>
        </w:rPr>
        <w:t xml:space="preserve">Executive Summary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Nassau Candy Distributor · Prepared for Stakeholder Review</w:t>
      </w:r>
    </w:p>
    <w:p>
      <w:pPr>
        <w:pStyle w:val="Heading1"/>
        <w:spacing w:after="120" w:before="260"/>
      </w:pPr>
      <w:r>
        <w:t xml:space="preserve">Why This Matters</w:t>
      </w:r>
    </w:p>
    <w:p>
      <w:pPr>
        <w:spacing w:after="140"/>
      </w:pPr>
      <w:r>
        <w:t xml:space="preserve">Sales volume alone does not tell us which products make money. This analysis reviewed all 10,194 order lines from a real internship data export across the Chocolate, Sugar, and Other divisions to separate products that genuinely drive profit from products that merely drive revenue — and to flag where pricing or cost action, or a data-quality fix, is needed now.</w:t>
      </w:r>
    </w:p>
    <w:p>
      <w:pPr>
        <w:pStyle w:val="Heading1"/>
        <w:spacing w:after="120" w:before="260"/>
      </w:pPr>
      <w:r>
        <w:t xml:space="preserve">Headline Numbers</w:t>
      </w:r>
    </w:p>
    <w:tbl>
      <w:tblPr>
        <w:tblW w:type="dxa" w:w="94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8"/>
      </w:tblGrid>
      <w:tr>
        <w:tc>
          <w:tcPr>
            <w:tcW w:type="dxa" w:w="4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708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Sales Analyzed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$141,783.63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Gross Profit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$93,442.80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Gross Margin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65.9%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Products Analyzed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 across 3 divisions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Lines / Customers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10,194 lines, 5,044 customers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47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of rows clean; 1 systematic field issue found (see below)</w:t>
            </w:r>
          </w:p>
        </w:tc>
      </w:tr>
    </w:tbl>
    <w:p>
      <w:pPr>
        <w:pStyle w:val="Heading1"/>
        <w:spacing w:after="120" w:before="260"/>
      </w:pPr>
      <w:r>
        <w:t xml:space="preserve">Top-Line Findings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business is almost entirely a Chocolate business: the division drives 92.9% of revenue and 95.1% of profit, at a strong 67.5% gross margin.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five top-profit products are Chocolate SKUs — no high-volume product is dragging down margin the way the original problem statement worried about.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This is a concentration risk, not just a strength: just 5 of 15 products supply over 95% of total profit, so a shock to Chocolate sourcing would hit the whole business hard.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Sugar and Other divisions are tiny in this export (40 and 304 orders respectively over two years) — worth confirming with the source system whether that's real or a data gap.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One product needs attention now: Kazookles, at a 7.7% margin with costs eating 92.3% of its sales value.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Data-quality finding: the Ship Date field is 2.5–4.5 years later than Order Date on every row — a source export issue, not real shipping delays. It has been excluded from all metrics; Sales, Cost, and Profit figures are unaffected.</w:t>
      </w:r>
    </w:p>
    <w:p>
      <w:pPr>
        <w:pStyle w:val="Heading1"/>
        <w:spacing w:after="120" w:before="260"/>
      </w:pPr>
      <w:r>
        <w:t xml:space="preserve">Recommended Actions</w:t>
      </w:r>
    </w:p>
    <w:tbl>
      <w:tblPr>
        <w:tblW w:type="dxa" w:w="94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208"/>
      </w:tblGrid>
      <w:t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/ Area</w:t>
            </w:r>
          </w:p>
        </w:tc>
        <w:tc>
          <w:tcPr>
            <w:tcW w:type="dxa" w:w="2208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Repricing / reformulation review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Kazookles</w:t>
            </w:r>
          </w:p>
        </w:tc>
        <w:tc>
          <w:tcPr>
            <w:tcW w:type="dxa" w:w="22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Stress-test Chocolate concentration risk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Chocolate division sourcing</w:t>
            </w:r>
          </w:p>
        </w:tc>
        <w:tc>
          <w:tcPr>
            <w:tcW w:type="dxa" w:w="22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Sugar/Other order volume is accurate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Sugar, Other divisions</w:t>
            </w:r>
          </w:p>
        </w:tc>
        <w:tc>
          <w:tcPr>
            <w:tcW w:type="dxa" w:w="22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Ship Date field issue to data owner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export / Ship Date column</w:t>
            </w:r>
          </w:p>
        </w:tc>
        <w:tc>
          <w:tcPr>
            <w:tcW w:type="dxa" w:w="2208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20" w:before="260"/>
      </w:pPr>
      <w:r>
        <w:t xml:space="preserve">What's Delivered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live, interactive Streamlit dashboard for ongoing self-service analysis (product leaderboard, division performance, cost/margin risk flags, Pareto concentration) — now running on the real internship dataset.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full research paper documenting methodology, findings, and recommendations in detail, including the Ship Date data-quality investigation.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reusable Python analytics engine that can be pointed at a future, more complete export with no code changes to the dashboard.</w:t>
      </w:r>
    </w:p>
    <w:p>
      <w:pPr>
        <w:spacing w:before="200"/>
      </w:pPr>
      <w:r>
        <w:rPr>
          <w:i/>
          <w:iCs/>
          <w:color w:val="555555"/>
          <w:sz w:val="19"/>
          <w:szCs w:val="19"/>
        </w:rPr>
        <w:t xml:space="preserve">Full methodology, KPI definitions, and detailed findings are available in the accompanying Research Paper.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Executive Summary — Nassau Candy Distributor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2026-08-21T16:47:24.781Z</dcterms:created>
  <dcterms:modified xsi:type="dcterms:W3CDTF">2026-08-21T16:47:24.782Z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