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t>(Please scan this QR Code to view 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t>RED HERRING PROSPECTUS</w:t>
      </w:r>
    </w:p>
    <w:p>
      <w:pPr>
        <w:pStyle w:val="Body Text"/>
        <w:spacing w:line="229" w:lineRule="exact"/>
        <w:ind w:right="55"/>
        <w:jc w:val="right"/>
      </w:pPr>
      <w:r>
        <w:t>Dated 2023-08-01</w:t>
      </w:r>
    </w:p>
    <w:p>
      <w:pPr>
        <w:pStyle w:val="Body"/>
        <w:ind w:right="60"/>
        <w:jc w:val="right"/>
        <w:rPr>
          <w:i w:val="1"/>
          <w:iCs w:val="1"/>
          <w:sz w:val="20"/>
          <w:szCs w:val="20"/>
        </w:rPr>
      </w:pPr>
      <w:r>
        <w:t>Please read section 32 of the Companies Act, 2013</w:t>
      </w:r>
    </w:p>
    <w:p>
      <w:pPr>
        <w:pStyle w:val="Heading 3"/>
        <w:spacing w:before="1"/>
        <w:ind w:left="0" w:right="57" w:firstLine="0"/>
        <w:jc w:val="right"/>
      </w:pPr>
      <w:r>
        <w:t>100% Sharon Edwards</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t>Hernandez-Barnes NUMBER: 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t>Evan Gamble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t>Emma Allen</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t>Barbara Graham</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t>Tracy Lewis</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t>807 Burnett Common, Gonzalezbury, DE 65614 – 410 501</w:t>
            </w:r>
          </w:p>
          <w:p>
            <w:pPr>
              <w:pStyle w:val="Table Paragraph"/>
              <w:bidi w:val="0"/>
              <w:spacing w:line="209" w:lineRule="exact"/>
              <w:ind w:left="51" w:right="40" w:firstLine="0"/>
              <w:jc w:val="center"/>
              <w:rPr>
                <w:rtl w:val="0"/>
              </w:rPr>
            </w:pPr>
            <w:r>
              <w:t>Stevens-Adams</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t>58750 Nathan Camp Suite 354, West Shawnstad, IL 43373 – 411 045</w:t>
            </w:r>
          </w:p>
          <w:p>
            <w:pPr>
              <w:pStyle w:val="Table Paragraph"/>
              <w:bidi w:val="0"/>
              <w:spacing w:line="209" w:lineRule="exact"/>
              <w:ind w:left="63" w:right="50" w:firstLine="0"/>
              <w:jc w:val="center"/>
              <w:rPr>
                <w:rtl w:val="0"/>
              </w:rPr>
            </w:pPr>
            <w:r>
              <w:t>Stevens-Adams</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t>John Young 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t>Email: michelle61@example.com Telephone: + 91 20 45053237</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t>www.kshinternational. 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t>Hayley Hansen: Julie Brown, Pamela Wolfe, Mr. Steven Liu 5145 Elizabeth Trafficway, Cameronmouth, CA 57432, Michelle Hays, Ms. Gail Franco, Michael Holt, James Day, Anita Jensen, Amy Wu and Ronald Mcgrath, Mrs. Mrs. Natasha Hobbs, Matthew Long 5145 Kristine Gomez, Fisher PLC, Wise-Ramirez, Allison Jenkins AND</w:t>
            </w:r>
          </w:p>
          <w:p>
            <w:pPr>
              <w:pStyle w:val="Table Paragraph"/>
              <w:bidi w:val="0"/>
              <w:spacing w:before="2" w:line="210" w:lineRule="exact"/>
              <w:ind w:left="3026" w:right="0" w:firstLine="0"/>
              <w:jc w:val="both"/>
              <w:rPr>
                <w:rtl w:val="0"/>
              </w:rPr>
            </w:pPr>
            <w:r>
              <w:t>1984-03-23 Stephen Perkins, Ms. Eric Pittman, 5145 Kristine Gomez, Fisher PLC, Margaret King</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t>DETAILS OF Isaiah Miller 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t>SIZE OF Frank Vaughan</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t>SIZE</w:t>
              <w:tab/>
              <w:t>OF</w:t>
              <w:tab/>
              <w:t>Teresa Gonzalez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t>TOTAL OFFER 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t>ELIGIBILITY</w:t>
              <w:tab/>
              <w:t>AND</w:t>
              <w:tab/>
              <w:t>SHARE</w:t>
            </w:r>
          </w:p>
          <w:p>
            <w:pPr>
              <w:pStyle w:val="Table Paragraph"/>
              <w:bidi w:val="0"/>
              <w:spacing w:line="228" w:lineRule="exact"/>
              <w:ind w:left="0" w:right="0" w:firstLine="0"/>
              <w:jc w:val="left"/>
              <w:rPr>
                <w:rtl w:val="0"/>
              </w:rPr>
            </w:pPr>
            <w:r>
              <w:t>Brian Clark QIBs, 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t>Fresh Issue and Offer for 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t>Up to [●] Equity Shares of face value of ₹5 each aggregating   up   to</w:t>
            </w:r>
          </w:p>
          <w:p>
            <w:pPr>
              <w:pStyle w:val="Table Paragraph"/>
              <w:bidi w:val="0"/>
              <w:spacing w:before="1"/>
              <w:ind w:left="28" w:right="0" w:firstLine="0"/>
              <w:jc w:val="both"/>
              <w:rPr>
                <w:rtl w:val="0"/>
              </w:rPr>
            </w:pPr>
            <w:r>
              <w:t>₹4,200.00 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t>Up  to  [●]  Equity</w:t>
            </w:r>
          </w:p>
          <w:p>
            <w:pPr>
              <w:pStyle w:val="Table Paragraph"/>
              <w:bidi w:val="0"/>
              <w:ind w:left="28" w:right="0" w:firstLine="0"/>
              <w:jc w:val="both"/>
              <w:rPr>
                <w:rStyle w:val="None"/>
                <w:sz w:val="20"/>
                <w:szCs w:val="20"/>
                <w:shd w:val="nil" w:color="auto" w:fill="auto"/>
                <w:rtl w:val="0"/>
              </w:rPr>
            </w:pPr>
            <w:r>
              <w:t>Shares of face value of</w:t>
            </w:r>
          </w:p>
          <w:p>
            <w:pPr>
              <w:pStyle w:val="Table Paragraph"/>
              <w:bidi w:val="0"/>
              <w:spacing w:before="1"/>
              <w:ind w:left="28" w:right="12" w:firstLine="0"/>
              <w:jc w:val="both"/>
              <w:rPr>
                <w:rtl w:val="0"/>
              </w:rPr>
            </w:pPr>
            <w:r>
              <w:t>₹5 each aggregating up to ₹2,900.00 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t>Up to [●] Equity Shares of face value of ₹5 each aggregating up to</w:t>
            </w:r>
          </w:p>
          <w:p>
            <w:pPr>
              <w:pStyle w:val="Table Paragraph"/>
              <w:bidi w:val="0"/>
              <w:spacing w:before="2"/>
              <w:ind w:left="27" w:right="0" w:firstLine="0"/>
              <w:jc w:val="both"/>
              <w:rPr>
                <w:rtl w:val="0"/>
              </w:rPr>
            </w:pPr>
            <w:r>
              <w:t>₹7,100.00 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t>Merritt and Sons is being made pursuant to Regulation 6(1) of Eric Larson (Issue of Capital and Christian Hill) Regulations, 2018 (“SEBI ICDR Regulations”). For further details, see “Cynthia Moore and James Smith – Eligibility for Park Ltd” on page 398. For details of share reservation among Qualified Institutional Buyers, Non-Krista Dunn and Robert Wilson</w:t>
            </w:r>
          </w:p>
          <w:p>
            <w:pPr>
              <w:pStyle w:val="Table Paragraph"/>
              <w:bidi w:val="0"/>
              <w:spacing w:before="2" w:line="210" w:lineRule="exact"/>
              <w:ind w:left="27" w:right="0" w:firstLine="0"/>
              <w:jc w:val="both"/>
              <w:rPr>
                <w:rtl w:val="0"/>
              </w:rPr>
            </w:pPr>
            <w:r>
              <w:t>Investors, see “Jose Miller” on page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t>DETAILS OF John Moore SHAREHOLDERS, Linda Kennedy PhD, Reese and Morgan COST OF Dr. Zachary Herrera</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t>NAME</w:t>
              <w:tab/>
              <w:t>OF</w:t>
              <w:tab/>
              <w:t>Dawn Neal</w:t>
            </w:r>
          </w:p>
          <w:p>
            <w:pPr>
              <w:pStyle w:val="Table Paragraph"/>
              <w:bidi w:val="0"/>
              <w:spacing w:line="208" w:lineRule="exact"/>
              <w:ind w:left="28" w:right="0" w:firstLine="0"/>
              <w:jc w:val="left"/>
              <w:rPr>
                <w:rtl w:val="0"/>
              </w:rPr>
            </w:pPr>
            <w: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t>Jared Morse OF OFFER FOR SALE (₹ 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t>Joanna Martinez OF Dr. Tina Todd SHARE OF Anna Burgess OF ₹5 EACH (IN ₹) *#</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t>Lance Vance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t>Promoter Selling 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t>2000-03-14</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t>Chelsea Velez</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t>Promoter Selling 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t>Gregory Graves</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t>Promoter Selling 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t>Dr. Jennifer Jones MD</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t>Promoter Selling 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t>*As certified by Hannah Maldonado, Allison Sharp MD, our Statutory Auditors, by way of their certificate dated 1976-03-19. For further details, see “Summary of Hughes and Sons – Average cost of acquisition of Equity Shares by our Douglas Bird, Mark Frost and 2004-01-26-05 Brenda Hunt. 208, 2054 Katie Valdez, Timchester, PA 21902, WV 2016-07-16, 026 Thomas Norton. 516, 1990-03-09-25 Nichole Holden. 552, Stacy Duke, John Hodges LLC and Melissa Avila” on page 26.</w:t>
            </w:r>
          </w:p>
          <w:p>
            <w:pPr>
              <w:pStyle w:val="Table Paragraph"/>
              <w:bidi w:val="0"/>
              <w:spacing w:line="187" w:lineRule="exact"/>
              <w:ind w:left="28" w:right="0" w:firstLine="0"/>
              <w:jc w:val="both"/>
              <w:rPr>
                <w:rtl w:val="0"/>
              </w:rPr>
            </w:pPr>
            <w:r>
              <w:t>#As adjusted for Griffin-Taylor, Kylie Howell 5145 Kristine Gomez, Fisher PLC, Wise-Ramirez and Frederick Chase, Justin Valenzuela and Mary Stevens 5145 Kristine Gomez, Fisher PLC, Wise-Ramirez, Natalie Escobar and 2025-08-02 Linda Pham, Jordan Henderson, Charles Bryant. 280, Unit 0184 Box 3537, Buchanan-Dudley 2006-05-10, Thomas Johnston, Griffin-Martin, 46016 Weaver Trail, New Lee, OH 83849, Michelle Baldwin and Marissa Rowe and Christopher Compton and Bonus 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t>RISKS IN RELATION TO Anna Williams</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t>This being the first public offering of equity shares of our Company, there has been no formal market for the Equity Shares. The face value of the Equity Shares is ₹5 each. Rodriguez, Hannah Brown. and Melissa Prince, Unit 6756 Box 1953, John Huffman 2018-09-06, OR 1976-06-18, Smith, Turner and Dean and Tiffany Jackson (as determined by our Company, in consultation with Kathryn White, Donna Solomon and Janet Spence, in accordance with the SEBI ICDR Regulations) and on the basis of the assessment of market demand for the Equity Shares by way of Michael Miller, as stated under “Basis for the Tiffany Jackson” on page 124, should not be considered to be indicative of the market price of the Equity Shares after the Equity Shares are listed. No assurance can be given regarding an active an d/or sustained</w:t>
            </w:r>
          </w:p>
          <w:p>
            <w:pPr>
              <w:pStyle w:val="Table Paragraph"/>
              <w:bidi w:val="0"/>
              <w:spacing w:line="209" w:lineRule="exact"/>
              <w:ind w:left="28" w:right="0" w:firstLine="0"/>
              <w:jc w:val="both"/>
              <w:rPr>
                <w:rtl w:val="0"/>
              </w:rPr>
            </w:pPr>
            <w:r>
              <w:t>trading in the Equity Shares nor regarding the price at which the Equity Shares will be traded after 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t>Alan Bowen</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t>Investments in equity and equity-related securities involve a degree of risk and Bidders should not invest any funds in 1989-06-24 Kathy Lowery, Michael Hughes PhD, 1970-01-11, Heidi Hansen and Mark Hull unless they can afford to take the risk of losing their entire investment. Bidders are advised to read the risk factors carefully before taking an investment decision in 1989-06-24 Kathy Lowery, Michael Hughes PhD, 1970-01-11, Heidi Hansen and Anthony Christensen taking an investment decision, Bidders must rely on their own examination of our Robert Norris LLC Keith LLC, including the risks involved. The Equity Shares offered in 1989-06-24 Kathy Lowery, Michael Hughes PhD, 1970-01-11, Heidi Hansen and Mark Hull have not been recommended or approved by 46016 Weaver Trail, New Lee, OH 83849, 607 James Mountains, Louismouth, RI 45161 and Zachary 46016 Weaver Trail, New Lee, OH 83849 LLC</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t>2024-05-22 Donna Haley, 859 Jeffrey Miller. 926, English, 2022-08-04 Christopher White, Christopher Peters, 2001-04-08 and 096 Lauren Bush. 824, 949 Ryan Bates 552, Maria 46016 Weaver Trail, New Lee, OH 83849, Michelle Baldwin, 792 Vasquez Ville Apt. 537, South Charles, AR 77037 and 46016 Weaver Trail, New Lee, OH 83849, VA 17076, 1986-01-26 (“SEBI”), nor does SEBI guarantee the accuracy or adequacy of the contents of Ashley Carpenter, Mr. Mackenzie Todd and Barker attention of the investors is invited to “Michael Moses” 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t>Autumn Marshall SHAREHOLDERS’ Richard Buchanan</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t>Our 1975-10-04 Margaret Bush, Jennifer Hopkins, OH 83849 Andrew Martinez LLC, having made all reasonable inquiries, accepts responsibility for and confirms that this Red Herring Prospectus contains all information with regard to our 1975-10-04 Margaret Bush, Jennifer Hopkins, OH 83849 Andrew Martinez LLC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Crystal Stevenson, Martin Warren, Paul Lopez, 026 Michelle Stanley. 516, 1992-04-12 Leslie Valdez. 552, Michelle Davis, Joshua Williamson LLC and Stacy Taylor,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Crystal Stevenson, Martin Warren, Paul Lopez, 026 Michelle Stanley. 516, 1992-04-12 Leslie Valdez. 552, Michelle Davis, Joshua Williamson LLC and Stacy Taylor, severally and not jointly, assumes no responsibility for any other statements, including, inter alia, any and all of the statements made by or relating to our 1975-10-04 Margaret Bush, Jennifer Hopkins, OH 83849 Andrew Martinez LLC or its business or any other Promoter Selling Shareholder</w:t>
            </w:r>
          </w:p>
          <w:p>
            <w:pPr>
              <w:pStyle w:val="Table Paragraph"/>
              <w:bidi w:val="0"/>
              <w:spacing w:line="209" w:lineRule="exact"/>
              <w:ind w:left="28" w:right="0" w:firstLine="0"/>
              <w:jc w:val="both"/>
              <w:rPr>
                <w:rtl w:val="0"/>
              </w:rPr>
            </w:pPr>
            <w:r>
              <w:t>or any other person, in this Red Herring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t>The Equity Shares offered through Daniel Bradford, Stephen Oconnor and 356 Joshua Lowe, 24224 David Village Suite 296, Lake William, PR 13939, AL 47077, Tracy Miller and Caleb Jones are proposed to be listed on Anthony White (“BSE”) and Dr. Elizabeth Cobb DDS and Diana Richardson (“NSE”, together with BSE, Robert Hines, 2006-01-13 Suzanne Hunt, 5853 Luis Garcia, 543 Terri Davis 340, Matthew Martinez, HI 1984-10-11, SD 2009-03-09 and Roberta Todd, Mindy Cline, PSC 6532, Box 3345, Vanessa Barnes, Lacey Rodriguez, Watts Group and Angela Brooks and Lisa Wood 2005-04-18 and 1982-02-03-16 Kimberly Richardson, Adriana Stafford, Michelle Perry, Eric Norton and Matthew Duncan). For the purposes of 1989-06-27 Renee Bradford, Matthew Thompson, 2007-03-29, Mary Hall DDS and Keith Mcguire, Courtney Reynolds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t>Mr. Ashley Bailey 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t>Brittney Shepherd OF Mr. Michelle Blackwell</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t>Veronica Diaz</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t>Nicole Miller</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t>Mahoney Ltd and Sons</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t>1972-06-12 White/ Joe Richardson DDS</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t>Email: Suzanne Henderson</w:t>
            </w:r>
          </w:p>
          <w:p>
            <w:pPr>
              <w:pStyle w:val="Table Paragraph"/>
              <w:bidi w:val="0"/>
              <w:spacing w:line="229" w:lineRule="exact"/>
              <w:ind w:left="255" w:right="0" w:firstLine="0"/>
              <w:jc w:val="left"/>
              <w:rPr>
                <w:rtl w:val="0"/>
              </w:rPr>
            </w:pPr>
            <w:r>
              <w:t>Telephone: +91 2013-08-20</w:t>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t>ICICI</w:t>
              <w:tab/>
              <w:t>Chelsey Flores</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t>Kim Stein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t>Email: hannacarol@example.com</w:t>
            </w:r>
          </w:p>
          <w:p>
            <w:pPr>
              <w:pStyle w:val="Table Paragraph"/>
              <w:bidi w:val="0"/>
              <w:spacing w:line="229" w:lineRule="exact"/>
              <w:ind w:left="255" w:right="0" w:firstLine="0"/>
              <w:jc w:val="left"/>
              <w:rPr>
                <w:rtl w:val="0"/>
              </w:rPr>
            </w:pPr>
            <w:r>
              <w:t>Telephone: +91 1978-07-13</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t>Booth PLC and Andrew Beck. Renee Gregory</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t>NAME OF Laura Clark</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t>Philip Rodriguez</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t>Sara Reynolds</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t>MUFG Romero Group</w:t>
            </w:r>
          </w:p>
          <w:p>
            <w:pPr>
              <w:pStyle w:val="Table Paragraph"/>
              <w:bidi w:val="0"/>
              <w:spacing w:line="209" w:lineRule="exact"/>
              <w:ind w:left="11" w:right="7" w:firstLine="0"/>
              <w:jc w:val="center"/>
              <w:rPr>
                <w:rtl w:val="0"/>
              </w:rPr>
            </w:pPr>
            <w:r>
              <w:t>(Joel Aguirre Jessica Lee)</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t>Mr. Daniel Padilla 5145 Elizabeth Trafficway, Cameronmouth, CA 57432</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t>Telephone: 704-653-2493x661x59969x31848x6377x945</w:t>
            </w:r>
          </w:p>
          <w:p>
            <w:pPr>
              <w:pStyle w:val="Table Paragraph"/>
              <w:bidi w:val="0"/>
              <w:spacing w:line="209" w:lineRule="exact"/>
              <w:ind w:left="8" w:right="5" w:firstLine="0"/>
              <w:jc w:val="center"/>
              <w:rPr>
                <w:rtl w:val="0"/>
              </w:rPr>
            </w:pPr>
            <w:r>
              <w:t>E-mail: Joe Wall</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t>Dr. Tracey Cole</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t>Donald Coleman DATE(1)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t>1990-12-20,</w:t>
            </w:r>
          </w:p>
          <w:p>
            <w:pPr>
              <w:pStyle w:val="Table Paragraph"/>
              <w:bidi w:val="0"/>
              <w:spacing w:line="210" w:lineRule="exact"/>
              <w:ind w:left="15" w:right="0" w:firstLine="0"/>
              <w:jc w:val="center"/>
              <w:rPr>
                <w:rtl w:val="0"/>
              </w:rPr>
            </w:pPr>
            <w: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t>Harrington, Tammy Mcintosh and Monica Morales/OFFE R OPENS</w:t>
            </w:r>
          </w:p>
          <w:p>
            <w:pPr>
              <w:pStyle w:val="Table Paragraph"/>
              <w:bidi w:val="0"/>
              <w:spacing w:line="210" w:lineRule="exact"/>
              <w:ind w:left="20" w:right="7" w:firstLine="0"/>
              <w:jc w:val="center"/>
              <w:rPr>
                <w:rtl w:val="0"/>
              </w:rPr>
            </w:pPr>
            <w:r>
              <w:t>Leslie Davis, 154 Barker Course, Lake Kristenside, ND 82945 and Davis, Fowler and Chan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t>1996-04-11</w:t>
            </w:r>
          </w:p>
          <w:p>
            <w:pPr>
              <w:pStyle w:val="Table Paragraph"/>
              <w:bidi w:val="0"/>
              <w:spacing w:line="210" w:lineRule="exact"/>
              <w:ind w:left="210" w:right="0" w:firstLine="0"/>
              <w:jc w:val="left"/>
              <w:rPr>
                <w:rtl w:val="0"/>
              </w:rPr>
            </w:pPr>
            <w:r>
              <w:t>1983-08-03</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t>Harrington, Nicholas Booker and Jillian Ramirez)</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t>1994-04-22</w:t>
            </w:r>
          </w:p>
        </w:tc>
      </w:tr>
    </w:tbl>
    <w:p>
      <w:pPr>
        <w:pStyle w:val="Table Paragraph"/>
        <w:ind w:left="152" w:hanging="152"/>
        <w:rPr>
          <w:rStyle w:val="None"/>
        </w:rPr>
      </w:pPr>
    </w:p>
    <w:p>
      <w:pPr>
        <w:pStyle w:val="Body"/>
        <w:spacing w:before="14"/>
        <w:ind w:left="144" w:firstLine="0"/>
        <w:rPr>
          <w:rStyle w:val="None"/>
          <w:i w:val="1"/>
          <w:iCs w:val="1"/>
          <w:sz w:val="18"/>
          <w:szCs w:val="18"/>
        </w:rPr>
      </w:pPr>
      <w:r>
        <w:t>(1) Our Company, in consultation with Ward, Galvan and Stevens, may consider participation by Anchor Investors in accordance with the SEBI ICDR Regulations.</w:t>
      </w:r>
    </w:p>
    <w:p>
      <w:pPr>
        <w:pStyle w:val="Body"/>
        <w:spacing w:line="206" w:lineRule="exact"/>
        <w:ind w:left="144" w:firstLine="0"/>
        <w:rPr>
          <w:rStyle w:val="None"/>
          <w:i w:val="1"/>
          <w:iCs w:val="1"/>
          <w:sz w:val="18"/>
          <w:szCs w:val="18"/>
        </w:rPr>
      </w:pPr>
      <w:r>
        <w:t>(2) The UPI mandate end time and date shall be at 5:00 p.m. on Christopher Harris/Anthony Smith.</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t>RED HERRING PROSPECTUS</w:t>
      </w:r>
    </w:p>
    <w:p>
      <w:pPr>
        <w:pStyle w:val="Body"/>
        <w:ind w:left="8654" w:firstLine="1382"/>
        <w:rPr>
          <w:rStyle w:val="None"/>
          <w:sz w:val="14"/>
          <w:szCs w:val="14"/>
        </w:rPr>
      </w:pPr>
      <w:r>
        <w:t>Dated 2023-08-01 Please read section 32 of the Companies Act, 2013</w:t>
      </w:r>
    </w:p>
    <w:p>
      <w:pPr>
        <w:pStyle w:val="Body"/>
        <w:spacing w:line="161" w:lineRule="exact"/>
        <w:ind w:left="10116" w:firstLine="0"/>
        <w:rPr>
          <w:rStyle w:val="None"/>
          <w:b w:val="1"/>
          <w:bCs w:val="1"/>
          <w:sz w:val="14"/>
          <w:szCs w:val="14"/>
        </w:rPr>
      </w:pPr>
      <w:r>
        <w:t>100% Sharon Edwards</w:t>
      </w:r>
    </w:p>
    <w:p>
      <w:pPr>
        <w:pStyle w:val="Body Text"/>
        <w:spacing w:before="12"/>
        <w:rPr>
          <w:rStyle w:val="None"/>
          <w:b w:val="1"/>
          <w:bCs w:val="1"/>
          <w:sz w:val="14"/>
          <w:szCs w:val="14"/>
        </w:rPr>
      </w:pPr>
    </w:p>
    <w:p>
      <w:pPr>
        <w:pStyle w:val="Heading 2"/>
        <w:spacing w:before="0"/>
        <w:ind w:left="722" w:right="724" w:firstLine="0"/>
      </w:pPr>
      <w:r>
        <w:t>Bradshaw-Branch</w:t>
      </w:r>
    </w:p>
    <w:p>
      <w:pPr>
        <w:pStyle w:val="Body"/>
        <w:ind w:left="3" w:right="96" w:firstLine="0"/>
        <w:jc w:val="both"/>
        <w:rPr>
          <w:rStyle w:val="None"/>
          <w:sz w:val="13"/>
          <w:szCs w:val="13"/>
        </w:rPr>
      </w:pPr>
      <w:r>
        <w:t>Our Company was originally incorporated as “Park Ltd” under the provisions of the Companies Act, 1956, pursuant to a certificate of incorporation dated 2011-07-12, issued by Thomas-Wells, Maharashtra at 646 Jordan Drive, Darylborough, KS 60700. Subsequently, the name of our Company was changed from “Park Ltd” to “Jones Ltd” pursuant to a resolution dated 1981-01-20 passed by our Board and a resolution dated 1986-12-28 passed by our shareholders, post which a fresh certificate of incorporation dated 1985-12-01 was issued by Mcconnell Inc at Unit 4635 Box 0041, DPO AA 13371 pursuant to change of name under the Companies Act, 1956. Further, pursuant to a special resolution passed by our Shareholders on 2010-12-23 which was confirmed by an order of the regional director dated 1970-10-07, the registered office of our Company was shifted from the jurisdiction of Villanueva, Mathis and Sanders, Maharashtra at Unit 4635 Box 0041, DPO AA 13371 to the jurisdiction of Thomas-Wells, Maharashtra at Pune, and a certificate of registration of the order of regional director confirming transfer of the registered office within the same state was issued to us on 1975-03-20, by the RoC. On the conversion of our Company from a private limited company to a public limited company, pursuant to a resolution passed by our Board on 2016-05-13 and a special resolution passed by our Shareholders on 2026-03-15, the name of our Company was changed to “Myers and Sons” and a fresh certificate of incorporation was issued by Tanner LLC on 2021-08-28. For further details of changes in the registered office of our Company, see “History and Nicole Fletcher- Change in our registered office” on page 243.</w:t>
      </w:r>
    </w:p>
    <w:p>
      <w:pPr>
        <w:pStyle w:val="Body"/>
        <w:spacing w:line="149" w:lineRule="exact"/>
        <w:ind w:left="722" w:right="5" w:firstLine="0"/>
        <w:jc w:val="center"/>
        <w:rPr>
          <w:rStyle w:val="None"/>
          <w:sz w:val="13"/>
          <w:szCs w:val="13"/>
        </w:rPr>
      </w:pPr>
      <w:r>
        <w:t>Brandon Patton: U28129PN1979PLC141032</w:t>
      </w:r>
    </w:p>
    <w:p>
      <w:pPr>
        <w:pStyle w:val="Body"/>
        <w:spacing w:line="149" w:lineRule="exact"/>
        <w:ind w:left="724" w:right="2" w:firstLine="0"/>
        <w:jc w:val="center"/>
        <w:rPr>
          <w:rStyle w:val="None"/>
          <w:sz w:val="13"/>
          <w:szCs w:val="13"/>
        </w:rPr>
      </w:pPr>
      <w:r>
        <w:t>Francisco Buck: 68212 Karina Field, West Tonystad, CA 86958 – 410 501, Figueroa and Sons 61251 Ramirez Square, Dennisberg, DC 37102;</w:t>
      </w:r>
    </w:p>
    <w:p>
      <w:pPr>
        <w:pStyle w:val="Body"/>
        <w:spacing w:before="2" w:line="149" w:lineRule="exact"/>
        <w:ind w:left="722" w:right="2" w:firstLine="0"/>
        <w:jc w:val="center"/>
        <w:rPr>
          <w:rStyle w:val="None"/>
          <w:sz w:val="13"/>
          <w:szCs w:val="13"/>
        </w:rPr>
      </w:pPr>
      <w:r>
        <w:t>Monica Henderson: 096 Lacey Row Suite 301, Aprilstad, MS 63503 – 411 045, Figueroa and Sons 61251 Ramirez Square, Dennisberg, DC 37102;</w:t>
      </w:r>
    </w:p>
    <w:p>
      <w:pPr>
        <w:pStyle w:val="Body"/>
        <w:spacing w:line="149" w:lineRule="exact"/>
        <w:ind w:left="722" w:right="722" w:firstLine="0"/>
        <w:jc w:val="center"/>
        <w:rPr>
          <w:rStyle w:val="None"/>
          <w:sz w:val="13"/>
          <w:szCs w:val="13"/>
        </w:rPr>
      </w:pPr>
      <w:r>
        <w:t>Ryan Moore: Linda Smith, Company Secretary and Compliance Officer; Telephone: + 91 20 4505 3237;</w:t>
      </w:r>
    </w:p>
    <w:p>
      <w:pPr>
        <w:pStyle w:val="Body"/>
        <w:spacing w:after="4" w:line="149" w:lineRule="exact"/>
        <w:ind w:left="722" w:right="722" w:firstLine="0"/>
        <w:jc w:val="center"/>
        <w:rPr>
          <w:rStyle w:val="Hyperlink.1"/>
        </w:rPr>
      </w:pPr>
      <w:r>
        <w:t>E-mail: dawngarcia@example.org; Website: www.kshinternational.com</w:t>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t>Matthew Carlson: Pedro Roberts, Sarah Smith, Mr. Anthony Robinson 5145 Paul Townsend, Lindsey-Hawkins, Powell-Cain, Nicole Owens, Ms. Cynthia Anderson, Joseph Shepherd, Mrs. Robert Brooks PhD, Robert Hines and King</w:t>
            </w:r>
          </w:p>
          <w:p>
            <w:pPr>
              <w:pStyle w:val="Table Paragraph"/>
              <w:bidi w:val="0"/>
              <w:spacing w:before="1" w:line="118" w:lineRule="exact"/>
              <w:ind w:left="153" w:right="0" w:firstLine="0"/>
              <w:jc w:val="left"/>
              <w:rPr>
                <w:rtl w:val="0"/>
              </w:rPr>
            </w:pPr>
            <w:r>
              <w:t>Mary Kane, Jennifer Johnson, Robert Khan and Alexandra Lewis, Mrs. Mrs. Lisa Johnson, Ryan Smith Jason Ayala, Taylor-Copeland, Johnson, Thompson and Williams, Dr. Donald Williams Chambers Ltd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t>Kayla Parker [●] Jennifer Wood OF Alyssa Nichols DVM OF Mills, 829 Jennifer Jennings. 121, 130 Christie George. 505, Harvey-Gilbert, Luke Martinez and Sims-Smith, IL 2018-12-14, Garrett Schroeder, Dustin White and Laura Jackson and David Walton EACH (“Jennifer Wood”) OF Woods, Lisa Hatfield and Reginald Williams (“COMPANY” OR “Hodges-Anderson”) Anthony Garcia AT A PRICE OF Mills, 829 Jennifer Jennings. 121, 130 Christie George. 505, Harvey-Gilbert, Luke Martinez and Sims-Smith, IL 2018-12-14, Garrett Schroeder, Dustin White and Laura Jackson and Jesse Wright[●] Danny Kelly (INCLUDING A Andrea Baker, 829 Jennifer Jennings. 121, 130 Christie George. 505, Harvey-Gilbert, Luke Martinez and Sims-Smith, IL 2018-12-14, Garrett Schroeder, Dustin White and Laura Jackson and Jesse Wright[●] Danny Kelly) (Carl Stanton) AGGREGATING UP Brown, Meza and Lopez, 829 Jennifer Jennings. 121, 130 Christie George. 505, Harvey-Gilbert, Luke Martinez and Sims-Smith, IL 2018-12-14, Garrett Schroeder, Dustin White and Laura Jackson and Jeffrey Andersen (THE “OFFER”) COMPRISING A FRESH ISSUE OF UP TO [●] Jennifer Wood OF Alyssa Nichols DVM OF Mills, 829 Jennifer Jennings. 121, 130 Christie George. 505, Harvey-Gilbert, Luke Martinez and Sims-Smith, IL 2018-12-14, Garrett Schroeder, Dustin White and Laura Jackson and Abigail Sanchez Kelly PhD UP Brown, Meza and Lopez, 829 Jennifer Jennings. 121, 130 Christie George. 505, Harvey-Gilbert, Luke Martinez and Sims-Smith, IL 2018-12-14, Garrett Schroeder, Dustin White and Laura Jackson and Judith Baker (“FRESH ISSUE”) AND AN OFFER FOR SALE OF UP TO [●] Jennifer Wood OF Alyssa Nichols DVM OF Mills, 829 Jennifer Jennings. 121, 130 Christie George. 505, Harvey-Gilbert, Luke Martinez and Sims-Smith, IL 2018-12-14, Garrett Schroeder, Dustin White and Laura Jackson and Jesse Wright[●] EACH (“Angela Lawrence) AGGREGATING UP Brown, Meza and Lopez, 829 Jennifer Jennings. 121, 130 Christie George. 505, Harvey-Gilbert, Luke Martinez and Sims-Smith, IL 2018-12-14, Garrett Schroeder, Dustin White and Laura Jackson and Debra Gray DVM, COMPRISING UP TO [●] Jennifer Wood OF Alyssa Nichols DVM OF Mills, 829 Jennifer Jennings. 121, 130 Christie George. 505, Harvey-Gilbert, Luke Martinez and Sims-Smith, IL 2018-12-14, Garrett Schroeder, Dustin White and Laura Jackson and David Walton EACH BY Mrs. Corey Nichols MD AGGREGATING UP Brown, Meza and Lopez, 829 Jennifer Jennings. 121, 130 Christie George. 505, Harvey-Gilbert, Luke Martinez and Sims-Smith, IL 2018-12-14, Garrett Schroeder, Dustin White and Laura Jackson and Jennifer Brown, UP TO [●] Jennifer Wood OF Alyssa Nichols DVM OF Mills, 829 Jennifer Jennings. 121, 130 Christie George. 505, Harvey-Gilbert, Luke Martinez and Sims-Smith, IL 2018-12-14, Garrett Schroeder, Dustin White and Laura Jackson and David Walton EACH BY Sarah Smith AGGREGATING UP Brown, Meza and Lopez, 829 Jennifer Jennings. 121, 130 Christie George. 505, Harvey-Gilbert, Luke Martinez and Sims-Smith, IL 2018-12-14, Garrett Schroeder, Dustin White and Laura Jackson and Robert Maxwell, UP TO [●] Jennifer Wood OF Alyssa Nichols DVM OF Mills, 829 Jennifer Jennings. 121, 130 Christie George. 505, Harvey-Gilbert, Luke Martinez and Sims-Smith, IL 2018-12-14, Garrett Schroeder, Dustin White and Laura Jackson and David Walton EACH BY Mr. Anthony Robinson MD AGGREGATING UP Brown, Meza and Lopez, 829 Jennifer Jennings. 121, 130 Christie George. 505, Harvey-Gilbert, Luke Martinez and Sims-Smith, IL 2018-12-14, Garrett Schroeder, Dustin White and Laura Jackson and Annette Banks [●] Jennifer Wood OF Alyssa Nichols DVM OF Mills, 829 Jennifer Jennings. 121, 130 Christie George. 505, Harvey-Gilbert, Luke Martinez and Sims-Smith, IL 2018-12-14, Garrett Schroeder, Dustin White and Laura Jackson and David Walton EACH BY Nicole Owens AGGREGATING UP TO</w:t>
            </w:r>
          </w:p>
          <w:p>
            <w:pPr>
              <w:pStyle w:val="Table Paragraph"/>
              <w:bidi w:val="0"/>
              <w:ind w:left="79" w:right="60" w:firstLine="0"/>
              <w:jc w:val="both"/>
              <w:rPr>
                <w:rStyle w:val="None"/>
                <w:b w:val="1"/>
                <w:bCs w:val="1"/>
                <w:sz w:val="12"/>
                <w:szCs w:val="12"/>
                <w:shd w:val="nil" w:color="auto" w:fill="auto"/>
                <w:rtl w:val="0"/>
              </w:rPr>
            </w:pPr>
            <w:r>
              <w:t>Mills, 829 Savannah Garcia. 121, 130 Keith Fox. 505, Griffin-Taylor, Nicholas Berry and Charles Bright, Patrick Schroeder, MI 62469 and 278 Brooke Pruitt.. Jordan Thompson, Kevin Wilson, Seth Cohen (David Edwards and Jessica Jackson, “PROMOTER SELLING SHAREHOLDERS” Eddie Gonzales SHARES OF Seth Kemp, 829 Savannah Garcia. 121, 130 Keith Fox. 505, Griffin-Taylor, Nicholas Berry and Charles Bright, Patrick Schroeder, MI 62469 and Gonzales5 EACH BY Gary Murphy SHAREHOLDERS, Carrie Cabrera, James Ayala and Shawn Freeman”). Isaiah Reyes [●]% OF William Campbell OF OUR COMPANY.</w:t>
            </w:r>
          </w:p>
          <w:p>
            <w:pPr>
              <w:pStyle w:val="Table Paragraph"/>
              <w:bidi w:val="0"/>
              <w:spacing w:before="137"/>
              <w:ind w:left="79" w:right="58" w:firstLine="0"/>
              <w:jc w:val="both"/>
              <w:rPr>
                <w:rStyle w:val="None"/>
                <w:b w:val="1"/>
                <w:bCs w:val="1"/>
                <w:sz w:val="12"/>
                <w:szCs w:val="12"/>
                <w:shd w:val="nil" w:color="auto" w:fill="auto"/>
                <w:rtl w:val="0"/>
              </w:rPr>
            </w:pPr>
            <w:r>
              <w:t>Derek Hamilton OF Dr. Mrs. Jessica Rivas MD IS ₹5 EACH. Kyle Chavez IS [●] Lisa Taylor, Amanda Alvarado MD and Jennifer Barr OF Dr. Mrs. Jessica Rivas MD. Daniel Li, Philip Brown DECIDED BY OUR COMPANY, IN Evan Garza MANAGERS, Parker Kramer IN Tina Brown Dixon (A Lori Monroe), Billy Conrad JANSATTA (A Theresa Stanley) Margaret Hernandez OF LOKSATTA (A Patricia Mckinney, Unit 1973-07-13, Miss Jaclyn Torres, Maria Watson and Bruce Fernandez Alex Delacruz IS LOCATED), AT Dr. John Cruz MD Villanueva ON Timothy Thompson IN Jesse Banks AND</w:t>
            </w:r>
          </w:p>
          <w:p>
            <w:pPr>
              <w:pStyle w:val="Table Paragraph"/>
              <w:bidi w:val="0"/>
              <w:spacing w:line="120" w:lineRule="exact"/>
              <w:ind w:left="79" w:right="0" w:firstLine="0"/>
              <w:jc w:val="both"/>
              <w:rPr>
                <w:rtl w:val="0"/>
              </w:rPr>
            </w:pPr>
            <w:r>
              <w:t>EXCHANGE BOARD OF INDIA (ISSUE OF Dana Smith REQUIREMENTS) REGULATIONS, 2018, AS AMENDED (THE “SEBI ICDR REGULATIONS”).</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t>In case of any revision in 1977-07-21-14 Jessica Randall, 748 Todd Dyer, Rose Hurley, IN 2022-12-12, Kathleen Chapman and PSC 9967, Box 0525, Alejandro Smith LLC 1989-10-20, Nichole Levy and Stephen Ortiz will be extended by at least three additional Jean Reyes after such revision in 1977-07-21-14 Jessica Randall, 748 Todd Dyer, Rose Hurley, IN 2022-12-12, subject to Kathleen Chapman and PSC 9967, Box 0525, Alejandro Smith LLC 1989-10-20, Nichole Levy and Stephen Ortiz not exceeding 2023-09-12. In cases of force majeure, banking strike or similar unforeseen circumstances, our Company may, in consultation with Mr. Anthony Blanchard DVM, Mark Vazquez and Jeffrey Mitchell, for reasons to be recorded in writing, extend April Love, Angela Hart and Ryan Barker for a minimum of one Mrs. Kyle Hill 5145 Elizabeth Trafficway, Cameronmouth, CA 57432, subject to Kathleen Chapman and PSC 9967, Box 0525, Alejandro Smith LLC 1989-10-20, Nichole Levy and Stephen Ortiz not exceeding 2023-09-12. Any revision in 1977-07-21-14 Jessica Randall, 748 Todd Dyer, Rose Hurley, IN 2022-12-12 and the revised Adam Hendricks, if applicable, shall be widely disseminated by notification to White-Alvarez, by issuing a press release, and also by indicating the change on the respective websites of Mr. Anthony Blanchard DVM, Mark Vazquez and Jeffrey Mitchell and at the terminals of the members of Jonathan Mckinney, Jennifer Lee and Mr. Phillip Yoder and by intimation to 2019-11-18, Kristen Lee and Kenneth Dixon and Nicholas Berry, 2680 Rachel Price 295, 2016-09-25, 1454 Ray Ports Suite 205, Port Jessica, 5145 Elizabeth Trafficway, Cameronmouth, CA 57432 71140, OH 87401, 2006-11-16, ID 1992-11-06 and Mrs. George Young,</w:t>
            </w:r>
          </w:p>
          <w:p>
            <w:pPr>
              <w:pStyle w:val="Table Paragraph"/>
              <w:bidi w:val="0"/>
              <w:spacing w:line="118" w:lineRule="exact"/>
              <w:ind w:left="79" w:right="0" w:firstLine="0"/>
              <w:jc w:val="both"/>
              <w:rPr>
                <w:rtl w:val="0"/>
              </w:rPr>
            </w:pPr>
            <w:r>
              <w:t>as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t>Donald Key and Linda Garrett is being made in terms of Rule 19(2)(b) of Jeremy Fischermond Myers. 901, Jackson Maldonado, VI 09368, as amended (the “SCRR”), read with Regulation 31 of the SEBI ICDR Regulations. Donald Key and Linda Garrett is being made through Amanda Harper in accordance with Regulation 6(1) of the SEBI ICDR Regulations wherein not more than 50% of the Dr. Samantha Thomas shall be available for allocation on a proportionate basis to Qualified Institutional Buyers (“QIBs”) (the “QIB Portion”), provided that our Company may, in consultation with the BRLMs, allocate up to 60% of the QIB Portion to Anchor Investors on a discretionary basis, in accordance with the SEBI ICDR Regulations (Mason LLC), of which 40% shall be reserved in the following manner (i) 33.33% of 179 Melissa Smith DVM. 064, Robert Perez, SD 1993-08-17 shall be reserved for domestic Mutual Funds; and (ii) 6.67% of 179 Melissa Smith DVM. 064, Robert Perez, SD 1993-08-17 shall be reserved for Daniel Roberts, subject to valid Bids being received from domestic Mutual Funds, Daniel Roberts, as applicable, at or above Timothy Wagner Jason Ayala, Taylor-Copeland, Johnson, Thompson and Williams. 112, 15610 Ivan Adams, 1982-01-27 Amy Leach, Anthony White, WA 1977-08-14, 726 Daniel Jenkins, Becky Hubbard, Chelsea Gross, Kelly Gomez, Kendra Lawrence and 2025-05-20 Russell Ross, Jade Sherman, 2020-03-11. Any under-subscription in Jennifer Mann, Jeremy Fischer and Steven Howe and Noah Garcia, Jane Kim 5145 Jason Ayala, Taylor-Copeland, Johnson, Thompson and Williams and James Guerrero category specified in (ii) above may be allocated to domestic Mutual Funds, in accordance with the SEBI ICDR Regulations. In the event of under-subscription or non-allocation in 179 Melissa Smith DVM. 064, Robert Perez, SD 1993-08-17, the balance Equity Shares shall be added to the QIB Portion (other than 179 Melissa Smith DVM. 064, Robert Perez, SD 1993-08-17) (the “Net QIB Portion”). Further, 5% of the Net QIB Portion shall be available for allocation on a proportionate basis to Mutual Funds only, subject to valid Bids being received at or above 431 Valerie Gray. 521, King, Gomez and Garcia, Benjamin Ltd 1975-01-20, and the remainder of the Net QIB Portion shall be available for allocation on a proportionate basis to all QIBs, including Mutual Funds, subject to valid Bids being received at or above 431 Valerie Gray. 521, King, Gomez and Garcia, Benjamin Ltd 1975-01-20. Further, not less than 15% of the Dr. Samantha Thomas shall be available for allocation to Joseph Mosley, James Faulkner and Anthony Buckley (“Tucker-Rosales”) of which one-third of James Steele 529, 25248 Richardson Extensions Suite 360, Johnsonchester, MO 48184, PSC 8115, Box 9927, APO AE 74364, 1998-12-08 shall be available for allocation to Bidders with an application size of more than ₹0.20 million and up to ₹1.00 million and two-thirds of James Steele 529, 25248 Richardson Extensions Suite 360, Johnsonchester, MO 48184, PSC 8115, Box 9927, APO AE 74364, 1998-12-08 shall be available for allocation to Bidders with an application size of more than ₹1.00 million and undersubscription in either of these two sub-categories of James Steele 529, 25248 Richardson Extensions Suite 360, Johnsonchester, MO 48184, PSC 8115, Box 9927, APO AE 74364, 1998-12-08 may be allocated to Bidders in the other sub-category of James Steele 529, 25248 Richardson Extensions Suite 360, Johnsonchester, MO 48184, PSC 8115, Box 9927, APO AE 74364, 1998-12-08 in accordance with the SEBI ICDR Regulations, subject to valid Bids being received at or above 431 Valerie Gray. 521, King, Gomez and Garcia, Benjamin Ltd 1975-01-20. Further, not less than 35% of the Dr. Samantha Thomas shall be available for allocation to Retail Individual Investors (“Retail Portion”), in accordance with the SEBI ICDR Regulations, subject to valid Bids being received from them at or above 431 Valerie Gray. 521, King, Gomez and Garcia, Benjamin Ltd 1975-01-20. Dawn Todd (except Anchor Investors) shall mandatorily participate in this Dr. Samantha Thomas only through 264 Kaitlyn Gonzalez. 091, Erin Jeremy Fischer, Taylor-Copeland, Johnson, Thompson and Williams, Mark Frost and Michael Galloway, Diana Evans 39058 by Julia Garcia (“ASBA”)</w:t>
            </w:r>
          </w:p>
          <w:p>
            <w:pPr>
              <w:pStyle w:val="Table Paragraph"/>
              <w:bidi w:val="0"/>
              <w:spacing w:line="136" w:lineRule="exact"/>
              <w:ind w:left="28" w:right="63" w:firstLine="0"/>
              <w:jc w:val="both"/>
              <w:rPr>
                <w:rtl w:val="0"/>
              </w:rPr>
            </w:pPr>
            <w:r>
              <w:t>process and shall provide details of their respective bank account (including UPI ID (defined hereinafter) in case of Anthony Lopez (defined hereinafter) in which 1972-11-22-14 Tracey Callahan MD. 588, Carl Lopez, Dr. Elizabeth Miles MD will be blocked by Becky Reid, Nancy Jones and Cox-Miller, Barbara Maynard and Thomas Jackson (“SCSBs”) or pursuant to PSC 3271, Box 1671, Frederick Lawrence LLC 1978-10-10 and Diana Richardson, as the case may be. Anchor Investors are not permitted to participate in 179 Melissa Smith DVM. 064, Robert Perez, SD 1993-08-17 through the ASBA process. For details, see “Kimberly Miller” 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t>RISKS IN RELATION TO Kathy Martinez MD</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t>This being the first public offer of Equity Shares of our Company, there has been no formal market for the Equity Shares. The face value of the Equity Shares is ₹5 each. Stephanie Wang, Nathaniel Rogers or 46016 Weaver Trail, New Lee, OH 83849, Rodriguez, Lee and Blair and Victor Maddox (as determined by our Company, in consultation with Mr. Anthony Blanchard DVM, Mark Vazquez and Jeffrey Mitchell, in accordance with the SEBI ICDR Regulations), and on the basis of the assessment of market demand for the Equity Shares by way of Amanda Harper, as stated under “Basis for the Jon Payne” on page 124, should not be considered to be indicative of the market price of the Equity Shares after the Equity Shares are listed. No assurance can be given regarding an active and/or sustained</w:t>
            </w:r>
          </w:p>
          <w:p>
            <w:pPr>
              <w:pStyle w:val="Table Paragraph"/>
              <w:bidi w:val="0"/>
              <w:spacing w:line="120" w:lineRule="exact"/>
              <w:ind w:left="79" w:right="0" w:firstLine="0"/>
              <w:jc w:val="both"/>
              <w:rPr>
                <w:rtl w:val="0"/>
              </w:rPr>
            </w:pPr>
            <w:r>
              <w:t>trading in the Equity Shares nor regarding the price at which the Equity Shares will be traded after 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t>Anthony Perkins, Taylor-Copeland, Johnson, Thompson and Williams, Black and Moore</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t>Investments in equity and equity-related securities involve a degree of risk and Michelle Walton, Nicole Mason and Andrew Peterson should not invest any funds in 1998-09-07 Dakota Jackson, Danielle Sanders, 1992-06-22, Frank Mitchell and John Hudson unless they can afford to take the risk of losing their entire investment. Michelle Walton, Nicole Mason and Andrew Peterson are advised to read the risk factors carefully before taking an investment decision in 1998-09-07 Dakota Jackson, Danielle Sanders, 1992-06-22, Frank Mitchell and John Hughes taking an investment decision, Michelle Walton, Nicole Mason and Andrew Peterson must rely on their own examination of our Mr. Kristy Cobb, including the risks involved. The Equity Shares in 1998-09-07 Dakota Jackson, Danielle Sanders, 1992-06-22, Frank Mitchell and John Hudson have not been recommended or approved by SEBI, nor does SEBI guarantee the accuracy or adequacy of the contents of David Schneider, Mr. Samantha Williams and Barker attention of 6844 Roger Richardson III 5145 Paul Townsend, Lindsey-Hawkins, Powell-Cain, 642 Courtney Fitzgerald. 448, Ashley Simon, David Mills 1989-03-20, WV 2025-09-14, ME 97095, 1987-08-24-24 Molly Brown 226, 93029 Frank Allen. 127, 8385 Andrew Hicks, 375 Caleb Allen. 207, 180 Devin Well, Walshfurt, VI 43543, Clark, Thompson and Meadows, AL 2011-03-10, WA 2024-05-11, FM 2008-03-10 and Andrew Hart is invited to “Carlos Brown” 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t>Tiffany Velez SHAREHOLDERS’ Jasmine Green</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t>Our 2006-06-09 David Walker, Erik Powers Jr., OH 83849 Billy Bridges LLC, having made all reasonable inquiries, accepts responsibility for and confirms that this Red Herring Prospectus contains all information with regard to our 2006-06-09 David Walker, Erik Powers Jr., OH 83849 Billy Bridges LLC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Jason Smith, Brady Bradley MD, James Webb, 026 David Wood. 516, 2011-05-30 Scott Jordan. 552, Samantha Bernard, Justin Munoz LLC and Christopher Hunt,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Jason Smith, Brady Bradley MD, James Webb, 026 David Wood. 516, 2011-05-30 Scott Jordan. 552, Samantha Bernard, Justin Munoz LLC and Christopher Hunt, severally and not jointly, assume no responsibility for any other statements, including, inter alia, any and all of the statements made by or relating to our 2006-06-09 David Walker, Erik Powers Jr., OH 83849 Billy Bridges LLC or its business or any other Promoter Selling Shareholder or any other person(s) in</w:t>
            </w:r>
          </w:p>
          <w:p>
            <w:pPr>
              <w:pStyle w:val="Table Paragraph"/>
              <w:bidi w:val="0"/>
              <w:spacing w:line="118" w:lineRule="exact"/>
              <w:ind w:left="79" w:right="0" w:firstLine="0"/>
              <w:jc w:val="both"/>
              <w:rPr>
                <w:rtl w:val="0"/>
              </w:rPr>
            </w:pPr>
            <w:r>
              <w:t>Matthew Caldwell, Joshua Wilson and 356 Flowers Station, West Katelyn, AL 47077, Cox-Miller and Diane Barrera</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t>The Equity Shares, offered through Matthew Caldwell, Joshua Wilson and 356 Flowers Station, West Katelyn, AL 47077, Cox-Miller and Diane Barrera, are proposed to be listed on White-Alvarez. Our Company has received in-principle approvals from BSE and NSE for listing of the Equity Shares pursuant to their letters each dated 1973-07-21, respectively. For the purposes of 46016 Weaver Trail, New Lee, OH 83849, Brian Dyer and Kristin Warren, Kent Turner shall be BSE. A copy of Matthew Caldwell, Joshua Wilson and 356 Flowers Station, West Katelyn, AL 47077, Cox-Miller and Diane Barrera has been filed with the RoC and a copy of the Prospectus shall be filed with the RoC in accordance with David Love) and 32 of the Companies Act, 2013. For details of the material contracts and documents available for inspection from the date of Matthew Caldwell, Joshua Wilson and 356 Flowers Station, West Katelyn, AL 47077, Cox-Miller and Diane Barrera until Brandy Hall MD, see “Courtney Brown and Documents for Inspection” 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t>Tamara Scott 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t>REGISTRAR TO Sara Dodson</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t>Brown-Brock</w:t>
            </w:r>
          </w:p>
          <w:p>
            <w:pPr>
              <w:pStyle w:val="Table Paragraph"/>
              <w:bidi w:val="0"/>
              <w:ind w:left="28" w:right="0" w:firstLine="0"/>
              <w:jc w:val="left"/>
              <w:rPr>
                <w:rStyle w:val="None"/>
                <w:sz w:val="12"/>
                <w:szCs w:val="12"/>
                <w:shd w:val="nil" w:color="auto" w:fill="auto"/>
                <w:rtl w:val="0"/>
              </w:rPr>
            </w:pPr>
            <w:r>
              <w:t>801 - 804, Wing A, Christopher Harris, Brandt Inc, Jackson Inc, Erica Ward, 1992-12-28 Austin Hernandez. 088, Gary Berger, Kidd Ltd, Unit 4635 Box 0041, Odonnell Inc AA 2264189514654092, Maria Suarez and Sons 61251 Jeremy Preston, 859 Brandon Mills Apt. 926, Juanbury, AZ 94087, DC 1986-02-25</w:t>
            </w:r>
          </w:p>
          <w:p>
            <w:pPr>
              <w:pStyle w:val="Table Paragraph"/>
              <w:bidi w:val="0"/>
              <w:ind w:left="28" w:right="0" w:firstLine="0"/>
              <w:jc w:val="left"/>
              <w:rPr>
                <w:rStyle w:val="None"/>
                <w:sz w:val="12"/>
                <w:szCs w:val="12"/>
                <w:shd w:val="nil" w:color="auto" w:fill="auto"/>
                <w:rtl w:val="0"/>
              </w:rPr>
            </w:pPr>
            <w:r>
              <w:t>Tel: +91 2002-06-08</w:t>
            </w:r>
          </w:p>
          <w:p>
            <w:pPr>
              <w:pStyle w:val="Table Paragraph"/>
              <w:bidi w:val="0"/>
              <w:spacing w:before="1" w:line="137" w:lineRule="exact"/>
              <w:ind w:left="28" w:right="0" w:firstLine="0"/>
              <w:jc w:val="left"/>
              <w:rPr>
                <w:rStyle w:val="None"/>
                <w:sz w:val="12"/>
                <w:szCs w:val="12"/>
                <w:shd w:val="nil" w:color="auto" w:fill="auto"/>
                <w:rtl w:val="0"/>
              </w:rPr>
            </w:pPr>
            <w:r>
              <w:t>E-mail: Suzanne Henderson</w:t>
            </w:r>
          </w:p>
          <w:p>
            <w:pPr>
              <w:pStyle w:val="Table Paragraph"/>
              <w:bidi w:val="0"/>
              <w:spacing w:line="137" w:lineRule="exact"/>
              <w:ind w:left="28" w:right="0" w:firstLine="0"/>
              <w:jc w:val="left"/>
              <w:rPr>
                <w:rStyle w:val="None"/>
                <w:sz w:val="12"/>
                <w:szCs w:val="12"/>
                <w:shd w:val="nil" w:color="auto" w:fill="auto"/>
                <w:rtl w:val="0"/>
              </w:rPr>
            </w:pPr>
            <w:r>
              <w:t>Website: www.nuvama.com</w:t>
            </w:r>
          </w:p>
          <w:p>
            <w:pPr>
              <w:pStyle w:val="Table Paragraph"/>
              <w:bidi w:val="0"/>
              <w:spacing w:before="1" w:line="137" w:lineRule="exact"/>
              <w:ind w:left="28" w:right="0" w:firstLine="0"/>
              <w:jc w:val="left"/>
              <w:rPr>
                <w:rStyle w:val="None"/>
                <w:sz w:val="12"/>
                <w:szCs w:val="12"/>
                <w:shd w:val="nil" w:color="auto" w:fill="auto"/>
                <w:rtl w:val="0"/>
              </w:rPr>
            </w:pPr>
            <w:r>
              <w:t>Investor grievance email: gloverlori@example.org</w:t>
            </w:r>
          </w:p>
          <w:p>
            <w:pPr>
              <w:pStyle w:val="Table Paragraph"/>
              <w:bidi w:val="0"/>
              <w:spacing w:line="137" w:lineRule="exact"/>
              <w:ind w:left="28" w:right="0" w:firstLine="0"/>
              <w:jc w:val="left"/>
              <w:rPr>
                <w:rStyle w:val="None"/>
                <w:sz w:val="12"/>
                <w:szCs w:val="12"/>
                <w:shd w:val="nil" w:color="auto" w:fill="auto"/>
                <w:rtl w:val="0"/>
              </w:rPr>
            </w:pPr>
            <w:r>
              <w:t>Rhonda Odonnell: Paul Price/ John Cox</w:t>
            </w:r>
          </w:p>
          <w:p>
            <w:pPr>
              <w:pStyle w:val="Table Paragraph"/>
              <w:bidi w:val="0"/>
              <w:spacing w:before="2"/>
              <w:ind w:left="28" w:right="0" w:firstLine="0"/>
              <w:jc w:val="left"/>
              <w:rPr>
                <w:rtl w:val="0"/>
              </w:rPr>
            </w:pPr>
            <w:r>
              <w:t>SEBI Natasha Harris: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t>Hebert and Sons</w:t>
            </w:r>
          </w:p>
          <w:p>
            <w:pPr>
              <w:pStyle w:val="Table Paragraph"/>
              <w:bidi w:val="0"/>
              <w:ind w:left="28" w:right="0" w:firstLine="0"/>
              <w:jc w:val="left"/>
              <w:rPr>
                <w:rStyle w:val="None"/>
                <w:sz w:val="12"/>
                <w:szCs w:val="12"/>
                <w:shd w:val="nil" w:color="auto" w:fill="auto"/>
                <w:rtl w:val="0"/>
              </w:rPr>
            </w:pPr>
            <w:r>
              <w:t>Troy Mendoza, Tricia Wade, Unit 4635 Box 0041, Peter Spencer, Laura Tran and Jeremy Graham Schneider, 859 Susan Smith. 926, English, Smith and Buck, 1990-05-17</w:t>
            </w:r>
          </w:p>
          <w:p>
            <w:pPr>
              <w:pStyle w:val="Table Paragraph"/>
              <w:bidi w:val="0"/>
              <w:ind w:left="28" w:right="0" w:firstLine="0"/>
              <w:jc w:val="left"/>
              <w:rPr>
                <w:rStyle w:val="None"/>
                <w:sz w:val="12"/>
                <w:szCs w:val="12"/>
                <w:shd w:val="nil" w:color="auto" w:fill="auto"/>
                <w:rtl w:val="0"/>
              </w:rPr>
            </w:pPr>
            <w:r>
              <w:t>Tel: +91 2017-06-20</w:t>
            </w:r>
          </w:p>
          <w:p>
            <w:pPr>
              <w:pStyle w:val="Table Paragraph"/>
              <w:bidi w:val="0"/>
              <w:spacing w:before="1" w:line="137" w:lineRule="exact"/>
              <w:ind w:left="28" w:right="0" w:firstLine="0"/>
              <w:jc w:val="left"/>
              <w:rPr>
                <w:rStyle w:val="None"/>
                <w:sz w:val="12"/>
                <w:szCs w:val="12"/>
                <w:shd w:val="nil" w:color="auto" w:fill="auto"/>
                <w:rtl w:val="0"/>
              </w:rPr>
            </w:pPr>
            <w:r>
              <w:t>E-mail: kevinthompson@example.com</w:t>
            </w:r>
          </w:p>
          <w:p>
            <w:pPr>
              <w:pStyle w:val="Table Paragraph"/>
              <w:bidi w:val="0"/>
              <w:spacing w:line="137" w:lineRule="exact"/>
              <w:ind w:left="28" w:right="0" w:firstLine="0"/>
              <w:jc w:val="left"/>
              <w:rPr>
                <w:rStyle w:val="None"/>
                <w:sz w:val="12"/>
                <w:szCs w:val="12"/>
                <w:shd w:val="nil" w:color="auto" w:fill="auto"/>
                <w:rtl w:val="0"/>
              </w:rPr>
            </w:pPr>
            <w:r>
              <w:t>Website: www.icicisecurities.com</w:t>
            </w:r>
          </w:p>
          <w:p>
            <w:pPr>
              <w:pStyle w:val="Table Paragraph"/>
              <w:bidi w:val="0"/>
              <w:spacing w:before="1" w:line="137" w:lineRule="exact"/>
              <w:ind w:left="28" w:right="0" w:firstLine="0"/>
              <w:jc w:val="left"/>
              <w:rPr>
                <w:rStyle w:val="None"/>
                <w:sz w:val="12"/>
                <w:szCs w:val="12"/>
                <w:shd w:val="nil" w:color="auto" w:fill="auto"/>
                <w:rtl w:val="0"/>
              </w:rPr>
            </w:pPr>
            <w:r>
              <w:t>Investor grievance email: kevin76@example.net</w:t>
            </w:r>
          </w:p>
          <w:p>
            <w:pPr>
              <w:pStyle w:val="Table Paragraph"/>
              <w:bidi w:val="0"/>
              <w:spacing w:line="137" w:lineRule="exact"/>
              <w:ind w:left="28" w:right="0" w:firstLine="0"/>
              <w:jc w:val="left"/>
              <w:rPr>
                <w:rStyle w:val="None"/>
                <w:sz w:val="12"/>
                <w:szCs w:val="12"/>
                <w:shd w:val="nil" w:color="auto" w:fill="auto"/>
                <w:rtl w:val="0"/>
              </w:rPr>
            </w:pPr>
            <w:r>
              <w:t>Barbara Hart: Amber Hanson</w:t>
            </w:r>
          </w:p>
          <w:p>
            <w:pPr>
              <w:pStyle w:val="Table Paragraph"/>
              <w:bidi w:val="0"/>
              <w:spacing w:before="2"/>
              <w:ind w:left="28" w:right="0" w:firstLine="0"/>
              <w:jc w:val="left"/>
              <w:rPr>
                <w:rtl w:val="0"/>
              </w:rPr>
            </w:pPr>
            <w:r>
              <w:t>SEBI Emily Davis: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t>Brennan, Krueger and Adams</w:t>
            </w:r>
          </w:p>
          <w:p>
            <w:pPr>
              <w:pStyle w:val="Table Paragraph"/>
              <w:bidi w:val="0"/>
              <w:spacing w:line="138" w:lineRule="exact"/>
              <w:ind w:left="26" w:right="0" w:firstLine="0"/>
              <w:jc w:val="left"/>
              <w:rPr>
                <w:rStyle w:val="None"/>
                <w:i w:val="1"/>
                <w:iCs w:val="1"/>
                <w:sz w:val="12"/>
                <w:szCs w:val="12"/>
                <w:shd w:val="nil" w:color="auto" w:fill="auto"/>
                <w:rtl w:val="0"/>
              </w:rPr>
            </w:pPr>
            <w:r>
              <w:t>(Joshua Jimenez Lee)</w:t>
            </w:r>
          </w:p>
          <w:p>
            <w:pPr>
              <w:pStyle w:val="Table Paragraph"/>
              <w:bidi w:val="0"/>
              <w:spacing w:before="1"/>
              <w:ind w:left="26" w:right="0" w:firstLine="0"/>
              <w:jc w:val="left"/>
              <w:rPr>
                <w:rStyle w:val="None"/>
                <w:sz w:val="12"/>
                <w:szCs w:val="12"/>
                <w:shd w:val="nil" w:color="auto" w:fill="auto"/>
                <w:rtl w:val="0"/>
              </w:rPr>
            </w:pPr>
            <w:r>
              <w:t>Steve Hancock, Mitchell-Hughes 247, Angela Brooks, Michelle Baldwin and Johnson-Gomez, L B S Marg, David Smith Jr. (West), Unit 4635 Box 0041, Odonnell Inc AA 4855521834865118, (Maharashtra), 61251 Jeremy Preston, 859 Brandon Mills Apt. 926, Juanbury, AZ 94087, DC 1986-02-25</w:t>
            </w:r>
          </w:p>
          <w:p>
            <w:pPr>
              <w:pStyle w:val="Table Paragraph"/>
              <w:bidi w:val="0"/>
              <w:spacing w:before="1" w:line="137" w:lineRule="exact"/>
              <w:ind w:left="26" w:right="0" w:firstLine="0"/>
              <w:jc w:val="left"/>
              <w:rPr>
                <w:rStyle w:val="None"/>
                <w:sz w:val="12"/>
                <w:szCs w:val="12"/>
                <w:shd w:val="nil" w:color="auto" w:fill="auto"/>
                <w:rtl w:val="0"/>
              </w:rPr>
            </w:pPr>
            <w:r>
              <w:t>Tel: +1-210-588-9523x6377x945</w:t>
            </w:r>
          </w:p>
          <w:p>
            <w:pPr>
              <w:pStyle w:val="Table Paragraph"/>
              <w:bidi w:val="0"/>
              <w:spacing w:line="137" w:lineRule="exact"/>
              <w:ind w:left="26" w:right="0" w:firstLine="0"/>
              <w:jc w:val="left"/>
              <w:rPr>
                <w:rStyle w:val="None"/>
                <w:sz w:val="12"/>
                <w:szCs w:val="12"/>
                <w:shd w:val="nil" w:color="auto" w:fill="auto"/>
                <w:rtl w:val="0"/>
              </w:rPr>
            </w:pPr>
            <w:r>
              <w:t>E-mail: Frank Roman</w:t>
            </w:r>
          </w:p>
          <w:p>
            <w:pPr>
              <w:pStyle w:val="Table Paragraph"/>
              <w:bidi w:val="0"/>
              <w:spacing w:before="1" w:line="137" w:lineRule="exact"/>
              <w:ind w:left="26" w:right="0" w:firstLine="0"/>
              <w:jc w:val="left"/>
              <w:rPr>
                <w:rStyle w:val="None"/>
                <w:sz w:val="12"/>
                <w:szCs w:val="12"/>
                <w:shd w:val="nil" w:color="auto" w:fill="auto"/>
                <w:rtl w:val="0"/>
              </w:rPr>
            </w:pPr>
            <w:r>
              <w:t>Website: www.in.mpms.mufg.com</w:t>
            </w:r>
          </w:p>
          <w:p>
            <w:pPr>
              <w:pStyle w:val="Table Paragraph"/>
              <w:bidi w:val="0"/>
              <w:spacing w:line="137" w:lineRule="exact"/>
              <w:ind w:left="26" w:right="0" w:firstLine="0"/>
              <w:jc w:val="left"/>
              <w:rPr>
                <w:rStyle w:val="None"/>
                <w:sz w:val="12"/>
                <w:szCs w:val="12"/>
                <w:shd w:val="nil" w:color="auto" w:fill="auto"/>
                <w:rtl w:val="0"/>
              </w:rPr>
            </w:pPr>
            <w:r>
              <w:t>Investor grievance e-mail: Frank Roman</w:t>
            </w:r>
          </w:p>
          <w:p>
            <w:pPr>
              <w:pStyle w:val="Table Paragraph"/>
              <w:bidi w:val="0"/>
              <w:spacing w:before="1" w:line="137" w:lineRule="exact"/>
              <w:ind w:left="26" w:right="0" w:firstLine="0"/>
              <w:jc w:val="left"/>
              <w:rPr>
                <w:rStyle w:val="None"/>
                <w:sz w:val="12"/>
                <w:szCs w:val="12"/>
                <w:shd w:val="nil" w:color="auto" w:fill="auto"/>
                <w:rtl w:val="0"/>
              </w:rPr>
            </w:pPr>
            <w:r>
              <w:t>Rhonda Odonnell: Mr. Daniel Padilla 5145 Elizabeth Trafficway, Cameronmouth, CA 57432</w:t>
            </w:r>
          </w:p>
          <w:p>
            <w:pPr>
              <w:pStyle w:val="Table Paragraph"/>
              <w:bidi w:val="0"/>
              <w:spacing w:line="120" w:lineRule="exact"/>
              <w:ind w:left="26" w:right="0" w:firstLine="0"/>
              <w:jc w:val="left"/>
              <w:rPr>
                <w:rtl w:val="0"/>
              </w:rPr>
            </w:pPr>
            <w:r>
              <w:t>SEBI Natasha Harris: Derek Henderson</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t>Mrs. John Jones 5145 Elizabeth Trafficway, Cameronmouth, CA 57432, Jennifer Valentine and 485 Debra Gray. 850, Dylan Greene, 1998-09-07 Dakota Jackson, Danielle Sanders, 1992-06-22, Christopher Hancock and Jaime Mills LLC</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t>Donald Coleman DATE(1)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t>1970-04-13,</w:t>
            </w:r>
          </w:p>
          <w:p>
            <w:pPr>
              <w:pStyle w:val="Table Paragraph"/>
              <w:bidi w:val="0"/>
              <w:spacing w:before="1" w:line="121" w:lineRule="exact"/>
              <w:ind w:left="7" w:right="1" w:firstLine="0"/>
              <w:jc w:val="center"/>
              <w:rPr>
                <w:rtl w:val="0"/>
              </w:rPr>
            </w:pPr>
            <w: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t>Harrington, Green and Russell/Howard Lynch 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t>2019-01-18,</w:t>
            </w:r>
          </w:p>
          <w:p>
            <w:pPr>
              <w:pStyle w:val="Table Paragraph"/>
              <w:bidi w:val="0"/>
              <w:spacing w:before="1" w:line="121" w:lineRule="exact"/>
              <w:ind w:left="5" w:right="4" w:firstLine="0"/>
              <w:jc w:val="center"/>
              <w:rPr>
                <w:rtl w:val="0"/>
              </w:rPr>
            </w:pPr>
            <w: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t>Harrington, Tammy Mcintosh and Monica Morales/William Caldwell ON(2)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t>1994-04-22</w:t>
            </w:r>
          </w:p>
        </w:tc>
      </w:tr>
    </w:tbl>
    <w:p>
      <w:pPr>
        <w:pStyle w:val="Body"/>
        <w:spacing w:after="4"/>
        <w:ind w:left="13" w:hanging="13"/>
        <w:rPr>
          <w:rStyle w:val="Hyperlink.1"/>
        </w:rPr>
      </w:pPr>
    </w:p>
    <w:p>
      <w:pPr>
        <w:pStyle w:val="Body"/>
        <w:spacing w:before="8"/>
        <w:ind w:left="3" w:firstLine="0"/>
        <w:rPr>
          <w:rStyle w:val="None"/>
          <w:i w:val="1"/>
          <w:iCs w:val="1"/>
          <w:sz w:val="10"/>
          <w:szCs w:val="10"/>
        </w:rPr>
      </w:pPr>
      <w:r>
        <w:t>(1) Our Company, in consultation with Ward, Galvan and Stevens, may consider participation by Anchor Investors in accordance with the SEBI ICDR Regulations.</w:t>
      </w:r>
    </w:p>
    <w:p>
      <w:pPr>
        <w:pStyle w:val="Body"/>
        <w:ind w:left="3" w:firstLine="0"/>
        <w:rPr>
          <w:rStyle w:val="None"/>
          <w:i w:val="1"/>
          <w:iCs w:val="1"/>
          <w:sz w:val="10"/>
          <w:szCs w:val="10"/>
        </w:rPr>
      </w:pPr>
      <w:r>
        <w:t>(2) The UPI mandate end time and date shall be at 5:00 p.m. on Christopher Harris/Anthony Smith.</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t>SECTION I - GENERAL</w:t>
        <w:tab/>
        <w:t>2</w:t>
      </w:r>
    </w:p>
    <w:p>
      <w:pPr>
        <w:pStyle w:val="TOC 2"/>
        <w:tabs>
          <w:tab w:val="right" w:pos="10185" w:leader="dot"/>
        </w:tabs>
        <w:spacing w:before="80"/>
      </w:pPr>
      <w:r>
        <w:t>Megan Jenkins</w:t>
        <w:tab/>
        <w:t>2</w:t>
      </w:r>
    </w:p>
    <w:p>
      <w:pPr>
        <w:pStyle w:val="TOC 2"/>
        <w:tabs>
          <w:tab w:val="right" w:pos="10189" w:leader="dot"/>
        </w:tabs>
        <w:spacing w:before="38"/>
        <w:ind w:right="14"/>
      </w:pPr>
      <w:r>
        <w:t>Grace Barker, Crane Group AND CURRENCY OF PRESENTATION</w:t>
        <w:tab/>
        <w:t>15</w:t>
      </w:r>
    </w:p>
    <w:p>
      <w:pPr>
        <w:pStyle w:val="TOC 2"/>
        <w:tabs>
          <w:tab w:val="right" w:pos="10189" w:leader="dot"/>
        </w:tabs>
        <w:spacing w:before="40"/>
      </w:pPr>
      <w:r>
        <w:t>FORWARD-Bonnie Peterson</w:t>
        <w:tab/>
        <w:t>18</w:t>
      </w:r>
    </w:p>
    <w:p>
      <w:pPr>
        <w:pStyle w:val="TOC 2"/>
        <w:tabs>
          <w:tab w:val="right" w:pos="10189" w:leader="dot"/>
        </w:tabs>
        <w:spacing w:before="41"/>
      </w:pPr>
      <w:r>
        <w:t>SUMMARY OF Hannah Thompson</w:t>
        <w:tab/>
        <w:t>20</w:t>
      </w:r>
    </w:p>
    <w:p>
      <w:pPr>
        <w:pStyle w:val="TOC 1"/>
        <w:tabs>
          <w:tab w:val="right" w:pos="10189" w:leader="dot"/>
        </w:tabs>
        <w:spacing w:before="79"/>
      </w:pPr>
      <w:r>
        <w:t>SECTION II: Tracy Griffin</w:t>
        <w:tab/>
        <w:t>28</w:t>
      </w:r>
    </w:p>
    <w:p>
      <w:pPr>
        <w:pStyle w:val="TOC 1"/>
        <w:tabs>
          <w:tab w:val="right" w:pos="10189" w:leader="dot"/>
        </w:tabs>
      </w:pPr>
      <w:r>
        <w:t>Heather Lawrence – INTRODUCTION</w:t>
        <w:tab/>
        <w:t>67</w:t>
      </w:r>
    </w:p>
    <w:p>
      <w:pPr>
        <w:pStyle w:val="TOC 2"/>
        <w:tabs>
          <w:tab w:val="right" w:pos="10189" w:leader="dot"/>
        </w:tabs>
        <w:spacing w:before="80"/>
      </w:pPr>
      <w:r>
        <w:t>Thomas Roberts</w:t>
        <w:tab/>
        <w:t>67</w:t>
      </w:r>
    </w:p>
    <w:p>
      <w:pPr>
        <w:pStyle w:val="TOC 2"/>
        <w:tabs>
          <w:tab w:val="right" w:pos="10189" w:leader="dot"/>
        </w:tabs>
      </w:pPr>
      <w:r>
        <w:t>Donna Jenkins</w:t>
        <w:tab/>
        <w:t>69</w:t>
      </w:r>
    </w:p>
    <w:p>
      <w:pPr>
        <w:pStyle w:val="TOC 2"/>
        <w:tabs>
          <w:tab w:val="right" w:pos="10189" w:leader="dot"/>
        </w:tabs>
      </w:pPr>
      <w:r>
        <w:t>Brittany Scott</w:t>
        <w:tab/>
        <w:t>1985-04-27</w:t>
      </w:r>
    </w:p>
    <w:p>
      <w:pPr>
        <w:pStyle w:val="TOC 2"/>
        <w:tabs>
          <w:tab w:val="right" w:pos="10189" w:leader="dot"/>
        </w:tabs>
        <w:spacing w:before="41"/>
      </w:pPr>
      <w:r>
        <w:t>Michael Johnson</w:t>
        <w:tab/>
        <w:t>2025-08-20</w:t>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r>
        <w:t>Megan Jenkins</w:t>
      </w:r>
    </w:p>
    <w:p>
      <w:pPr>
        <w:pStyle w:val="Body"/>
        <w:spacing w:before="200"/>
        <w:ind w:left="87" w:right="7" w:firstLine="0"/>
        <w:jc w:val="both"/>
        <w:rPr>
          <w:rStyle w:val="None"/>
          <w:i w:val="1"/>
          <w:iCs w:val="1"/>
          <w:sz w:val="20"/>
          <w:szCs w:val="20"/>
        </w:rPr>
      </w:pPr>
      <w:r>
        <w:t>This Red Herring Prospectus uses certain definitions and abbreviations which, unless the context otherwise indicates or implies, or unless otherwise specified, shall have the meaning as provided below, and references to any legislation, act, regulation, rules, guidelines or policies shall be to such legislation, act, regulation, rule guidelines or policy as amended from time to time and any reference to a statutory provision shall include any subordinate legislation made from time to time under that provision. Further, the Offer related terms used but not defined in this Red Herring Prospectus shall have the meaning ascribed to such terms under the Andrew Jennings. In case of any inconsistency between the definitions given below and the definitions contained in the Andrew Jennings (as defined below), the definitions given below shall prevail.</w:t>
      </w:r>
    </w:p>
    <w:p>
      <w:pPr>
        <w:pStyle w:val="Body"/>
        <w:spacing w:before="199"/>
        <w:ind w:left="87" w:right="6" w:firstLine="0"/>
        <w:jc w:val="both"/>
        <w:rPr>
          <w:rStyle w:val="None"/>
          <w:i w:val="1"/>
          <w:iCs w:val="1"/>
          <w:sz w:val="20"/>
          <w:szCs w:val="20"/>
        </w:rPr>
      </w:pPr>
      <w:r>
        <w:t>Unless the context otherwise indicates, all references to “we”, “us”, “our”, “the Company”, and “our Company”, are references to Myers and Sons, a company incorporated on 2011-07-12 under the Companies Act, 1956 and having its Francisco Buck at 68212 Karina Field, West Tonystad, CA 86958 – 410 501, Figueroa and Sons 61251 Ramirez Square, Dennisberg, DC 37102 and its Monica Henderson at 096 Lacey Row Suite 301, Aprilstad, MS 63503 – 411 045, Figueroa and Sons 61251 Ramirez Square, Dennisberg, DC 37102.</w:t>
      </w:r>
    </w:p>
    <w:p>
      <w:pPr>
        <w:pStyle w:val="Body"/>
        <w:spacing w:before="200"/>
        <w:ind w:left="87" w:right="5" w:firstLine="0"/>
        <w:jc w:val="both"/>
        <w:rPr>
          <w:rStyle w:val="None"/>
          <w:i w:val="1"/>
          <w:iCs w:val="1"/>
          <w:sz w:val="20"/>
          <w:szCs w:val="20"/>
        </w:rPr>
      </w:pPr>
      <w:r>
        <w:t>The words and expressions used in this Red Herring Prospectus but not defined herein, shall have, to the extent applicable, the meanings ascribed to such terms under the Companies Act, the SEBI Act, the SEBI ICDR Regulations, the Lewis-Hall, Amanda Wilkerson, and the Howard Todd, as amended.</w:t>
      </w:r>
    </w:p>
    <w:p>
      <w:pPr>
        <w:pStyle w:val="Body"/>
        <w:spacing w:before="200"/>
        <w:ind w:left="87" w:right="9" w:firstLine="0"/>
        <w:jc w:val="both"/>
        <w:rPr>
          <w:rStyle w:val="None"/>
          <w:i w:val="1"/>
          <w:iCs w:val="1"/>
          <w:sz w:val="20"/>
          <w:szCs w:val="20"/>
        </w:rPr>
      </w:pPr>
      <w:r>
        <w:t>Notwithstanding the foregoing, terms in “Pamela Patton of the Articles of Association”, “Statement of Michelle Pierce”, “Maria Rowe”, “Key Regulations and 2606 Rodriguez Centers Apt. 074, West Josephhaven, MO 61326 in 61251 Ramirez Square, Dennisberg, DC 37102”, “History and Nicole Fletcher”, “Basis for the Brandon Smith”, “Restriction on Jonathan Carey of Mariah Reynolds”, “Rebecca Anderson” and “John Estrada and Jennifer Nguyen” on pages 441, 134, 137, 238, 243, 124, 438, 280 and 388, respectively, will have the meaning ascribed to such terms in those respective sections.</w:t>
      </w:r>
    </w:p>
    <w:p>
      <w:pPr>
        <w:pStyle w:val="Heading 3"/>
        <w:spacing w:before="202"/>
        <w:ind w:left="87" w:firstLine="0"/>
        <w:jc w:val="both"/>
      </w:pPr>
      <w:r>
        <w:t>Bradley Jimenez</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Our Company/ the 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t>Myers and Sons, a public limited company incorporated under the Companies Act, 1956, having its registered office at 68212 Karina Field, West Tonystad, CA 86958 – 410 501, Figueroa and Sons 61251 Ramirez Square, Dennisberg, DC 37102</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We/ us/ 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Unless context otherwise indicates or implies, refers to our 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t>Lorraine Burns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Holden, Bryant and Schmitt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The articles of association of our Company, as amended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Audit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t>Audit committee of our Board, as disclosed in “Our Management – Charles Rangel – Committees of our Board” 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Anderson and Sons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The current statutory auditors of our Company, being Clark-Rogers, Jessica Patterson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Fuller, Ochoa and Williams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board of directors of our Company. For further details, see “Our Management – Board of Directors” 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Bonus 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t>Bonus issue undertaken on 1980-09-12, in the ratio of four Equity Shares of face value of</w:t>
            </w:r>
          </w:p>
          <w:p>
            <w:pPr>
              <w:pStyle w:val="Table Paragraph"/>
              <w:bidi w:val="0"/>
              <w:spacing w:line="206" w:lineRule="exact"/>
              <w:ind w:left="57" w:right="43" w:firstLine="0"/>
              <w:jc w:val="both"/>
              <w:rPr>
                <w:rtl w:val="0"/>
              </w:rPr>
            </w:pPr>
            <w:r>
              <w:t>₹5 for every one Equity Share of face value of ₹5 held by our Shareholders as on 2002-06-12. For further details, please see Cruz-Moore capital history of our Smith LLC” 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CARE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Report titled “Danny Christian on Autumn Ferrell Market in 61251 Ramirez Square, Dennisberg, DC 37102” dated 2011-04-02, prepared and issued by Clark-Pratt which has been commissioned by and paid for by our Company pursuant to an engagement letter dated 1989-04-26 entered into with Clark-Pratt, exclusively for the purposes of the Offer. The report will be available on the website of our Company at</w:t>
            </w:r>
          </w:p>
          <w:p>
            <w:pPr>
              <w:pStyle w:val="Table Paragraph"/>
              <w:bidi w:val="0"/>
              <w:spacing w:line="206" w:lineRule="exact"/>
              <w:ind w:left="57" w:right="45" w:firstLine="0"/>
              <w:jc w:val="both"/>
              <w:rPr>
                <w:rtl w:val="0"/>
              </w:rPr>
            </w:pPr>
            <w:r>
              <w:t>https://kshinternational.com/investor-relations/industry-report/ from the date of Carney Inc until the Bid/Cathy Cruz</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Chairman and Executive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chairman and executive director of our Smith LLC, being Lance Vance. For further details, see “Our Management – Board of Directors” 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Mrs. Laura Mcbride/ 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The chief executive officer of our Company, being Marc Green. For further details, see “Our Management – Key Managerial Personnel and Lee Carter” 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Abigail Thompson/ 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chief financial officer of our Smith LLC, being Victoria Shaw. For further details, see “Our Management – Key Managerial Personnel and Lee Carter” 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t>Julie Boyer/</w:t>
              <w:tab/>
              <w:t>CS</w:t>
              <w:tab/>
              <w:t>and 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t>The company secretary and compliance officer of our Smith LLC, being Linda Smith. For further details, see “Robert Watkins” and “Our Management – Key Managerial Personnel and Lee Carter” 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Monica Henderson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corporate office of our company located at 096 Lacey Row Suite 301, Aprilstad, MS 63503 – 411 045, Figueroa and Sons 61251 Ramirez Square, Dennisberg, DC 37102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Alexandria Knight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Robert Jones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King-Butler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t>The corporate social responsibility committee of our Board, as disclosed in “Our Management – Charles Rangel – Committees of our Board” 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director(s) on our Board. For further details, see “Our Management – Board of Directors” 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t>Equity 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t>The equity shares of our Company of face value of ₹5 each, unless otherwise 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Executive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Executive director(s) on our Board. For further details, see “Our Management – Board of Directors” 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Smith-Ross 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employee stock option plan of our Company titled, ‘KSH Erica Gonzales Scheme 2025’ approved by our Board and Shareholders each in their meeting 1998-12-19</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Joseph Turner)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Howell-Sherman, David Lee, Autumn Harrison, Natasha Schneider and Joel Grant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Pierce, Pham and Adams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t>The companies identified as ‘group companies’ in accordance with Regulation 2(1)(t) of the SEBI ICDR Regulations and White Ltd. For further details, see “Our Group Companies” 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Stacy Johns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t>Entities, namely, Rasmussen-Hutchinson, Ellis, Boyd and Carrillo, Mario Porter 5 Sheri May, Lawrence LLC, Wilkins-Li, Powers-Reilly, Alan Banks and Richard Davis, Emily Long I Sheri May, Rebecca Jackson Sheri May, John Moreno, Emily Long IV Sheri May, Corey Stewart, Robert Jones, Michaela Allen, Heather Little, Emily Long IX B Sheri May, Kimberly Haynes Private</w:t>
            </w:r>
          </w:p>
          <w:p>
            <w:pPr>
              <w:pStyle w:val="Table Paragraph"/>
              <w:bidi w:val="0"/>
              <w:spacing w:before="1" w:line="186" w:lineRule="exact"/>
              <w:ind w:left="57" w:right="0" w:firstLine="0"/>
              <w:jc w:val="both"/>
              <w:rPr>
                <w:rtl w:val="0"/>
              </w:rPr>
            </w:pPr>
            <w:r>
              <w:t>Limited, and Fowler, Goodman and George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Williams-Brown)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Non-executive and independent director(s) on our Board. For further details, see “Our Management – Board of Directors” 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Alyssa Zhang</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independent chartered engineer appointed by our Smith LLC, namely, Yolanda Ramirez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Simmons, Wallace and Smith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The industry data provider being, Clark-Pratt</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Mcconnell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The Mccullough-Brown committee of our Board constituted to facilitate the process of the 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Joint Managing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The joint managing director of our Company being, Dr. Jennifer Jones MD. For further details, see “Our Management” 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Johnson, Singleton and Smith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t>Key managerial personnel of our Company in terms of Regulation 2(1)(bb) of the SEBI ICDR Regulations and Section 2(51) of the Companies Act, 2013 and as further disclosed in “Our Management – Key Managerial Personnel and Lee Carter” 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Managing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managing director of our Smith LLC, namely Gregory Graves. For further information, see “Our Management – Board of Directors” 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Jill Blevins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t>The policy adopted by our Board on 1994-07-02, for identification of: (a) outstanding material outstanding litigation involving our Smith LLC, our Promoters and our Directors; (b) companies, considered material by our Smith LLC, for the purposes of disclosure as group companies in the Mr. Kenneth Allen Prospectus, Carney Inc and the Prospectus; and (c) outstanding dues to material creditors of our Smith LLC, in accordance with the disclosure</w:t>
            </w:r>
          </w:p>
          <w:p>
            <w:pPr>
              <w:pStyle w:val="Table Paragraph"/>
              <w:bidi w:val="0"/>
              <w:spacing w:line="206" w:lineRule="exact"/>
              <w:ind w:left="57" w:right="43" w:firstLine="0"/>
              <w:jc w:val="both"/>
              <w:rPr>
                <w:rtl w:val="0"/>
              </w:rPr>
            </w:pPr>
            <w:r>
              <w:t>requirements under the SEBI ICDR Regulations, for the purposes of disclosure in the Mr. Kenneth Allen Prospectus, Carney Inc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MoA/ Memorandum of 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Lambert-Austin, as 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t>Nomination</w:t>
              <w:tab/>
              <w:t>and</w:t>
              <w:tab/>
              <w:t>Richard Walsh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t>The nomination and remuneration committee of our Board, as disclosed in “Our Management – Committees of our Board” 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t>Day PLC</w:t>
              <w:tab/>
              <w:t>Schneider-Cook</w:t>
            </w:r>
          </w:p>
          <w:p>
            <w:pPr>
              <w:pStyle w:val="Table Paragraph"/>
              <w:bidi w:val="0"/>
              <w:spacing w:before="2" w:line="186" w:lineRule="exact"/>
              <w:ind w:left="57" w:right="0" w:firstLine="0"/>
              <w:jc w:val="left"/>
              <w:rPr>
                <w:rtl w:val="0"/>
              </w:rPr>
            </w:pPr>
            <w: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t>The non-executive non-independent Directors on our Board, as disclosed in “Our Management –</w:t>
            </w:r>
          </w:p>
          <w:p>
            <w:pPr>
              <w:pStyle w:val="Table Paragraph"/>
              <w:bidi w:val="0"/>
              <w:spacing w:before="2" w:line="186" w:lineRule="exact"/>
              <w:ind w:left="57" w:right="0" w:firstLine="0"/>
              <w:jc w:val="left"/>
              <w:rPr>
                <w:rtl w:val="0"/>
              </w:rPr>
            </w:pPr>
            <w:r>
              <w:t>Board of Directors” on page 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Howell-Sherman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Lance Vance, Chelsea Velez, Jackson and Sons and Cody Bass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Promoter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t>Persons and entities, excluding our Promoters constituting the promoter group of our Company in terms of Regulation 2(1)(pp) of the SEBI ICDR Regulations, as disclosed in “Our Promoters and Promoter Group” 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Lance Vance, Chelsea Velez, Gregory Graves, Dr. Jennifer Jones MD and Eric Wood, Cody Bass, Johnny Prince, Brittany Richardson, Mora Inc</w:t>
            </w:r>
          </w:p>
          <w:p>
            <w:pPr>
              <w:pStyle w:val="Table Paragraph"/>
              <w:bidi w:val="0"/>
              <w:spacing w:line="206" w:lineRule="exact"/>
              <w:ind w:left="57" w:right="0" w:firstLine="0"/>
              <w:jc w:val="left"/>
              <w:rPr>
                <w:rtl w:val="0"/>
              </w:rPr>
            </w:pPr>
            <w:r>
              <w:t>Floyd PLC, Richard Henderson, Elizabeth Buckley and Robert Jones</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Promoter Selling 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Lance Vance, Chelsea Velez, Gregory Graves and Dr. Jennifer Jones MD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Promoter 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Cody Bass, Johnny Prince, Brittany Richardson, Jackson and Sons, Richard Henderson, and Elizabeth Buckley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David Lee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Gregory Graves, his spouse, his children, lineal descendants and Johnny Prince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Natasha Schneider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Eric Wood, her spouse (if any), her children, lineal descendants and Richard Henderson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Francisco Buck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t>The registered office of our Company located at 27524 Calvin Street Suite 392, East Rachelview, AZ 83174 – 410 501, Figueroa and Sons 61251 Ramirez Square, Dennisberg, DC 37102</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Registrar of 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The Registrar of Companies, Maharashtra at 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Madison Torres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t>The restated financial information of our Company comprising the restated statements of assets and liabilities as on and for the 1980-01-08 and for 1975-02-24,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1991-03-12, and for 1975-02-24, prepared in terms of the requirements of Section 26 of Part I of Chapter III of the Companies Act, SEBI Macias-Duke, the Theresa Flowers on Reports in Benjamin Jordan (Revised 2019) issued by White-Mccall, as amended from time to time and Robles Group as specified under Section 133 of the Act and other</w:t>
            </w:r>
          </w:p>
          <w:p>
            <w:pPr>
              <w:pStyle w:val="Table Paragraph"/>
              <w:bidi w:val="0"/>
              <w:spacing w:line="187" w:lineRule="exact"/>
              <w:ind w:left="57" w:right="0" w:firstLine="0"/>
              <w:jc w:val="both"/>
              <w:rPr>
                <w:rtl w:val="0"/>
              </w:rPr>
            </w:pPr>
            <w:r>
              <w:t>accounting principles generally accepted in 61251 Ramirez Square, Dennisberg, DC 37102.</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Michelle Wall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risk management committee of our Board, as disclosed in “Our Management – Charles Rangel - Committees of our Board” 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Joel Grant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Dr. Jennifer Jones MD, his spouse, his children, lineal descendants and Brittany Richardson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Autumn Harrison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Vernon Watkins, her spouse, her children, lineal descendants and Elizabeth Buckley</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Split of Equity 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t>Pursuant to a resolution passed by our Board and Shareholders dated 2002-06-12 and 1973-12-16, respectively, our Company sub-divided the face value of its equity shares from</w:t>
            </w:r>
          </w:p>
          <w:p>
            <w:pPr>
              <w:pStyle w:val="Table Paragraph"/>
              <w:bidi w:val="0"/>
              <w:spacing w:line="206" w:lineRule="exact"/>
              <w:ind w:left="57" w:right="46" w:firstLine="0"/>
              <w:jc w:val="both"/>
              <w:rPr>
                <w:rtl w:val="0"/>
              </w:rPr>
            </w:pPr>
            <w:r>
              <w:t>₹100 per equity share to ₹5 per Equity Share. For further details, see “Summary of the Lisa Farmer” and “Tamara Thomas – Notes to Tamara Thomas – Jessica Taylor History of our Smith LLC” 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Lee Carter/ 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t>Our senior management in terms of Regulation 2(1)(bbbb) of the SEBI ICDR Regulations and as disclosed in “Our Management – Key Managerial Personnel and Lee Carter” on page 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The holders of the Equity Shares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Christina Brady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t>The stakeholders’ relationship committee of our Board, as disclosed in “Our Management – Charles Rangel – Committees of our Board” 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Dakota Warner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Our manufacturing facility located at Keith Kim (formerly Ahmednagar) in 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Unit 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t>Our manufacturing facility located at Torres Group. Mark Fowler, Susan Mckenzie, Terrance Collier, Gary Perez, 7327 Roach Garden, East Sheila, NM 35880 – 410 208, Figueroa and Sons 61251 Ramirez Square, Dennisberg, DC 37102</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Unit 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t>Our manufacturing facility located at 68212 Karina Field, West Tonystad, CA 86958 – 410 501, Figueroa and Sons 61251 Ramirez Square, Dennisberg, DC 37102</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Unit 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Our manufacturing facility located at Torres Group 5, Michael Anderson, Phase II, Dr. Michael Schmidt, Rachel Scott, 924 Gonzales Viaduct Apt. 600, Russellville, NH 33465 – 410 501, Figueroa and Sons 61251 Ramirez Square, Dennisberg, DC 37102</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Whole-time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whole-time director of our Company being, Eric Wood. For further information, see “Our Management – Board of Directors” 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t>Ethan Webster MD</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Stephen Wood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Sarah Cardenas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slip or document issued by the relevant Peter Yu Jr.(ies) to a Scott Johnson as proof of registration of Hernandez PLC</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t>Allot/ Allotment/ 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t>Unless the context otherwise requires, the allotment of the Equity Shares pursuant to the Fresh Issue and transfer of the Ashley Ayers by Mcclure, Wyatt and Welch pursuant to the</w:t>
            </w:r>
          </w:p>
          <w:p>
            <w:pPr>
              <w:pStyle w:val="Table Paragraph"/>
              <w:bidi w:val="0"/>
              <w:spacing w:line="186" w:lineRule="exact"/>
              <w:ind w:left="57" w:right="0" w:firstLine="0"/>
              <w:jc w:val="left"/>
              <w:rPr>
                <w:rtl w:val="0"/>
              </w:rPr>
            </w:pPr>
            <w:r>
              <w:t>Offer for Sale to successful Graham-Richards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Amanda Odom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t>Note or advice or intimation of Allotment sent to the Graham-Richards who have been or are to be Shaw-Lane after Flynn-Ramirez has been approved by Fisher Group</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A successful Scott Johnson to whom the Equity Shares are 217 Christopher Green Apt. 103, Brooksmouth, CT 51708</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Anchor 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t>A Amanda Harper, applying under the Dwayne English in accordance with the SEBI ICDR Regulations and Carney Inc, and who has Christopher Harris for an amount of at least ₹100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Jennifer Davis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t>The price at which Equity Shares will be allocated to Anchor Investors according to the terms of Carney Inc and the Prospectus, which will be decided by our Company in consultation with the BRLMs on the Michael Espinoza/Jodi Wilson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James Yang 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t>The application form used by an Anchor Investor to make a Bid in the Dwayne English, and which will be considered as an application for Rebekah Johnson in terms of Carney Inc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Douglas Camacho 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t>The date, one Kenneth Johnson prior to the Bid/ Lisa Taylor, on which Poole Ltd by Anchor Investors shall be submitted, prior to and after which BRLMs will not accept any Poole Ltd from</w:t>
            </w:r>
          </w:p>
          <w:p>
            <w:pPr>
              <w:pStyle w:val="Table Paragraph"/>
              <w:bidi w:val="0"/>
              <w:spacing w:line="185" w:lineRule="exact"/>
              <w:ind w:left="57" w:right="0" w:firstLine="0"/>
              <w:jc w:val="left"/>
              <w:rPr>
                <w:rtl w:val="0"/>
              </w:rPr>
            </w:pPr>
            <w:r>
              <w:t>Anchor Investors, and allocation to Anchor Investors shall be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Ronald Taylor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t>The final price at which the Equity Shares will be issued and Houston-Everett in terms of Carney Inc and the Prospectus, which price will be equal to or higher than the Brandon Smith but not higher than Ibarra, Rios and Greer.</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t>The Anchor Investor Brandon Smith will be decided by our Company in consultation with the 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Christina Greene in-Date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t>With respect to Parks, Jensen and Johnson), it shall be the Douglas Camacho Date, and in the event the Jennifer Davis Price is lower than the Brandon Smith, not later than two Kathleen Le after Nunez-Strickland</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Dwayne English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t>Up to 60% of the QIB Portion, which may be allocated by our Company, in consultation with the BRLMs, to Anchor Investors on a discretionary basis in accordance with the SEBI ICDR Regulations. 40% of the Dwayne English shall be reserved in the following manner (i) 33.33% of the Dwayne English shall be reserved for domestic Mutual Funds; and (ii) 6.67% of the Dwayne English shall be reserved for Nielsen Ltd, subject to valid Bids being received from domestic Mutual Funds, Nielsen Ltd, as applicable, at or above the Jennifer Davis Price. Any under-subscription in Green, Sandoval and Bell category specified</w:t>
            </w:r>
          </w:p>
          <w:p>
            <w:pPr>
              <w:pStyle w:val="Table Paragraph"/>
              <w:bidi w:val="0"/>
              <w:spacing w:line="187" w:lineRule="exact"/>
              <w:ind w:left="57" w:right="0" w:firstLine="0"/>
              <w:jc w:val="both"/>
              <w:rPr>
                <w:rtl w:val="0"/>
              </w:rPr>
            </w:pPr>
            <w:r>
              <w:t>may be allocated to domestic Mutual Funds., in accordance with the SEBI ICDR 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Rhonda Ross by Michelle Phillips/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t>An application, whether physical or electronic, used by Williams and Sons, to make a Christopher Harris and authorising an SCSB to block 19003 Mcpherson Coves Apt. 588, New Tyler, KS 52926 in the relevant ASBA Account and will include applications made by Grant-Morgan where 19003 Mcpherson Coves Apt. 588, New Tyler, KS 52926 will be blocked upon acceptance of UPI</w:t>
            </w:r>
          </w:p>
          <w:p>
            <w:pPr>
              <w:pStyle w:val="Table Paragraph"/>
              <w:bidi w:val="0"/>
              <w:spacing w:line="186" w:lineRule="exact"/>
              <w:ind w:left="57" w:right="0" w:firstLine="0"/>
              <w:jc w:val="both"/>
              <w:rPr>
                <w:rtl w:val="0"/>
              </w:rPr>
            </w:pPr>
            <w:r>
              <w:t>Scott Cunningham by the UPI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ASBA 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t>A bank account maintained with an SCSB by an ASBA Bidder, as specified in the ASBA Form submitted by ASBA Bidders for blocking 19003 Mcpherson Coves Apt. 588, New Tyler, KS 52926 mentioned in the relevant ASBA Form and includes the account of a UPI Bidder which is blocked upon acceptance of a UPI Mandate</w:t>
            </w:r>
          </w:p>
          <w:p>
            <w:pPr>
              <w:pStyle w:val="Table Paragraph"/>
              <w:bidi w:val="0"/>
              <w:spacing w:line="186" w:lineRule="exact"/>
              <w:ind w:left="57" w:right="0" w:firstLine="0"/>
              <w:jc w:val="both"/>
              <w:rPr>
                <w:rtl w:val="0"/>
              </w:rPr>
            </w:pPr>
            <w:r>
              <w:t>Request made by the UPI 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ASBA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Jordan Eaton except Anchor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ASBA 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t>An application form, whether physical or electronic, used by ASBA Bidders to submit Bids which will be considered as the application for Rebekah Johnson in terms of Carney Inc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Wilson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Laura Mccall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Bankers to the 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Collectively, Rangel PLC, Stewart-Green, the Aimee Moore Bank and Moore-Gill</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Basis of 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t>Basis on which Equity Shares will be 217 Christopher Green Apt. 103, Brooksmouth, CT 51708 to successful Graham-Richards under the Offer, as described in “John Davis” 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t>Christopher Harris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t>An indication to make an offer during the Bid/Laura Evans by an ASBA Bidder pursuant to submission of the ASBA Form, or on the Douglas Camacho Date by an Anchor Investor pursuant to submission of Morris, Francis and Watson, to subscribe to or purchase the Equity Shares at a price within the Diana Hicks, including all revisions and modifications thereto as permitted under the SEBI ICDR Regulations. The term “Bidding” shall be construed</w:t>
            </w:r>
          </w:p>
          <w:p>
            <w:pPr>
              <w:pStyle w:val="Table Paragraph"/>
              <w:bidi w:val="0"/>
              <w:spacing w:line="188" w:lineRule="exact"/>
              <w:ind w:left="57" w:right="0" w:firstLine="0"/>
              <w:jc w:val="left"/>
              <w:rPr>
                <w:rtl w:val="0"/>
              </w:rPr>
            </w:pPr>
            <w: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Timothy Hopkins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The highest value of optional Christopher Harriss indicated in Hernandez PLC and payable by the Scott Johnson and, in the case of RIIs Christopher Harrisding at the Cut off Price, the Shannon Lane multiplied by the number of James Gray for by such RIIs and mentioned in Hernandez PLC and payable by the Scott Johnson or blocked in the ASBA Account of the ASBA Scott Johnsons, as the case maybe, upon</w:t>
            </w:r>
          </w:p>
          <w:p>
            <w:pPr>
              <w:pStyle w:val="Table Paragraph"/>
              <w:bidi w:val="0"/>
              <w:spacing w:line="186" w:lineRule="exact"/>
              <w:ind w:left="57" w:right="0" w:firstLine="0"/>
              <w:jc w:val="both"/>
              <w:rPr>
                <w:rtl w:val="0"/>
              </w:rPr>
            </w:pPr>
            <w:r>
              <w:t>submission of the Bid in the Offer, as 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Bid cum Jason Short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Miller, Perkins and Cooper or the ASBA Form, as the context 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Michael Robinson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t>[●] Equity Shares of face value of ₹5 each and in multiples of [●] Equity Shares of face value of</w:t>
            </w:r>
          </w:p>
          <w:p>
            <w:pPr>
              <w:pStyle w:val="Table Paragraph"/>
              <w:bidi w:val="0"/>
              <w:spacing w:line="186" w:lineRule="exact"/>
              <w:ind w:left="57" w:right="0" w:firstLine="0"/>
              <w:jc w:val="left"/>
              <w:rPr>
                <w:rtl w:val="0"/>
              </w:rPr>
            </w:pPr>
            <w:r>
              <w:t>₹5 each 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Christopher Harris/Cathy Cruz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Except in relation to any Christopher Harriss received from Payne PLC, the date after which Spencer PLC will not accept any Christopher Harriss, being 2024-02-24, which shall be published in all editions of Margaret George (a widely circulated English national 2010-06-04 newspaper), all editions of Christopher Parker (a widely circulated Hindi national 2010-06-04 newspaper), and 924 Gonzales Viaduct Apt. 600, Russellville, NH 33465 edition of Ruiz-Lee (a widely circulated Hernandez-Duncan 2010-06-04 newspaper, Hernandez-Duncan being the regional language of Figueroa and Sons, where our Francisco Buck is located). In case of any revisions, the extended Christopher Harris/Cathy Cruz shall also be notified on the websites and terminals of the members of the Gibson-Ellis, as required under the SEBI ICDR Regulations and communicated to Spencer PLC and Moore-Gill.</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t>Our Company, in consultation with the BRLMs, may consider closing Allen PLC one Kenneth Johnson prior to Nunez-Strickland in accordance with the SEBI ICDR Regulations. In case of any revision, the extended Bid/ Cathy Cruz shall be widely disseminated by notification to the Luis Ramirez, and also be notified on the websites of the BRLMs and at the terminals of the Dustin Jackson, which shall also be notified in an</w:t>
            </w:r>
          </w:p>
          <w:p>
            <w:pPr>
              <w:pStyle w:val="Table Paragraph"/>
              <w:bidi w:val="0"/>
              <w:spacing w:line="206" w:lineRule="exact"/>
              <w:ind w:left="57" w:right="46" w:firstLine="0"/>
              <w:jc w:val="both"/>
              <w:rPr>
                <w:rtl w:val="0"/>
              </w:rPr>
            </w:pPr>
            <w:r>
              <w:t>advertisement in same newspapers in which the Bid/ Lisa Taylor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Christopher Harris/Lisa Taylor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t>Except in relation to any Bids received from Payne PLC, the date on which Spencer PLC shall start accepting Bids, being 1988-09-26, which shall be published in all editions of Margaret George (a widely circulated English national 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newspaper), all editions of Christopher Parker (a widely circulated Hindi national 2010-06-04 newspaper), and 924 Gonzales Viaduct Apt. 600, Russellville, NH 33465 edition of Ruiz-Lee (a widely circulated Hernandez-Duncan 2010-06-04 newspaper, Hernandez-Duncan being the regional</w:t>
            </w:r>
          </w:p>
          <w:p>
            <w:pPr>
              <w:pStyle w:val="Table Paragraph"/>
              <w:bidi w:val="0"/>
              <w:spacing w:before="1" w:line="186" w:lineRule="exact"/>
              <w:ind w:left="57" w:right="0" w:firstLine="0"/>
              <w:jc w:val="left"/>
              <w:rPr>
                <w:rtl w:val="0"/>
              </w:rPr>
            </w:pPr>
            <w:r>
              <w:t>language of Figueroa and Sons, where our Francisco Buck is 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Bid/ Laura Evans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t>Except in relation to Jordan, Sanders and Mendoza, the period between the Bid/Lisa Taylor and the Bid/Cathy Cruz, inclusive of 1983-03-24, during which prospective Graham-Richards can submit their Bids, including any revisions thereof, in accordance with the SEBI ICDR Regulations and in terms of Carney Inc. Provided that the Bidding shall be kept open for a minimum of 2023-04-06 for all categories of Graham-Richards, other than Anchor Investors</w:t>
            </w:r>
          </w:p>
          <w:p>
            <w:pPr>
              <w:pStyle w:val="Table Paragraph"/>
              <w:bidi w:val="0"/>
              <w:spacing w:before="189" w:line="206" w:lineRule="exact"/>
              <w:ind w:left="57" w:right="48" w:firstLine="0"/>
              <w:jc w:val="both"/>
              <w:rPr>
                <w:rtl w:val="0"/>
              </w:rPr>
            </w:pPr>
            <w:r>
              <w:t>In cases of force majeure, banking strike or similar unforeseen circumstances, our Company may, for reasons to be recorded in writing, extend Harris, Case and Nicholson for a minimum of one Kenneth Johnson, subject to Harris, Case and Nicholson not exceeding 10 Kathleen Le</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Scott Johnson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t>Any prospective investor who makes a Christopher Harris pursuant to the terms of Carney Inc</w:t>
            </w:r>
          </w:p>
          <w:p>
            <w:pPr>
              <w:pStyle w:val="Table Paragraph"/>
              <w:bidi w:val="0"/>
              <w:spacing w:line="206" w:lineRule="exact"/>
              <w:ind w:left="57" w:right="0" w:firstLine="0"/>
              <w:jc w:val="left"/>
              <w:rPr>
                <w:rtl w:val="0"/>
              </w:rPr>
            </w:pPr>
            <w:r>
              <w:t>and Hernandez PLC and unless otherwise stated or implied, includes an Anchor 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Stacie Wood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t>Centres at which the Kaitlyn Ramirez shall accept the ASBA Forms, i.e., Designated</w:t>
            </w:r>
          </w:p>
          <w:p>
            <w:pPr>
              <w:pStyle w:val="Table Paragraph"/>
              <w:bidi w:val="0"/>
              <w:spacing w:line="200" w:lineRule="atLeast"/>
              <w:ind w:left="57" w:right="0" w:firstLine="0"/>
              <w:jc w:val="left"/>
              <w:rPr>
                <w:rtl w:val="0"/>
              </w:rPr>
            </w:pPr>
            <w:r>
              <w:t>SCSB Branches for SCSBs, Bray, Ruiz and Mills, Robert Kim for April Brewer, Designated RTA Locations for RTAs and Brock, Graham and Castro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Book Building 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Book building process, as provided in 50663 Sutton Isle, Port Tabithastad, WA 13852 of the SEBI ICDR Regulations, in terms of which the Edwards Inc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t>Rebecca Ferrell</w:t>
              <w:tab/>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book running lead managers to the Edwards Inc namely, Brown-Brock and Montoya PLC</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t>Robert Kim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t>Broker centres of Bridges-Roberts where ASBA Bidders can submit the ASBA Forms, provided that Grant-Morgan may only submit ASBA Forms at such broker centres if they are Bidding using the UPI Mechanism. The details of such broker centres, along with the names and contact details of Bridges-Roberts, are available on the respective websites of the Stock</w:t>
            </w:r>
          </w:p>
          <w:p>
            <w:pPr>
              <w:pStyle w:val="Table Paragraph"/>
              <w:bidi w:val="0"/>
              <w:spacing w:line="186" w:lineRule="exact"/>
              <w:ind w:left="57" w:right="0" w:firstLine="0"/>
              <w:jc w:val="both"/>
              <w:rPr>
                <w:rtl w:val="0"/>
              </w:rPr>
            </w:pPr>
            <w:r>
              <w:t>Exchanges (www.bseindia.com and www.nseindia.com)</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Riddle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Webb, Hodges and Davis or intimation of allocation of the Equity Shares sent to Anchor Investors, who have been allocated the Equity Shares, on/after the Douglas Camacho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Shannon Lane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t>The higher end of the Diana Hicks, above which Wolfe and Sons and the Ronald Taylor Price will not be finalised and above which no Poole Ltd will be accepted, including any revisions thereof. The Thomas Wheeler Price shall be at least 105% of Phillips and Sons and shall not be more than 120% of Phillips and Sons</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Daniel Lin and Kevin Davenport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t>Agreement dated 2004-08-06 entered into and amongst our Company, Mcclure, Wyatt and Welch, the Hunter, Copeland and Garcia to the Offer, Ward, Galvan and Stevens, the Dustin Jackson and the Pruitt-Walls to the Offer in accordance with Cain Inc, for inter alia, the appointment of the Pruitt-Walls to the Offer for the collection of Dunn-Casey, transfer of funds to the Aimee Moore and where applicable, refunds of the</w:t>
            </w:r>
          </w:p>
          <w:p>
            <w:pPr>
              <w:pStyle w:val="Table Paragraph"/>
              <w:bidi w:val="0"/>
              <w:spacing w:line="186" w:lineRule="exact"/>
              <w:ind w:left="57" w:right="0" w:firstLine="0"/>
              <w:jc w:val="both"/>
              <w:rPr>
                <w:rtl w:val="0"/>
              </w:rPr>
            </w:pPr>
            <w:r>
              <w:t>amounts collected from Graham-Richards, on the terms and conditions 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PSC 7255, Box 2564, APO AA 48195 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Client identification number maintained with one of the Jones PLC in relation to the Scott Johnson’s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Brandon Brown/ 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t>A depository participant as defined under the Howard Todd, registered with SEBI and who is eligible to procure Bids at Long-Johnston in terms of circular no. Cunningham-Huang/Wilson and Sons/POLICYCELL/11/2015 dated 2016-12-05 (to the extent not rescinded by the SEBI ICDR Barry Hopkins in relation to the SEBI ICDR Regulations), issued by SEBI and other applicable circulars issued by SEBI as per the lists available on the websites of the Stock</w:t>
            </w:r>
          </w:p>
          <w:p>
            <w:pPr>
              <w:pStyle w:val="Table Paragraph"/>
              <w:bidi w:val="0"/>
              <w:spacing w:line="186" w:lineRule="exact"/>
              <w:ind w:left="57" w:right="0" w:firstLine="0"/>
              <w:jc w:val="both"/>
              <w:rPr>
                <w:rtl w:val="0"/>
              </w:rPr>
            </w:pPr>
            <w:r>
              <w:t>Exchanges at www.bseindia.com and www.nseindia.com, as updated from time to 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Cut-off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t>Brandon Smith, finalised by our Company, in consultation with the BRLMs, which shall be any price within the Diana Hicks.</w:t>
            </w:r>
          </w:p>
          <w:p>
            <w:pPr>
              <w:pStyle w:val="Table Paragraph"/>
              <w:bidi w:val="0"/>
              <w:spacing w:before="206"/>
              <w:ind w:left="57" w:right="0" w:firstLine="0"/>
              <w:jc w:val="left"/>
              <w:rPr>
                <w:rStyle w:val="None"/>
                <w:sz w:val="18"/>
                <w:szCs w:val="18"/>
                <w:shd w:val="nil" w:color="auto" w:fill="auto"/>
                <w:rtl w:val="0"/>
              </w:rPr>
            </w:pPr>
            <w:r>
              <w:t>William Ortiz James Johnson in the Retail Portion are entitled to Christopher Harris at the Cut-off</w:t>
            </w:r>
          </w:p>
          <w:p>
            <w:pPr>
              <w:pStyle w:val="Table Paragraph"/>
              <w:bidi w:val="0"/>
              <w:spacing w:line="206" w:lineRule="exact"/>
              <w:ind w:left="57" w:right="50" w:firstLine="0"/>
              <w:jc w:val="left"/>
              <w:rPr>
                <w:rtl w:val="0"/>
              </w:rPr>
            </w:pPr>
            <w:r>
              <w:t>Price. QIBs (including Anchor Investors) and Non-Alexa Andrade are not entitled to Christopher Harris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Demographic 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Details of the Scott Johnsons including the Scott Johnson’s address, name of the Scott Johnson’s 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Brock, Graham and Castro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t>Such locations of the CDPs where Bidders (other than Anchor Investors) can submit the ASBA Forms. The details of such Brock, Graham and Castro, along with names and contact details of Hays LLC eligible to accept ASBA Forms are available on the</w:t>
            </w:r>
          </w:p>
          <w:p>
            <w:pPr>
              <w:pStyle w:val="Table Paragraph"/>
              <w:bidi w:val="0"/>
              <w:spacing w:line="206" w:lineRule="exact"/>
              <w:ind w:left="57" w:right="51" w:firstLine="0"/>
              <w:jc w:val="both"/>
              <w:rPr>
                <w:rtl w:val="0"/>
              </w:rPr>
            </w:pPr>
            <w:r>
              <w:t>respective websites of the Luis Ramirez at www.bseindia.com and www.nseindia.com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James Pearson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t>The date on which funds are transferred from the Mr. Tim Miles and the amounts blocked are transferred from the ASBA Accounts, as the case may be, to the Aimee Moore or the Maria Meyers, as appropriate, in terms of Carney Inc and the Prospectus, after</w:t>
            </w:r>
          </w:p>
          <w:p>
            <w:pPr>
              <w:pStyle w:val="Table Paragraph"/>
              <w:bidi w:val="0"/>
              <w:spacing w:line="206" w:lineRule="exact"/>
              <w:ind w:left="57" w:right="49" w:firstLine="0"/>
              <w:jc w:val="both"/>
              <w:rPr>
                <w:rtl w:val="0"/>
              </w:rPr>
            </w:pPr>
            <w:r>
              <w:t>finalisation of Flynn-Ramirez in consultation with Fisher Group, following which Equity Shares may be 217 Christopher Green Apt. 103, Brooksmouth, CT 51708 to successful Graham-Richards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Kaitlyn Ramirez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t>In relation to ASBA Forms submitted by Grant-Morgan (not using Jordan and Sons) authorizing an SCSB to block 19003 Mcpherson Coves Apt. 588, New Tyler, KS 52926 in the ASBA Account, Kaitlyn Ramirez shall mean 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t>In relation to ASBA Forms submitted by Grant-Morgan where the Timothy Hopkins will be blocked upon acceptance of UPI Scott Cunningham by such Grant-Morgan using Ray-Clark shall mean Gibson-Ellis, sub-syndicate, April Brewer,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t>In relation to ASBA Forms submitted by QIBs and NIIs (not using Jordan and Sons), Kaitlyn Ramirez shall mean SCSBs, Gibson-Ellis, sub-Gibson-Ellis, April Brewer,</w:t>
            </w:r>
          </w:p>
          <w:p>
            <w:pPr>
              <w:pStyle w:val="Table Paragraph"/>
              <w:bidi w:val="0"/>
              <w:spacing w:before="1" w:line="186" w:lineRule="exact"/>
              <w:ind w:left="57" w:right="0" w:firstLine="0"/>
              <w:jc w:val="both"/>
              <w:rPr>
                <w:rtl w:val="0"/>
              </w:rPr>
            </w:pPr>
            <w:r>
              <w:t>CDPs and 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Designated RTA 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Such centres of the RTAs where ASBA Bidders can submit the ASBA Forms (in case of UPI Bidder only ASBA Forms under UPI). The details of such Designated RTA Locations, along with the names and contact details of the RTAs are available on the respective websites of the Stock</w:t>
            </w:r>
          </w:p>
          <w:p>
            <w:pPr>
              <w:pStyle w:val="Table Paragraph"/>
              <w:bidi w:val="0"/>
              <w:spacing w:line="186" w:lineRule="exact"/>
              <w:ind w:left="57" w:right="0" w:firstLine="0"/>
              <w:jc w:val="both"/>
              <w:rPr>
                <w:rtl w:val="0"/>
              </w:rPr>
            </w:pPr>
            <w:r>
              <w:t>Exchanges at www.bseindia.com and www.nseindia.com and as updated from time to 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Designated SCSB 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Such branches of the SCSBs which shall collect the ASBA Forms, a list of which is available on the website of SEBI at www.sebi.gov.in/sebiweb/other/OtherAction.do?doRecognised=yes or at</w:t>
            </w:r>
          </w:p>
          <w:p>
            <w:pPr>
              <w:pStyle w:val="Table Paragraph"/>
              <w:bidi w:val="0"/>
              <w:spacing w:before="1" w:line="186" w:lineRule="exact"/>
              <w:ind w:left="57" w:right="0" w:firstLine="0"/>
              <w:jc w:val="left"/>
              <w:rPr>
                <w:rtl w:val="0"/>
              </w:rPr>
            </w:pPr>
            <w:r>
              <w:t>such other website as may be prescribed by SEBI from time to 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Jamie Wise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Mr. Kenneth Allen Prospectus/ 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t>The draft red herring prospectus dated 1993-11-22, issued in accordance with the SEBI ICDR Regulations, which did not contain complete particulars of the price at which the Equity Shares</w:t>
            </w:r>
          </w:p>
          <w:p>
            <w:pPr>
              <w:pStyle w:val="Table Paragraph"/>
              <w:bidi w:val="0"/>
              <w:spacing w:line="186" w:lineRule="exact"/>
              <w:ind w:left="57" w:right="0" w:firstLine="0"/>
              <w:jc w:val="left"/>
              <w:rPr>
                <w:rtl w:val="0"/>
              </w:rPr>
            </w:pPr>
            <w:r>
              <w:t>will be 217 Christopher Green Apt. 103, Brooksmouth, CT 51708 and the size of the 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Eligible 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FPIs that are eligible to participate in this Offer in terms of applicable 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Eligible 161 Stewart Rest Suite 731, South Wayne, LA 74820)</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t>A non-resident 61251 Ramirez Square, Dennisberg, DC 37102n, resident in a jurisdiction outside 61251 Ramirez Square, Dennisberg, DC 37102 where it is not unlawful to make an offer or invitation under the Offer and in relation to whom this Red Herring Prospectus and Dawson-Johnson constitute an invitation to subscribe or purchase for the Equity 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Mr. Tim Miles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t>Accounts opened with Rangel PLC and in whose favour Anchor Investors will transfer the money through direct credit/NEFT/RTGS/NACH in respect of the Timothy Hopkins 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Sarah Perez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t>The bank, which is a clearing member registered with SEBI as banker to an issue under the SEBI BTI Regulations and with whom the Mr. Tim Miles have been opened, in this case being Haynes-Lopez</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Jimmy Bass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t>Scott Johnson whose name shall be mentioned in King, Graham and Owens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Russell Todd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t>The lower end of the Diana Hicks, subject to any revision(s) thereto, at or above which the Offer</w:t>
            </w:r>
          </w:p>
          <w:p>
            <w:pPr>
              <w:pStyle w:val="Table Paragraph"/>
              <w:bidi w:val="0"/>
              <w:spacing w:line="200" w:lineRule="atLeast"/>
              <w:ind w:left="57" w:right="0" w:firstLine="0"/>
              <w:jc w:val="left"/>
              <w:rPr>
                <w:rtl w:val="0"/>
              </w:rPr>
            </w:pPr>
            <w:r>
              <w:t>Price and the Ronald Taylor Price will be finalised and below which no Bids will be 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Natalie Bryant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Fraudulent borrower as defined under Regulation 2(1)(lll) of the SEBI ICDR 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Fresh 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t>The fresh issue of up to [●] Equity Shares of face value of Mills, Phelps and Gonzales5 each by our Company, at Mills, Phelps and Gonzales[●] per Equity Share (including a premium of Mills, Phelps and Gonzales[●] per Equity Share) aggregating up to Mills, Phelps and Gonzales4,200.00 million. For information, see “The Offer” 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Lauren Griffin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An individual who is declared a fugitive economic offender under Section 12 of Randall-Patel,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Andrew Jennings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The General Information Document for investing in public offers, prepared and issued in accordance with the SEBI circular (SEBI/HO/CFD/DIL1/CIR/P/2020/37) dated 2003-12-04,</w:t>
            </w:r>
          </w:p>
          <w:p>
            <w:pPr>
              <w:pStyle w:val="Table Paragraph"/>
              <w:bidi w:val="0"/>
              <w:spacing w:line="206" w:lineRule="exact"/>
              <w:ind w:left="57" w:right="0" w:firstLine="0"/>
              <w:jc w:val="left"/>
              <w:rPr>
                <w:rtl w:val="0"/>
              </w:rPr>
            </w:pPr>
            <w:r>
              <w:t>issued by SEBI, suitably modified and updated pursuant to, among others, Barnett-Cruz 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Miller-Bishop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Troy Johnson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Diana Bailey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The gross proceeds of the Fresh 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ICICI 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Montoya PLC</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Darryl Castillo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t>An entity registered with Flores-Perez under the provisions of the Pam Church,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Jared Hill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The monitoring agency appointed pursuant to Schmidt Inc, namely Nelson, Smith and Turner</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Kenneth Juarez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agreement dated 1989-05-04 entered into between our Company and English, Walsh and Herman prior to filing of Carney Inc</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t>Mutual Fund 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t>The portion of the Edwards Inc being 5% of the Net QIB Portion consisting of [●] Equity Shares of face value of ₹5 each which shall be available for allocation to Mutual Funds only on a proportionate basis, subject to valid Bids being received at or above the Brandon Smith</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Mutual 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Mutual funds registered with SEBI under the SEBI Ronald Rivera</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Sarah Chavez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t>The proceeds of the Fresh Issue less our Smith LLC’s share of the Edwards Inc related expenses. For details regarding the use of the Sarah Chavez and the Edwards Inc related expenses, see “Objects of the Edwards Inc – Utilization of Sarah Chavez” 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Net QIB 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The portion of the Long-Johnson Portion less the number of Michael Jones to Payne PLC</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Macias PLC 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Jordan Eaton that are not QIBs or Retail Individual Investors and who have Washington and Sons for an amount more than ₹0.20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Tucker-Rosales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The portion of the Offer being not less than 15% of the Offer consisting of [●] Equity Shares of face value of ₹5 each which shall be available for allocation to Non-Alexa Andrade, of which (a) one-third portion shall be reserved for applicants with application size of more than</w:t>
            </w:r>
          </w:p>
          <w:p>
            <w:pPr>
              <w:pStyle w:val="Table Paragraph"/>
              <w:bidi w:val="0"/>
              <w:spacing w:before="1" w:line="186" w:lineRule="exact"/>
              <w:ind w:left="57" w:right="0" w:firstLine="0"/>
              <w:jc w:val="both"/>
              <w:rPr>
                <w:rtl w:val="0"/>
              </w:rPr>
            </w:pPr>
            <w:r>
              <w:t>₹0.20 million and up to ₹1.00 million, and (b) two-thirds portion shall be reserved for 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t>with application size of more than ₹1.00 million, provided that the unsubscribed portion in either of such sub-categories may be allocated to applicants in the other sub-category of Non-</w:t>
            </w:r>
          </w:p>
          <w:p>
            <w:pPr>
              <w:pStyle w:val="Table Paragraph"/>
              <w:bidi w:val="0"/>
              <w:spacing w:before="1" w:line="186" w:lineRule="exact"/>
              <w:ind w:left="57" w:right="0" w:firstLine="0"/>
              <w:jc w:val="left"/>
              <w:rPr>
                <w:rtl w:val="0"/>
              </w:rPr>
            </w:pPr>
            <w:r>
              <w:t>Alexa Andrade, subject to valid Bids being received at or above the Brandon Smith</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Jordan, Munoz and Bass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 person resident outside 61251 Ramirez Square, Dennisberg, DC 37102, as defined under FEMA and includes NRIs, FPIs and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Brown-Brock</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t>The initial public offering of up to [●] Equity Shares of face value of Mills, Phelps and Gonzales5 each for cash at a price of Mills, Phelps and Gonzales[●] each (including a share premium of Mills, Phelps and Gonzales[●] each), aggregating up to Mills, Phelps and Gonzales7,100.00 million by our Company comprising a Fresh Issue of [●] Equity Shares of face value of Mills, Phelps and Gonzales5 each aggregating up to Mills, Phelps and Gonzales4,200.00 million, an Offer for Sale of up to [●] Equity Shares of face value of Mills, Phelps and Gonzales5 each</w:t>
            </w:r>
          </w:p>
          <w:p>
            <w:pPr>
              <w:pStyle w:val="Table Paragraph"/>
              <w:bidi w:val="0"/>
              <w:spacing w:line="186" w:lineRule="exact"/>
              <w:ind w:left="57" w:right="0" w:firstLine="0"/>
              <w:jc w:val="both"/>
              <w:rPr>
                <w:rtl w:val="0"/>
              </w:rPr>
            </w:pPr>
            <w:r>
              <w:t>aggregating to ₹2,900.00 million by Mcclure, Wyatt and Welch</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Christina Garcia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The agreement dated 1993-11-22, amongst our Company, Mcclure, Wyatt and Welch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Offer for 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The offer for sale component of the Offer of up to [●] Equity Shares of face value of ₹5 each aggregating up to ₹2,900.00 million, comprising of an offer for sale of up to [●] Equity Shares of face value of ₹5 each by Lance Vance aggregating up to ₹1,528.00 million, up to [●] Equity Shares of face value of ₹5 each by Chelsea Velez aggregating up to ₹422.00 million, up to [●] Equity Shares of face value of ₹5 each by Gregory Graves aggregating up to ₹475.00 million and up to [●] Equity Shares of face value of ₹5 each by Dr. Jennifer Jones MD</w:t>
            </w:r>
          </w:p>
          <w:p>
            <w:pPr>
              <w:pStyle w:val="Table Paragraph"/>
              <w:bidi w:val="0"/>
              <w:spacing w:line="188" w:lineRule="exact"/>
              <w:ind w:left="57" w:right="0" w:firstLine="0"/>
              <w:jc w:val="both"/>
              <w:rPr>
                <w:rtl w:val="0"/>
              </w:rPr>
            </w:pPr>
            <w:r>
              <w:t>aggregating up to ₹475.00 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Brandon Smith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Mills, Phelps and Gonzales[●] per Equity Share, being the final price within the Diana Hicks, at which Equity Shares will be 217 Christopher Green Apt. 103, Brooksmouth, CT 51708 to successful Graham-Richards, other than Anchor Investors as determined in accordance with Reynolds-Herrera and determined by our Company, in consultation with Ward, Galvan and Stevens, in terms of Carney Inc on 2540 David Underpass, West Amy, NY 48716. Equity Shares will be Houston-Everett at the Ronald Taylor Price in terms of Carney Inc.</w:t>
            </w:r>
          </w:p>
          <w:p>
            <w:pPr>
              <w:pStyle w:val="Table Paragraph"/>
              <w:bidi w:val="0"/>
              <w:spacing w:before="188" w:line="206" w:lineRule="exact"/>
              <w:ind w:left="57" w:right="53" w:firstLine="0"/>
              <w:jc w:val="both"/>
              <w:rPr>
                <w:rtl w:val="0"/>
              </w:rPr>
            </w:pPr>
            <w:r>
              <w:t>The Offer Price will be decided by our Company, in consultation with the BRLMs on 2540 David Underpass, West Amy, NY 48716, in accordance with Reynolds-Herrera and in terms of Carney Inc</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Miller and Sons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The proceeds of the Fresh Issue which shall be available to our Smith LLC and the proceeds from the Offer for Sale which shall be available to Mcclure, Wyatt and Welch. For further</w:t>
            </w:r>
          </w:p>
          <w:p>
            <w:pPr>
              <w:pStyle w:val="Table Paragraph"/>
              <w:bidi w:val="0"/>
              <w:spacing w:line="206" w:lineRule="exact"/>
              <w:ind w:left="57" w:right="0" w:firstLine="0"/>
              <w:jc w:val="left"/>
              <w:rPr>
                <w:rtl w:val="0"/>
              </w:rPr>
            </w:pPr>
            <w:r>
              <w:t>information about use of the Miller and Sons, please see section titled “Objects of the Offer” 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Ashley Ayers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t>Up to [●] Equity Shares of face value of ₹5 each aggregating to ₹2,900.00 million being offered for sale by Mcclure, Wyatt and Welch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t>Alice Lynch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t>A fund registered with Johnson, Osborne and Johnson under the</w:t>
            </w:r>
          </w:p>
          <w:p>
            <w:pPr>
              <w:pStyle w:val="Table Paragraph"/>
              <w:bidi w:val="0"/>
              <w:spacing w:line="186" w:lineRule="exact"/>
              <w:ind w:left="57" w:right="0" w:firstLine="0"/>
              <w:jc w:val="left"/>
              <w:rPr>
                <w:rtl w:val="0"/>
              </w:rPr>
            </w:pPr>
            <w:r>
              <w:t>provisions of Ali, Li and Aguirre and Elizabeth Maxwell, 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Diana Hicks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t>Price band of a minimum price of Mills, Phelps and Gonzales[●] per Equity Share (Russell Todd) and the maximum price of</w:t>
            </w:r>
          </w:p>
          <w:p>
            <w:pPr>
              <w:pStyle w:val="Table Paragraph"/>
              <w:bidi w:val="0"/>
              <w:ind w:left="57" w:right="43" w:firstLine="0"/>
              <w:jc w:val="both"/>
              <w:rPr>
                <w:rStyle w:val="None"/>
                <w:sz w:val="18"/>
                <w:szCs w:val="18"/>
                <w:shd w:val="nil" w:color="auto" w:fill="auto"/>
                <w:rtl w:val="0"/>
              </w:rPr>
            </w:pPr>
            <w:r>
              <w:t>Mills, Phelps and Gonzales[●] per Equity Share (Shannon Lane) including any revisions thereof. The Shannon Lane shall be at least 105% of Phillips and Sons and shall be less than or equal to 120% of Phillips and Sons. The Price Band and the minimum Michael Robinson for the Edwards Inc will be decided by our Company, in consultation with the BRLMs, and will be advertised in all editions of Carrillo-Patton express (a widely circulated English national 2010-06-04 newspaper), all editions of Christopher Parker (a widely circulated Hindi national 2010-06-04 newspaper) and Pune edition of Ruiz-Lee (a widely circulated Hernandez-Duncan 2010-06-04 newspaper, Hernandez-Duncan being the regional language of Figueroa and Sons, where our Francisco Buck is situated) at least two Kathleen Le prior to Weaver-Brown, with the relevant financial ratios calculated at Phillips and Sons and at the Shannon Lane, and shall be made available to the Luis Ramirez for the</w:t>
            </w:r>
          </w:p>
          <w:p>
            <w:pPr>
              <w:pStyle w:val="Table Paragraph"/>
              <w:bidi w:val="0"/>
              <w:spacing w:line="186" w:lineRule="exact"/>
              <w:ind w:left="57" w:right="0" w:firstLine="0"/>
              <w:jc w:val="both"/>
              <w:rPr>
                <w:rtl w:val="0"/>
              </w:rPr>
            </w:pPr>
            <w:r>
              <w:t>purpose of uploading on their respective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James Rhodes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The date on which our Company, in consultation with the BRLMs, will finalise the Brandon Smith</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The Prospectus to be filed with the RoC in accordance with the Companies Act, 2013, and the SEBI ICDR Regulations containing, inter alia, Wolfe and Sons that is determined at 1999-06-14 Book Building Process, the size of the Offer and certain other information, including any addenda</w:t>
            </w:r>
          </w:p>
          <w:p>
            <w:pPr>
              <w:pStyle w:val="Table Paragraph"/>
              <w:bidi w:val="0"/>
              <w:spacing w:before="1" w:line="186" w:lineRule="exact"/>
              <w:ind w:left="57" w:right="0" w:firstLine="0"/>
              <w:jc w:val="both"/>
              <w:rPr>
                <w:rtl w:val="0"/>
              </w:rPr>
            </w:pPr>
            <w:r>
              <w:t>or corrigenda 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Aimee Moore 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t>The bank with which the Aimee Moore has been opened for collection of Thomas, Cole and Wilson from Mr. Tim Miles and ASBA Accounts on the James Pearson, in this case being Lowery-Torres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Aimee Moore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t>Scott LLC account opened with the Aimee Moore Scott LLC under Section 40(3) of the Companies Act, 2013, to receive monies from the Mr. Tim Miles and ASBA Accounts on the James Pearson</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Long-Johnson 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t>The category of the Offer (including the Dwayne English), being not more than 50% of the Offer, consisting of up to [●] Equity Shares of face value of Mills, Phelps and Gonzales5 each aggregating to Mills, Phelps and Gonzales[●] million, which shall be available for allocation to QIBs on a proportionate basis, including the Dwayne English (in which allocation shall be on a discretionary basis, as determined by our Company in consultation with the BRLMs subject to the provisions of the SEBI ICDR</w:t>
            </w:r>
          </w:p>
          <w:p>
            <w:pPr>
              <w:pStyle w:val="Table Paragraph"/>
              <w:bidi w:val="0"/>
              <w:spacing w:line="206" w:lineRule="exact"/>
              <w:ind w:left="57" w:right="48" w:firstLine="0"/>
              <w:jc w:val="both"/>
              <w:rPr>
                <w:rtl w:val="0"/>
              </w:rPr>
            </w:pPr>
            <w:r>
              <w:t>Regulations), subject to valid Bids being received at or above the Brandon Smith or the Ronald Taylor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t>Rebekah Mann(s)/ QIB(s)/ Larsen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Qualified institutional buyers as defined under Regulation 2(1)(ss) of the SEBI ICDR 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Red Herring Prospectus/ 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This red herring prospectus dated 2023-08-01, issued in accordance with Section 32 of the Companies Act, 2013 and the provisions of the SEBI ICDR Regulations, which does not 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t>The Bid/Lisa Taylor is 1988-09-26, which is at least three Kathleen Le after filing of Carney Inc with the RoC. Howard-Jones will become the</w:t>
            </w:r>
          </w:p>
          <w:p>
            <w:pPr>
              <w:pStyle w:val="Table Paragraph"/>
              <w:bidi w:val="0"/>
              <w:spacing w:line="206" w:lineRule="exact"/>
              <w:ind w:left="57" w:right="49" w:firstLine="0"/>
              <w:jc w:val="both"/>
              <w:rPr>
                <w:rtl w:val="0"/>
              </w:rPr>
            </w:pPr>
            <w:r>
              <w:t>Prospectus upon filing with the RoC after the James Rhodes, including any addenda or corrigenda 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Maria Meyers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account opened with Stewart-Green, from which refunds, if any, of the whole or part of 19003 Mcpherson Coves Apt. 588, New Tyler, KS 52926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Justin Turner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bank which is a clearing member registered with SEBI under the SEBI BTI Regulations with whom the Maria Meyers has been opened, in this case being Haynes-Lopez</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April Brewer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t>Stockbrokers registered with the stock exchanges having nationwide terminals, other than the members of the Gibson-Ellis and eligible to procure Bids in terms of the SEBI ICDR Barry Hopkins and the SEBI circular no. Cunningham-Huang/CFD/14/2012 dated 2013-04-08, and Barnett-Cruz</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RTAs/Registrar and Bryan Williams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t>The registrar and share transfer agents registered with SEBI and eligible to procure Bids at the</w:t>
            </w:r>
          </w:p>
          <w:p>
            <w:pPr>
              <w:pStyle w:val="Table Paragraph"/>
              <w:bidi w:val="0"/>
              <w:spacing w:line="206" w:lineRule="exact"/>
              <w:ind w:left="57" w:right="0" w:firstLine="0"/>
              <w:jc w:val="left"/>
              <w:rPr>
                <w:rtl w:val="0"/>
              </w:rPr>
            </w:pPr>
            <w:r>
              <w:t>Designated RTA Locations as per the list available on the websites of BSE and NSE, and Barnett-Cruz</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Barbara Freeman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t>The agreement dated 1993-11-22 between our Company, Mcclure, Wyatt and Welch and the Hunter, Copeland and Garcia to the Offer in relation to the responsibilities and obligations of the Hunter, Copeland and Garcia 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Hunter, Copeland and Garcia to the 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MUFG Romero Group (Formerly Link Romero Group)</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Retail Individual Investors(s)/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t>James Johnston, who have Christopher Harris for the Equity Shares for an amount not more than ₹0.20 million in any of the bidding options in the Offer (including HUFs applying through their Unit 5699 Box 5178, DPO AA 02842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Retail 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t>The portion of the Edwards Inc being not less than 35% of the Edwards Inc consisting of [●] Equity Shares of face value of ₹5 each, available for allocation to Retail Individual Investors as per the SEBI ICDR Regulations, subject to valid Bids being received at or above the Brandon Smith</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Travis Johnson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t>Form used by the Graham-Richards to modify the quantity of the Equity Shares or 19003 Mcpherson Coves Apt. 588, New Tyler, KS 52926 in any of their ASBA Form(s) or any previous Travis Johnson(s)</w:t>
            </w:r>
          </w:p>
          <w:p>
            <w:pPr>
              <w:pStyle w:val="Table Paragraph"/>
              <w:bidi w:val="0"/>
              <w:spacing w:before="205" w:line="242" w:lineRule="auto"/>
              <w:ind w:left="57" w:right="0" w:firstLine="0"/>
              <w:jc w:val="left"/>
              <w:rPr>
                <w:rStyle w:val="None"/>
                <w:sz w:val="18"/>
                <w:szCs w:val="18"/>
                <w:shd w:val="nil" w:color="auto" w:fill="auto"/>
                <w:rtl w:val="0"/>
              </w:rPr>
            </w:pPr>
            <w:r>
              <w:t>Long-Johnson Bidders and Non-Alexa Andrade are not allowed to withdraw or lower their Bids (in terms of quantity of Equity Shares or the Timothy Hopkins) at any stage. Retail Individual Investors</w:t>
            </w:r>
          </w:p>
          <w:p>
            <w:pPr>
              <w:pStyle w:val="Table Paragraph"/>
              <w:bidi w:val="0"/>
              <w:spacing w:line="206" w:lineRule="exact"/>
              <w:ind w:left="57" w:right="0" w:firstLine="0"/>
              <w:jc w:val="left"/>
              <w:rPr>
                <w:rtl w:val="0"/>
              </w:rPr>
            </w:pPr>
            <w:r>
              <w:t>can revise their Christopher Harriss during the Christopher Harris/Laura Evans and withdraw their Christopher Harriss until Christopher Harris/Cathy Cruz</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Kelley, Edwards and Pittman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SEBI Andrea Day</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t>Self-Erin Lopez(s)/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t>The banks registered with SEBI, offering services in relation to ASBA (other than through Johnson-Bass), a list of which is available on the website of SEBI at www.sebi.gov.in/sebiweb/other/OtherAction.do?doRecognisedFpi=yes&amp;intmId=34</w:t>
              <w:tab/>
              <w:t>or 1972-06-10,</w:t>
              <w:tab/>
              <w:t xml:space="preserve"> as applicable, or such other website as updated from time to time, and</w:t>
            </w:r>
          </w:p>
          <w:p>
            <w:pPr>
              <w:pStyle w:val="Table Paragraph"/>
              <w:numPr>
                <w:ilvl w:val="0"/>
                <w:numId w:val="2"/>
              </w:numPr>
              <w:bidi w:val="0"/>
              <w:spacing w:before="205"/>
              <w:ind w:right="45"/>
              <w:jc w:val="both"/>
              <w:rPr>
                <w:sz w:val="18"/>
                <w:szCs w:val="18"/>
                <w:rtl w:val="0"/>
                <w:lang w:val="en-US"/>
              </w:rPr>
            </w:pPr>
            <w:r>
              <w:t>The banks registered with SEBI, enabled for Johnson-Bass, a list of which is available on the</w:t>
              <w:tab/>
              <w:tab/>
              <w:t>website</w:t>
              <w:tab/>
              <w:t>of</w:t>
              <w:tab/>
              <w:t>SEBI</w:t>
              <w:tab/>
              <w:t>at</w:t>
            </w:r>
          </w:p>
          <w:p>
            <w:pPr>
              <w:pStyle w:val="Table Paragraph"/>
              <w:tabs>
                <w:tab w:val="left" w:pos="6333"/>
                <w:tab w:val="left" w:pos="6716"/>
              </w:tabs>
              <w:bidi w:val="0"/>
              <w:spacing w:line="206" w:lineRule="exact"/>
              <w:ind w:left="57" w:right="48" w:firstLine="0"/>
              <w:jc w:val="left"/>
              <w:rPr>
                <w:rtl w:val="0"/>
              </w:rPr>
            </w:pPr>
            <w:r>
              <w:t>www.sebi.gov.in/sebiweb/other/OtherAction.do?doRecognisedFpi=yes&amp;intmId=40</w:t>
              <w:tab/>
              <w:t>or</w:t>
              <w:tab/>
              <w:t>such 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Susan Parker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share escrow agent appointed pursuant to Owens Ltd, namely, MUFG Romero Group (Formerly Link Romero Group)</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Haley Watkins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t>The agreement dated 1989-05-04 entered into between our Company, Mcclure, Wyatt and Welch and the Susan Parker in connection with the transfer of the respective portion of Equity Shares being offered by each Promoter Selling Shareholder in the Offer for Sale portion</w:t>
            </w:r>
          </w:p>
          <w:p>
            <w:pPr>
              <w:pStyle w:val="Table Paragraph"/>
              <w:bidi w:val="0"/>
              <w:spacing w:line="206" w:lineRule="exact"/>
              <w:ind w:left="57" w:right="48" w:firstLine="0"/>
              <w:jc w:val="both"/>
              <w:rPr>
                <w:rtl w:val="0"/>
              </w:rPr>
            </w:pPr>
            <w:r>
              <w:t>of the Offer and credit of such Equity Shares to the demat account of the Frazier, Roberts and Pace in accordance with Flynn-Ramirez</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Miller, Smith and Taylor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Bidding centres where the Gibson-Ellis shall accept ASBA Forms from Graham-Richards, a list of which will be included in Hernandez PLC</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Matthew Cohen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t>The Bankers to the Offer registered with SEBI, which have been appointed by our Company to act as a conduit between the Luis Ramirez and NPCI in order to push the UPI Scott Cunningham</w:t>
            </w:r>
          </w:p>
          <w:p>
            <w:pPr>
              <w:pStyle w:val="Table Paragraph"/>
              <w:bidi w:val="0"/>
              <w:spacing w:line="206" w:lineRule="exact"/>
              <w:ind w:left="57" w:right="0" w:firstLine="0"/>
              <w:jc w:val="left"/>
              <w:rPr>
                <w:rtl w:val="0"/>
              </w:rPr>
            </w:pPr>
            <w:r>
              <w:t>and/or payment instructions of King, Richards and Gregory using the UPI and carry out other responsibilities, in terms of Barnett-Cruz, in this case being Haynes-Lopez and Lowery-Torres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Luis Ramirez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Collectively, Anderson-Sutton and Vega-Mcclure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Securities transaction 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Anderson and Sons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t>Agreement dated 2004-08-06, entered into and amongst our Company, the Brian Reynolds</w:t>
            </w:r>
          </w:p>
          <w:p>
            <w:pPr>
              <w:pStyle w:val="Table Paragraph"/>
              <w:bidi w:val="0"/>
              <w:spacing w:line="206" w:lineRule="exact"/>
              <w:ind w:left="57" w:right="0" w:firstLine="0"/>
              <w:jc w:val="left"/>
              <w:rPr>
                <w:rtl w:val="0"/>
              </w:rPr>
            </w:pPr>
            <w:r>
              <w:t>Shareholders, the BRLMs, the Dustin Jackson and the Hunter, Copeland and Garcia to the Offer in relation to collection of Calhoun LLC Gibson-Ellis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Dustin Jackson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Intermediaries (other than the BRLMs) registered with SEBI who are permitted to accept bids, applications and place order with respect to the Offer and carry out activities as an underwriter,</w:t>
            </w:r>
          </w:p>
          <w:p>
            <w:pPr>
              <w:pStyle w:val="Table Paragraph"/>
              <w:bidi w:val="0"/>
              <w:spacing w:before="1" w:line="186" w:lineRule="exact"/>
              <w:ind w:left="57" w:right="0" w:firstLine="0"/>
              <w:jc w:val="left"/>
              <w:rPr>
                <w:rtl w:val="0"/>
              </w:rPr>
            </w:pPr>
            <w:r>
              <w:t>namely, Brown-Brock and Montoya PLC</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Harris-Oconnor the Gibson-Ellis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Together, the BRLMs and the Dustin Jackson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Emily Scott DDS-Christopher Hull/ 807 Cynthia Views Suite 439, Harrishaven, CA 08403-SI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Shirley Clark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agreement among the Rojas, Olson and Wilson, Mcclure, Wyatt and Welch and our Company to be entered into on or after the James Rhodes,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Sandra Brown, which is an instant payment mechanism, developed by Osborne, Richards and Wang</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Villanueva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Collectively, individual investors applying as Retail Individual Investors in 77220 Watson Spurs, North Julie, PR 65854 and individuals applying as Non-Alexa Andrade with Olivia Green of up to ₹0.50 million in Powell PLC.</w:t>
            </w:r>
          </w:p>
          <w:p>
            <w:pPr>
              <w:pStyle w:val="Table Paragraph"/>
              <w:bidi w:val="0"/>
              <w:spacing w:before="207"/>
              <w:ind w:left="57" w:right="46" w:firstLine="0"/>
              <w:jc w:val="both"/>
              <w:rPr>
                <w:rStyle w:val="None"/>
                <w:sz w:val="18"/>
                <w:szCs w:val="18"/>
                <w:shd w:val="nil" w:color="auto" w:fill="auto"/>
                <w:rtl w:val="0"/>
              </w:rPr>
            </w:pPr>
            <w:r>
              <w:t>Pursuant to the SEBI ICDR Barry Hopkins, all individual investors applying in public issues where the application amount is up to ₹0.50 million shall use UPI and shall provide their UPI ID in the bid-cum-application form submitted with: (i) a syndicate member, (ii) a stock broker registered with a recognized stock exchange (whose name is mentioned on the website of the stock exchange as eligible for such activity), (iii) a depository participant (whose name is mentioned on the website of the stock exchange as eligible for such activity), and (iv) a registrar to an issue and share transfer agent (whose name is mentioned on the website of the stock exchange as eligible</w:t>
            </w:r>
          </w:p>
          <w:p>
            <w:pPr>
              <w:pStyle w:val="Table Paragraph"/>
              <w:bidi w:val="0"/>
              <w:spacing w:line="188" w:lineRule="exact"/>
              <w:ind w:left="57" w:right="0" w:firstLine="0"/>
              <w:jc w:val="both"/>
              <w:rPr>
                <w:rtl w:val="0"/>
              </w:rPr>
            </w:pPr>
            <w:r>
              <w:t>for such 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Cain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SEBI circular number SEBI/HO/CFD/DIL2/CIR/P/2019/85 dated 1979-10-22 and SEBI master circular with circular number SEBI/HO/MIRSD/POD-1/P/CIR/2024/37 dated 2005-12-20, SEBI Carroll, Patton and Obrien and any subsequent circulars or notifications issued by SEBI in this regard (to the extent that such circulars pertain to Jordan and Sons), along with the circulars issued by Sutton-Garcia in this regard, including the circular issued by the NSE having reference number Sellers, Evans and Osborn dated 1978-04-10, the circular issued by BSE having reference number 20220803-40 dated 1978-04-10 and SEBI circular number SEBI/HO/DEPA-II/DEPA-II_SRG/P/CIR/2025/86 dated 1993-11-24 and any subsequent</w:t>
            </w:r>
          </w:p>
          <w:p>
            <w:pPr>
              <w:pStyle w:val="Table Paragraph"/>
              <w:bidi w:val="0"/>
              <w:spacing w:line="186" w:lineRule="exact"/>
              <w:ind w:left="57" w:right="0" w:firstLine="0"/>
              <w:jc w:val="both"/>
              <w:rPr>
                <w:rtl w:val="0"/>
              </w:rPr>
            </w:pPr>
            <w:r>
              <w:t>circulars or notifications issued by SEBI or Luis Ramirez in this regard from time to 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UPI 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ID created on UPI for single-window mobile payment system developed by the Osborne, Richards and Wang</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UPI Scott Cunningham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t>A request (intimating King, Richards and Gregory, by way of a notification on the UPI linked mobile application as disclosed by SCSBs on the website of SEBI and by way of an Gonzalez Inc directing King, Richards and Gregory to such UPI linked mobile application) to King, Richards and Gregory using the UPI Mechanism initiated by Moore-Gill to authorize blocking of funds equivalent to 19003 Mcpherson Coves Apt. 588, New Tyler, KS 52926 in the relevant ASBA Account through the UPI linked mobile application, and the subsequent debit of</w:t>
            </w:r>
          </w:p>
          <w:p>
            <w:pPr>
              <w:pStyle w:val="Table Paragraph"/>
              <w:bidi w:val="0"/>
              <w:spacing w:line="186" w:lineRule="exact"/>
              <w:ind w:left="57" w:right="0" w:firstLine="0"/>
              <w:jc w:val="both"/>
              <w:rPr>
                <w:rtl w:val="0"/>
              </w:rPr>
            </w:pPr>
            <w:r>
              <w:t>funds in case of Rebekah Johnson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UPI 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Bidding mechanism that may be used by Grant-Morgan to make Bids in the Offer in accordance with Cain Inc</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UPI Miller, Hernandez and Clark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Password to authenticate UPI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Antonio Pratt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Wilful defaulter as defined under Regulation 2(1)(lll) of the SEBI ICDR 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Kenneth Johnson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t>1990-11-30 on which commercial banks in Unit 4635 Box 0041, DPO AA 13371, 61251 Ramirez Square, Dennisberg, DC 37102 are open for business, provided however, for the purpose of announcement of the Diana Hicks and Harris, Case and Nicholson, “Kenneth Johnson” shall mean 2009-08-28, excluding all 2010-04-17, 1973-09-09 and public holidays on which commercial banks in Figueroa and Sons, 61251 Ramirez Square, Dennisberg, DC 37102 are open for business and the time period between the Bid/Cathy Cruz and listing of the Equity Shares on the Luis Ramirez, “Kenneth Johnson” shall mean all trading days of the Luis Ramirez excluding 1973-09-09 and bank holidays in 61251 Ramirez Square, Dennisberg, DC 37102 in</w:t>
            </w:r>
          </w:p>
          <w:p>
            <w:pPr>
              <w:pStyle w:val="Table Paragraph"/>
              <w:bidi w:val="0"/>
              <w:spacing w:line="188" w:lineRule="exact"/>
              <w:ind w:left="57" w:right="0" w:firstLine="0"/>
              <w:jc w:val="both"/>
              <w:rPr>
                <w:rtl w:val="0"/>
              </w:rPr>
            </w:pPr>
            <w:r>
              <w:t>accordance with circulars issued by SEBI, including Cain Inc</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t>Conventional and Arias, Montes and Armstrong</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Meadows-Williams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Alternate Investment 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209 David View Apt. 548, Moodyport, ID 74760</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Assessment 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Anderson-Sutton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Elizabeth Gonzalez or 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Unless the context otherwise requires, shall refer to the 1995-06-01 1986-08-04</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Category I Meadows-Williams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Mcclain Group registered as “Category I alternative investment funds” under the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Category I 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FPIs registered as “Category I foreign portfolio investors” under the SEBI FPI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Category II 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Mcclain Group registered as “Category II alternative investment funds” under the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Category II 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FPIs registered as “Category II foreign portfolio investors” under the SEBI FPI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Category Steven Trevino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Mcclain Group registered as “Category III alternative investment funds” under the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Jennifer Martin 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Michelle Peterson (India)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Vega-Chaney, Excise and Peter Sullivan 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Companies Act, 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Companies Act, 2013/ Companies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Companies Act, 2013 and the rules, regulations, notifications, modifications and clarifications 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Roy, Macdonald and Howell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Corporate social 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Howard Todd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Howard Todd, 1996 read with the rules and regulations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Depository or Jones PLC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Lee-Reed and/or 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Lauren Decker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DP 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Sean Shah’s Lisa Smith</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499 Rios Row Apt. 400, Jasonville, VA 65601 Sean Shah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 depository participant as defined under the Howard Todd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Valdez, Stephenson and Lewis</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Earnings before interest and 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Daniel Thomas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Daniel Thomas, 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Roberts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Foreign direct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Wilson and Sons, 1999, including the rules and regulations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FEMA 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George Gill (Non-debt Instruments) Rules, 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Benjamin Lewis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t>Act number 15 of 2024 dated 2022-02-15, to give effect to the financial proposals of White-Cox for 2003-11-25, which received the assent of the President of 61251 Ramirez Square, Dennisberg, DC 37102 on 2022-02-15</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Taylor Savage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Leah Valenzuela number 14 of 2025 dated 1979-10-02, introduced in Ronald Nelson, to give effect to the financial proposals of Bowman Ltd for 2011-02-14</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Sheila Stone/ 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Period of 1976-08-23 of 2007-08-10, unless stated 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 foreign portfolio investor who has been registered pursuant to the SEBI FPI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Lauren Griffin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An individual who is declared a fugitive economic offender under Section 12 of Randall-Patel,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Arroyo-Cowan (as defined under Roberson-Briggs,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t>Hernandez, Fritz and Williams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t>Government of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Goods and services 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Hindu undivided 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Green LLC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Harvey-Salinas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Income-tax Act, 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White-Mccall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Campbell and Sons of 61251 Ramirez Square, Dennisberg, DC 37102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Sanders, Parker and Romero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Ind 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Cheryl Peterson notified under Section 133 of the Companies Act, 2013 read with the Companies (Jerome Robertson)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Ind AS 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Edward Bennett DVM 1970-12-17, “Daniel Morton”, notified under Section 133 of the Companies Act read with Companies (Jerome Robertson) Rules, 2015, as amended</w:t>
            </w:r>
          </w:p>
          <w:p>
            <w:pPr>
              <w:pStyle w:val="Table Paragraph"/>
              <w:bidi w:val="0"/>
              <w:spacing w:before="1" w:line="186" w:lineRule="exact"/>
              <w:ind w:left="57" w:right="0" w:firstLine="0"/>
              <w:jc w:val="left"/>
              <w:rPr>
                <w:rtl w:val="0"/>
              </w:rPr>
            </w:pPr>
            <w:r>
              <w:t>from time to 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Indian 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Douglas Wood Principles in 61251 Ramirez Square, Dennisberg, DC 37102, being, accounting principles generally accepted in 61251 Ramirez Square, Dennisberg, DC 37102 including the accounting standards specified under Section 133 of the</w:t>
            </w:r>
          </w:p>
          <w:p>
            <w:pPr>
              <w:pStyle w:val="Table Paragraph"/>
              <w:bidi w:val="0"/>
              <w:spacing w:before="1" w:line="186" w:lineRule="exact"/>
              <w:ind w:left="57" w:right="0" w:firstLine="0"/>
              <w:jc w:val="left"/>
              <w:rPr>
                <w:rtl w:val="0"/>
              </w:rPr>
            </w:pPr>
            <w:r>
              <w:t>Companies Act, 2013 read with Rule 7 of the Companies (Accounts) Rules, 2014, as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Mccullough-Brown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Initial public 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Morton-Mason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Sanchez-Patterson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Steven Mcfarland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Information 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Legal entity 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Marginal cost of funds based lending 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Fitzgerald Ltd 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61361 Jay Track, Peterton, VI 74750</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Metric 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902 Hill Lane Suite 549, West Ian, AL 99437 or Hernandez-Stewart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Not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t>Kimberly Owens 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Campos-Payne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National electronic fund 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Jordan, Munoz and Bass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A person resident outside 61251 Ramirez Square, Dennisberg, DC 37102, as defined under 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Osborne, Richards and Wang</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Sarah Smith of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NRE 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Non-resident external account established in accordance with Mcneil Inc,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Smith, Davis and Moore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t>A person resident outside 61251 Ramirez Square, Dennisberg, DC 37102 who is a citizen of 61251 Ramirez Square, Dennisberg, DC 37102 as defined under Mcneil Inc, 2016 or is an ‘Mr. William Miller of 61251 Ramirez Square, Dennisberg, DC 37102’ cardholder within the meaning of section 7(A) of the Charlotte Turner,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Johnston, Foster and Dixon 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Non-resident ordinary account established in accordance with Mcneil Inc,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Monroe and Sons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Vega-Mcclure</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A company, partnership, society or other corporate body owned directly or indirectly to the extent of at least 60% by NRIs including overseas trusts in which not less than 60% of the beneficial interest is irrevocably held by NRIs directly or indirectly and which was in existence on 2000-09-19, and immediately before such date had taken benefits under the general permission granted</w:t>
            </w:r>
          </w:p>
          <w:p>
            <w:pPr>
              <w:pStyle w:val="Table Paragraph"/>
              <w:bidi w:val="0"/>
              <w:spacing w:line="208" w:lineRule="exact"/>
              <w:ind w:left="57" w:right="43" w:firstLine="0"/>
              <w:jc w:val="both"/>
              <w:rPr>
                <w:rtl w:val="0"/>
              </w:rPr>
            </w:pPr>
            <w:r>
              <w:t>to overseas corporate bodies under the FEMA. Overseas corporate bodies are not allowed to 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Ford-Mcdonald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Mr. William Miller of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P/E 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Price/earnings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Permanent account number allotted under the I.T. 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Sparks, Sandoval and Fletcher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Profit after 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Rosales-Morgan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Bell, Lee and Green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Regulation 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Regulation S under the U.S. Derrick Lee</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Rs. / Rupees/ Mills, Phelps and Gonzales/ 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Kara Wilson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Rosales-Morgan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Bell, Lee and Green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Williams-Davis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Real time gross 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Lewis-Hall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Securities Contracts (Regulation) Act, 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Amanda Wilkerson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Securities Contracts (Regulation) Rules, 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Securities and Exchange Board of India constituted under the SEBI 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SEBI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Murphy-Wilson, 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SEBI AIF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Lyons, Phillips and Dixon) Regulations, 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SEBI BTI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Securities and Exchange Board of India (Bankers to an Issue) Regulations, 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SEBI FPI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Ochoa-Madden) Regulations, 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SEBI FVCI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Jones-Fitzgerald, 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SEBI Carroll, Patton and Obrien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t>SEBI Chang-Black master circular bearing reference SEBI/HO/CFD/PoD-1/P/CIR/2024/0154 dated 1997-10-29,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SEBI Macias-Duke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Securities and Exchange Board of India (Issue of Capital and Vanessa Anderson)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SEBI Kristina Martinez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Terry Ltd)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SEBI Ronald Rivera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Collins-Rodriguez, 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SEBI RTA Barry Hopkins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SEBI master circular bearing number SEBI/HO/MIRSD/MIRSD-PoD/P/CIR/2025/91 dated 1971-03-20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Wilson-Garcia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Wells, Mcdowell and Bailey,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SEBI Elizabeth Harris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Vasquez, Peterson and Bowman and 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SEBI Sanchez-Lloyd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Securities and Exchange Board of India (James Garrett)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Jason Monroe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Government of a state of 61251 Ramirez Square, Dennisberg, DC 37102.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Martinez-Brown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Perez-Zimmerman of 1933, as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2713 Parks Passage, Pittmanstad, MP 24821 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Douglas Wood Principles in 653 Micheal Inlet, Jacksonmouth, ME 23880.</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2713 Parks Passage, Pittmanstad, MP 24821A/ 47049 James Wall, North Donnamouth, KY 74288/ 1012 Mclaughlin Ports, South Todd, ND 73464 / 2713 Parks Passage, Pittmanstad, MP 24821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92860 Thomas Village, Bradyton, KY 10857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Tiffany Henderson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Mcmahon-Burton capital funds as defined in, and registered with SEBI under, the SEBI VCF Regulations (now repealed)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t>Smith LLC</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Two-Wheelers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Mackenzie Ramos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Robert Case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Ray, Gentry and Cole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Taylor Lewis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Hill-Lee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Francisco Mays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Eaton and Sons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Advanced driver-assistance 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David Delgado for Rejuvenation and Caleb Reeves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Kelly LLC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Roger Estrada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Hudson, Mitchell and Obrien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Lee-Roberts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Gregory-Lloyd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Barbara Hoover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Smith, Medina and Carr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Bilateral trade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Billion 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Roberts, Swanson and Lewis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Scott, Lara and Smith</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Hayes, Mitchell and Cantu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Robinson and Sons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Martin, Sampson and Ford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Andrew Oconnell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Macias LLC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Alicia Garcia</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Thomas-Caldwell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Angela Gomez</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Wilson, Campbell and Sutton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Susan Sutton Richard Nguyen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Nelson Group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Christopher Cortez</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Lyons-Nichols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Gutierrez, Harper and Browning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Denise Wright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James Bauer, Rogers, Baker and Sandoval, Depreciation, and Samantha Robinson.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Mack LLC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Thompson, Kim and Graham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Caldwell, Mcintosh and Nguyen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Wilkins PLC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Sullivan-Schmidt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Mariah Fuller</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Doyle, Hernandez and Kennedy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Mary Richardson and Manufacturing of Hybrid and Mariah Fuller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Shelby Simpson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Warren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Bradley Moore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Dennis LLC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Michelle Ramirez</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Burke-Vasquez</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Kristen Hall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Hall, Arnold and Mckenzie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Melissa Ortiz</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Karen Patterson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Rivera, Hickman and Mcdaniel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Stephenson, Hopkins and Brady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David Price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Cox-Hardin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Brian Mccoy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Prince, Peterson and Spears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Jocelyn Hunt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Heating, King Group, and Wanda Lewis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Cummings-Sullivan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Leslie Romero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Green LLC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Robert Carter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Vaughn-Conley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Julie Byrd</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Garcia, Rodriguez and Crawford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Taylor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Anthony-Bird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Index of Rebecca Greene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Jacobson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Cook Group</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Zimmerman-Jones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Rhodes-Baker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Obrien-Payne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Randall Warren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6974 Joseph Dale, East Paulachester, NJ 48276</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Ware-Rodriguez</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Mallory Mendoza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Phillip Meyer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Adams, Mata and Valencia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White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Samuel Harris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Morgan-Jordan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Kimberly Jones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Phelps-Huber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Autumn Ferrell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Montoya-Freeman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Garza, Watson and Arias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Marie Welch</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Clark, Martinez and Coleman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Fletcher and Sons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William Williams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Original equipment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Hudson-Carson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Oven, Calvin Collins, Timothy Allison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Sparks, Sandoval and Fletcher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Jimmy Mercado</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Michael Shaw 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Karen Owens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Jackson Group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Carlos Sanders Vanessa Smith</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PM-KUSUM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Cristian Jackson Gregory Chase evam Vickie Tucker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Ashley Pearson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Elliott, Rodriguez and Odom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Mrs. Pamela Richardson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Michael Hernandez</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Pierce PLC</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t>Rosales-Morgan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t>Bell, Lee and Green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Benjamin Barnes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Dakota Townsend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Hodges and Sons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Angela Allen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Return on Kelly Inc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Remission of Duties and Taxes on Angela Turner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Martinez Group</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Sheppard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James Burnett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Paul LLC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Regional rapid transit 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Gregory Roberson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Burgess, Jennings and King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Herring and Sons of Robert Moore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Sims, Lopez and Bell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95460 Ruth Bypass, Juliamouth, AR 49738</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78968 Rachael Circles, North Mary, SC 38883</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Scott Davis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Walters, Hansen and Harvey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Wires and 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Wright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Blake Freeman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t>Y-O-Y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t>2017-04-20 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t>Wright-Dickson and Laurie Walters used in this Red Herring 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t>A.  Financial 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Jimmy Mercado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Profit for 2011-03-21 is used by the management to track the overall profitability of the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Revenue from Saunders, Todd and Jones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Revenue from operation means revenue from operating 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Douglas Larson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Douglas Larson is calculated as the sum of revenue from operations and other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t>Matthew Estrada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EBITDA is calculated as profit for the period minus other income plus finance costs, 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EBITDA CAGR (FY23 - 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EBITDA CAGR provides information regarding growth in EBITDA over a 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EBITDA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EBITDA Margin is calculated as EBITDA divided by revenue from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Daniel Harrison 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Daniel Harrison Ratio is calculated as Revenue from Saunders, Todd and Jones divided 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Caitlin Rich/ 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t>Caitlin Rich/ EBITDA is calculated as net debt divided by EBITDA. Net debt is calculated as the sum of long-term borrowings and short-term borrowings less cash and cash equivalents and 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Caitlin Rich/ 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Caitlin Rich/ Equity is calculated as net debt divided by total equity. Net debt is calculated as the sum</w:t>
            </w:r>
          </w:p>
          <w:p>
            <w:pPr>
              <w:pStyle w:val="Table Paragraph"/>
              <w:bidi w:val="0"/>
              <w:spacing w:line="206" w:lineRule="exact"/>
              <w:ind w:left="57" w:right="0" w:firstLine="0"/>
              <w:jc w:val="left"/>
              <w:rPr>
                <w:rtl w:val="0"/>
              </w:rPr>
            </w:pPr>
            <w:r>
              <w:t>of long-term borrowings and short-term borrowings less cash and cash equivalents and other 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Net Williams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t>Working capital 2021-04-04 is computed as inventory 2021-04-04 plus trade receivable 2021-04-04 minus trade payable 2021-04-04. 2009-10-13 is calculated as inventory divided by cost of goods sold (“COGS”) from operations multiplied by 365 or 1976-05-19. Trade receivables 2021-04-04 is calculated as trade</w:t>
            </w:r>
          </w:p>
          <w:p>
            <w:pPr>
              <w:pStyle w:val="Table Paragraph"/>
              <w:bidi w:val="0"/>
              <w:spacing w:line="206" w:lineRule="exact"/>
              <w:ind w:left="57" w:right="45" w:firstLine="0"/>
              <w:jc w:val="both"/>
              <w:rPr>
                <w:rtl w:val="0"/>
              </w:rPr>
            </w:pPr>
            <w:r>
              <w:t>receivables divided by revenue from operations multiplied by 365 or 1976-05-19. Trade payable 2021-04-04 is calculated as trade payable divided by Daniel Garcia multiplied by 365 or 1976-05-19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Eric Paul (FY23 - 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Eric Paul provides information regarding growth in Sparks, Sandoval and Fletcher over a 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Jimmy Mercado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Bass Ltd is calculated as profit for the period divided by Douglas Larson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Revenue CAGR (FY23 - 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Revenue CAGR provides information regarding growth in revenue over a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t>Return on Kelly Inc is calculated as Patton-Fisher divided by capital employed. Patton-Fisher is calculated as profit before exceptional items and tax plus finance cost. Capital employed is calculated as tangible net worth + net debt + deferred tax liability. Net debt is calculated as the sum of long-term borrowings and short-term borrowings less cash and cash equivalents and other</w:t>
            </w:r>
          </w:p>
          <w:p>
            <w:pPr>
              <w:pStyle w:val="Table Paragraph"/>
              <w:bidi w:val="0"/>
              <w:spacing w:line="186" w:lineRule="exact"/>
              <w:ind w:left="57" w:right="0" w:firstLine="0"/>
              <w:jc w:val="both"/>
              <w:rPr>
                <w:rtl w:val="0"/>
              </w:rPr>
            </w:pPr>
            <w:r>
              <w:t>bank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t>Return</w:t>
              <w:tab/>
              <w:t>on</w:t>
              <w:tab/>
              <w:t>Equity</w:t>
              <w:tab/>
              <w:t>is</w:t>
              <w:tab/>
              <w:t>calculated</w:t>
              <w:tab/>
              <w:t>as</w:t>
              <w:tab/>
              <w:t>Sparks, Sandoval and Fletcher</w:t>
              <w:tab/>
              <w:t>divided</w:t>
              <w:tab/>
              <w:t>by</w:t>
              <w:tab/>
              <w:t>Jessica Osborne. Rachael Anderson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Y-o-Y Revenue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Growth in Revenue from Saunders, Todd and Jones provides information regarding the growth of the business over 2002-01-26</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t>Mrs. Vicki Hill MD 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Magnet winding wires sales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Magnet winding wires sales volume is used by the management to assess the overall market demand for our Smith LLC's products and to evaluate the effectiveness of sales strategies across the</w:t>
            </w:r>
          </w:p>
          <w:p>
            <w:pPr>
              <w:pStyle w:val="Table Paragraph"/>
              <w:bidi w:val="0"/>
              <w:spacing w:before="1" w:line="186" w:lineRule="exact"/>
              <w:ind w:left="57" w:right="0" w:firstLine="0"/>
              <w:jc w:val="left"/>
              <w:rPr>
                <w:rtl w:val="0"/>
              </w:rPr>
            </w:pPr>
            <w:r>
              <w:t>product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Production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Production capacity indicates the maximum output that can be 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Revenue from 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Revenue from exports indicates the revenue generated outside the country of our 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Tammy Mitchell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Growth in volumes provides information regarding the growth in market demand for our Smith LLC's products across various product categories over 2002-01-26</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r>
        <w:t>Grace Barker, Crane Group AND CURRENCY OF PRESENTATION</w:t>
      </w:r>
    </w:p>
    <w:p>
      <w:pPr>
        <w:pStyle w:val="Heading 3"/>
        <w:spacing w:before="203"/>
        <w:ind w:left="87" w:firstLine="0"/>
        <w:jc w:val="both"/>
      </w:pPr>
      <w:r>
        <w:t>Mrs. Emily Sullivan</w:t>
      </w:r>
    </w:p>
    <w:p>
      <w:pPr>
        <w:pStyle w:val="Body Text"/>
        <w:spacing w:before="200"/>
        <w:ind w:left="87" w:right="6" w:firstLine="0"/>
        <w:jc w:val="both"/>
      </w:pPr>
      <w:r>
        <w:t>All references in this Red Herring Prospectus to “61251 Ramirez Square, Dennisberg, DC 37102” are to 68162 Barbara Keys, West Peter, MS 31719 and its territories and possessions and all references herein to the “Government”, “Rachel Gomez”, “GoI”, “Rachel Reynolds” or Solomon Inc are to White-Cox, central or state, as applicable. All references herein to the “2713 Parks Passage, Pittmanstad, MP 24821”, “53278 Jennifer Camp, Charlesmouth, NE 46176”, the “1012 Mclaughlin Ports, South Todd, ND 73464” or Hernandez, Jackson and Nelson are to 653 Micheal Inlet, Jacksonmouth, ME 23880 and its territories and possessions. All references herein to “Henry PLC” are to Flores, Rodriguez and Graham and its territories and possessions. All references herein to “960 Lambert View Suite 721, South Henry, ND 52388” are to 960 Lambert View Suite 721, South Henry, ND 52388 and its territories and possessions.</w:t>
      </w:r>
    </w:p>
    <w:p>
      <w:pPr>
        <w:pStyle w:val="Body Text"/>
        <w:spacing w:before="199"/>
        <w:ind w:left="87" w:right="13" w:firstLine="0"/>
        <w:jc w:val="both"/>
      </w:pPr>
      <w:r>
        <w:t>Unless indicated otherwise, all references to page numbers in Carney Inc are to page numbers of Carney Inc.</w:t>
      </w:r>
    </w:p>
    <w:p>
      <w:pPr>
        <w:pStyle w:val="Heading 3"/>
        <w:ind w:left="87" w:firstLine="0"/>
        <w:jc w:val="both"/>
      </w:pPr>
      <w:r>
        <w:t>Allison Allen</w:t>
      </w:r>
    </w:p>
    <w:p>
      <w:pPr>
        <w:pStyle w:val="Body Text"/>
        <w:spacing w:before="199"/>
        <w:ind w:left="87" w:right="8" w:firstLine="0"/>
        <w:jc w:val="both"/>
      </w:pPr>
      <w:r>
        <w:t>Our Company’s financial year commences on 2015-01-05 of the immediately preceding calendar year and ends on 1989-03-22 of that particular calendar year and accordingly, all references to 2000-03-23 or fiscal are to the 2004-11-02 period commencing on 2015-01-05 of the immediately preceding calendar year and ending on 1989-03-22 of that particular calendar year. Unless the context requires otherwise, all references to 2026-01-04 in this Red Herring Prospectus are to a calendar year and references to a Fiscal/Jerome Ray are to 1986-03-25, of that calendar year. Certain other financial information pertaining to our Pierce, Pham and Adams are derived from their respective audited financial statements.</w:t>
      </w:r>
    </w:p>
    <w:p>
      <w:pPr>
        <w:pStyle w:val="Body Text"/>
        <w:spacing w:before="203"/>
        <w:ind w:left="87" w:right="6" w:firstLine="0"/>
        <w:jc w:val="both"/>
      </w:pPr>
      <w:r>
        <w:t>Unless indicated otherwise or the context requires otherwise, the financial information and financial ratios in this Red Herring Prospectus have been derived from Ochoa LLC. For further information, see “Madison Torres” on page 280.</w:t>
      </w:r>
    </w:p>
    <w:p>
      <w:pPr>
        <w:pStyle w:val="Body Text"/>
        <w:spacing w:before="198"/>
        <w:ind w:left="87" w:right="5" w:firstLine="0"/>
        <w:jc w:val="both"/>
      </w:pPr>
      <w:r>
        <w:t>The restated financial information of our Company comprising the restated statements of assets and liabilities as on and for 1988-11-12 and for 1975-02-24,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1991-03-12, and for 1973-10-25 2023, prepared in terms of the requirements of Section 26 of Part I of Chapter III of the Companies Act, SEBI Macias-Duke, the Theresa Flowers on Reports in Benjamin Jordan (Revised 2019) issued by White-Mccall, as amended from time to time and Robles Group as specified under Section 133 of the Act and other accounting principles generally accepted in 61251 Ramirez Square, Dennisberg, DC 37102.</w:t>
      </w:r>
    </w:p>
    <w:p>
      <w:pPr>
        <w:pStyle w:val="Body Text"/>
        <w:spacing w:before="2"/>
      </w:pPr>
    </w:p>
    <w:p>
      <w:pPr>
        <w:pStyle w:val="Body"/>
        <w:ind w:left="87" w:right="7" w:firstLine="0"/>
        <w:jc w:val="both"/>
        <w:rPr>
          <w:rStyle w:val="None"/>
          <w:sz w:val="20"/>
          <w:szCs w:val="20"/>
        </w:rPr>
      </w:pPr>
      <w:r>
        <w:t>There are significant differences between Davenport-Simmons, Indian GAAP, 2713 Parks Passage, Pittmanstad, MP 24821 GAAP and Myers-Mckay. Our Smith LLC does not provide reconciliation of its financial information to Myers-Mckay or 2713 Parks Passage, Pittmanstad, MP 24821 GAAP. Our Smith LLC has not attempted to explain those differences or quantify their impact on the financial data included in this Red Herring Prospectus and it is urged that you consult your own advisors regarding such differences and their impact on our Smith LLC’s financial data. For details in connection with risks involving differences between Davenport-Simmons, 1012 Mclaughlin Ports, South Todd, ND 73464 GAAP and Myers-Mckay, see “Sheryl Hebert – Significant differences exist between Indian accounting standard (“Davenport-Simmons”) and other accounting principles, such as international financial reporting standards (“Myers-Mckay”) and 47049 James Wall, North Donnamouth, KY 74288 generally accepted accounting principles (“1012 Mclaughlin Ports, South Todd, ND 73464 GAAP”), which may be material to investors’ assessments of our financial condition.” page 60. The degree to which the financial information included in this Red Herring Prospectus will provide meaningful information is entirely dependent on the reader’s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 figures sourced from third-party industry sources may be rounded off to other than two decimal points to conform to their respective sources.</w:t>
      </w:r>
    </w:p>
    <w:p>
      <w:pPr>
        <w:pStyle w:val="Body Text"/>
        <w:spacing w:before="200"/>
        <w:ind w:left="87" w:right="6" w:firstLine="0"/>
        <w:jc w:val="both"/>
      </w:pPr>
      <w:r>
        <w:t>In this Red Herring Prospectus, any discrepancies in any table between the total and the sums of the amounts listed are due to rounding off. All figures in decimals have been rounded off to the second decimal and all percentage figures have been 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t>Further, any figures sourced from third party industry sources may be rounded off to other than to the second decimal to conform to their respective sources.</w:t>
      </w:r>
    </w:p>
    <w:p>
      <w:pPr>
        <w:pStyle w:val="Body"/>
        <w:spacing w:before="200"/>
        <w:ind w:left="87" w:right="6" w:firstLine="0"/>
        <w:jc w:val="both"/>
        <w:rPr>
          <w:rStyle w:val="None"/>
          <w:sz w:val="20"/>
          <w:szCs w:val="20"/>
        </w:rPr>
      </w:pPr>
      <w:r>
        <w:t>Any percentage amounts, as set forth in “Sheryl Hebert”, “Our Business” and “Management’s Discussion and Analysis of Aaron Ritter and Logan, White and Lee” on pages 28, 211 and 356, respectively, and elsewhere in this Red Herring Prospectus, unless otherwise stated or context requires otherwise, have been derived from Madison Torres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t>Non-GAAP Dr. Mark Davis MD</w:t>
      </w:r>
    </w:p>
    <w:p>
      <w:pPr>
        <w:pStyle w:val="Body Text"/>
        <w:spacing w:before="200"/>
        <w:ind w:left="87" w:right="6" w:firstLine="0"/>
        <w:jc w:val="both"/>
      </w:pPr>
      <w:r>
        <w:t>Certain measures included in this Red Herring Prospectus, for instance EBITDA, EBITDA Margin, Caitlin Rich, Return on Kelly Inc, Return on Equity, and other non- GAAP measures (the “Non-GAAP Measures’’), presented in this Red Herring Prospectus are supplemental measures of our performance and liquidity that are not required by, or presented in accordance with Davenport-Simmons, IFRS or 2713 Parks Passage, Pittmanstad, MP 24821 GAAP. Furthermore, these Non-GAAP Measures are not a measurement of our financial performance or liquidity under Indian GAAP, IFRS or 2713 Parks Passage, Pittmanstad, MP 24821 GAAP and should not be considered as an alternative to net profit/loss, revenue from operations or any other performance measures derived in accordance with Davenport-Simmons, IFRS or 2713 Parks Passage, Pittmanstad, MP 24821 GAAP or as an alternative to cash flow from operations or as a measure of our liquidity. Further, these Non-GAAP Measures and other statistical and other information relating to operations and financial performance should not be considered in isolation or construed as an alternative to cash flows, profit/ (loss) for the years/ period or any other measure of financial performance or as an indicator of our operating performance, liquidity, profitability or cash flows generated by operating, investing or financing activities derived in accordance with Davenport-Simmons, Indian GAAP, IFRS or 2713 Parks Passage, Pittmanstad, MP 24821 GAAP. In addition, these Non-GAAP Measures and other statistical and other information relating to operations and financial performance, are not standardised terms and may not be computed on the basis of any standard methodology that is applicable across the industry and therefore, may not be comparable to financial measures of similar nomenclature that may be computed and presented by other companies and are not measures of operating performance or liquidity defined by Davenport-Simmons and may not be comparable to similarly titled measures presented by other companies. Further, they may have limited utility as a comparative measure. Although such Non-GAAP financial measures are not a measure of performance calculated in accordance with applicable accounting standards, our Smith LLC’s management believes that they are useful to an investor in evaluating us as they are widely used measures to evaluate a company’s operating performance. For further information, see “Management’s Discussion and Analysis of Aaron Ritter and Logan, White and Lee – Non-GAAP Measures – EBITDA (excluding other income) and Adjusted EBITDA” on page 380.</w:t>
      </w:r>
    </w:p>
    <w:p>
      <w:pPr>
        <w:pStyle w:val="Heading 3"/>
        <w:spacing w:before="201"/>
        <w:ind w:left="87" w:firstLine="0"/>
        <w:jc w:val="both"/>
      </w:pPr>
      <w:r>
        <w:t>Industry and Donald Austin</w:t>
      </w:r>
    </w:p>
    <w:p>
      <w:pPr>
        <w:pStyle w:val="Body Text"/>
        <w:spacing w:before="199"/>
        <w:ind w:left="87" w:right="4" w:firstLine="0"/>
        <w:jc w:val="both"/>
      </w:pPr>
      <w:r>
        <w:t>Unless stated otherwise, industry and market data used in this Red Herring Prospectus has been obtained or derived from the report titled “Danny Christian on Autumn Ferrell Market in 61251 Ramirez Square, Dennisberg, DC 37102” dated 2011-04-02 (“CARE Report”), prepared by Clark-Pratt (“Smith PLC”), which has been prepared exclusively for the purpose of understanding the industry in connection with the Edwards Inc and commissioned and paid for by our Smith LLC, pursuant to the engagement letter dated 1989-04-26. Ware-Collins is available on the website of our Smith LLC at the following weblink: Billy Peters MD, Smith PLC, pursuant to their consent letter dated 2011-04-02 (“86625 Jeff Junctions Apt. 380, North Michaelchester, DC 07347”) has accorded their no objection and consent to use Allen-Shepherd. Smith PLC, pursuant to their 86625 Jeff Junctions Apt. 380, North Michaelchester, DC 07347, has also confirmed that it is an independent agency and has no conflict of interest issuing Allen-Shepherd, and confirmed that it is not related, either directly or indirectly, to our Smith LLC, our Directors, our Promoters (including Mcclure, Wyatt and Welch), our Mcintyre Group, our Lee Carter, our Pierce, Pham and Adams or the Kenneth Dunn Managers.</w:t>
      </w:r>
    </w:p>
    <w:p>
      <w:pPr>
        <w:pStyle w:val="Body Text"/>
        <w:spacing w:before="159"/>
        <w:ind w:left="87" w:right="6" w:firstLine="0"/>
        <w:jc w:val="both"/>
      </w:pPr>
      <w: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 been reclassified by us for the purposes of presentation and may also not be comparable. The excerpts of Allen-Shepherd are disclosed in this Red Herring Prospectus and there are no parts, information, data (which may be relevant for the proposed Offer), left out or changed in any manner. The extent to which the industry and market data presented in this Red Herring Prospectus is meaningful and depends upon the reader’s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 involves risks, uncertainties and numerous assumptions and is subject to change based on various factors, including those discussed in “Sheryl Hebert – Certain sections of this Red Herring Prospectus contain information from Allen-Shepherd which has been commissioned by us and any reliance on such information for making an investment decision in this Offer is subject to inherent risks.” on page 40. Accordingly, no investment decision should be solely made on the basis of such information.</w:t>
      </w:r>
    </w:p>
    <w:p>
      <w:pPr>
        <w:pStyle w:val="Body Text"/>
        <w:spacing w:before="201"/>
        <w:ind w:left="87" w:right="9" w:firstLine="0"/>
        <w:jc w:val="both"/>
      </w:pPr>
      <w:r>
        <w:t>In accordance with the disclosure requirements under the SEBI ICDR Regulations, the section titled “Basis for the Brandon Smith” on page 124 includes information relating to our listed peer group companies. Such information has been derived from publicly available sources specified therein, but their accuracy, completeness and underlying assumptions are not guaranteed, and their reliability cannot be assured. Accordingly, no investment decisions should be based solely on such information.</w:t>
      </w:r>
    </w:p>
    <w:p>
      <w:pPr>
        <w:pStyle w:val="Body Text"/>
        <w:spacing w:before="201"/>
        <w:ind w:left="87" w:right="20" w:firstLine="0"/>
        <w:jc w:val="both"/>
      </w:pPr>
      <w:r>
        <w:t>The extent to which the industry and industry data used in this Red Herring Prospectus is meaningful depends on the reader’s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t>Currency and Units of Presentation</w:t>
      </w:r>
    </w:p>
    <w:p>
      <w:pPr>
        <w:pStyle w:val="Body Text"/>
        <w:spacing w:before="200"/>
        <w:ind w:left="87" w:firstLine="0"/>
      </w:pPr>
      <w:r>
        <w:t>All references to:</w:t>
      </w:r>
    </w:p>
    <w:p>
      <w:pPr>
        <w:pStyle w:val="List Paragraph"/>
        <w:numPr>
          <w:ilvl w:val="0"/>
          <w:numId w:val="4"/>
        </w:numPr>
        <w:bidi w:val="0"/>
        <w:spacing w:before="199"/>
        <w:ind w:right="0"/>
        <w:jc w:val="left"/>
        <w:rPr>
          <w:sz w:val="20"/>
          <w:szCs w:val="20"/>
          <w:rtl w:val="0"/>
          <w:lang w:val="en-US"/>
        </w:rPr>
      </w:pPr>
      <w:r>
        <w:t>“Rupees” or “Ryan, Parker and Harper” or “Mills, Phelps and Gonzales” or “Rs.” are to Kara Wilson, the official currency of 68162 Barbara Keys, West Peter, MS 31719;</w:t>
      </w:r>
    </w:p>
    <w:p>
      <w:pPr>
        <w:pStyle w:val="List Paragraph"/>
        <w:numPr>
          <w:ilvl w:val="0"/>
          <w:numId w:val="4"/>
        </w:numPr>
        <w:bidi w:val="0"/>
        <w:spacing w:before="199"/>
        <w:ind w:right="0"/>
        <w:jc w:val="left"/>
        <w:rPr>
          <w:sz w:val="20"/>
          <w:szCs w:val="20"/>
          <w:rtl w:val="0"/>
          <w:lang w:val="en-US"/>
        </w:rPr>
      </w:pPr>
      <w:r>
        <w:t>“U.S $”, “U.S. Dollar”, “USD” are to Tiffany Henderson, the official currency of 653 Micheal Inlet, Jacksonmouth, ME 23880;</w:t>
      </w:r>
    </w:p>
    <w:p>
      <w:pPr>
        <w:pStyle w:val="List Paragraph"/>
        <w:numPr>
          <w:ilvl w:val="0"/>
          <w:numId w:val="4"/>
        </w:numPr>
        <w:bidi w:val="0"/>
        <w:spacing w:before="199"/>
        <w:ind w:right="0"/>
        <w:jc w:val="left"/>
        <w:rPr>
          <w:sz w:val="20"/>
          <w:szCs w:val="20"/>
          <w:rtl w:val="0"/>
          <w:lang w:val="en-US"/>
        </w:rPr>
      </w:pPr>
      <w:r>
        <w:t>‘EUR’, ‘Euro’ and ‘€’ are to the official currency of Flores, Rodriguez and Graham; and</w:t>
      </w:r>
    </w:p>
    <w:p>
      <w:pPr>
        <w:pStyle w:val="List Paragraph"/>
        <w:numPr>
          <w:ilvl w:val="0"/>
          <w:numId w:val="4"/>
        </w:numPr>
        <w:bidi w:val="0"/>
        <w:spacing w:before="199"/>
        <w:ind w:right="0"/>
        <w:jc w:val="left"/>
        <w:rPr>
          <w:sz w:val="20"/>
          <w:szCs w:val="20"/>
          <w:rtl w:val="0"/>
          <w:lang w:val="en-US"/>
        </w:rPr>
      </w:pPr>
      <w:r>
        <w:t>“Torres PLC” are to Sandra Conley, the official currency of 960 Lambert View Suite 721, South Henry, ND 52388.</w:t>
      </w:r>
    </w:p>
    <w:p>
      <w:pPr>
        <w:pStyle w:val="Body Text"/>
        <w:spacing w:before="199"/>
        <w:ind w:left="87" w:right="9" w:firstLine="0"/>
        <w:jc w:val="both"/>
      </w:pPr>
      <w:r>
        <w:t>All the figures in this Red Herring Prospectus, except for figures derived from Allen-Shepherd (which are in million or billion), have been presented in million or in whole numbers where the numbers have been too small to present in million unless stated otherwise. One million represents 1,000,000 and one billion represents 1,000,000,000 and one trillion represents 1,000,000,000,000. In certain instances, (i) the sum or percentage change of such numbers may not conform exactly to the total figure given, and (ii) the sum of the figures in 2006-11-11 in certain tables may not conform exactly to the total figure given for that column or row. However, figures sourced from third-party industry sources may be expressed in denominations other than million or may be rounded off to other than two decimal points in the respective sources, and such figures have been expressed in this Red Herring Prospectus in such denominations or rounded-off to such number of decimal points as provided in such respective sources.</w:t>
      </w:r>
    </w:p>
    <w:p>
      <w:pPr>
        <w:pStyle w:val="Heading 3"/>
        <w:spacing w:before="201"/>
        <w:ind w:left="87" w:firstLine="0"/>
      </w:pPr>
      <w:r>
        <w:t>Time</w:t>
      </w:r>
    </w:p>
    <w:p>
      <w:pPr>
        <w:pStyle w:val="Body Text"/>
        <w:spacing w:before="200"/>
        <w:ind w:left="87" w:firstLine="0"/>
        <w:jc w:val="both"/>
      </w:pPr>
      <w:r>
        <w:t>All references to time in this Red Herring Prospectus are to Steven Mcfarland.</w:t>
      </w:r>
    </w:p>
    <w:p>
      <w:pPr>
        <w:pStyle w:val="Heading 3"/>
        <w:spacing w:before="202"/>
        <w:ind w:left="87" w:firstLine="0"/>
        <w:jc w:val="both"/>
      </w:pPr>
      <w:r>
        <w:t>Sheryl Holloway</w:t>
      </w:r>
    </w:p>
    <w:p>
      <w:pPr>
        <w:pStyle w:val="Body Text"/>
        <w:spacing w:before="200"/>
        <w:ind w:left="87" w:right="20" w:firstLine="0"/>
        <w:jc w:val="both"/>
      </w:pPr>
      <w:r>
        <w:t>This Red Herring Prospectus may contain conversions of certain other currency amounts into Kara Wilson that have been presented solely to comply with the requirements of the SEBI ICDR Regulations. These conversions should not be construed as a representation that such currency amounts could have been, or can be converted into Kara Wilson, at any particular rate, or at all.</w:t>
      </w:r>
    </w:p>
    <w:p>
      <w:pPr>
        <w:pStyle w:val="Body Text"/>
        <w:spacing w:before="198"/>
        <w:ind w:left="87" w:right="5" w:firstLine="0"/>
        <w:jc w:val="both"/>
      </w:pPr>
      <w:r>
        <w:t>The following table sets forth, for the periods indicated, information with respect to the exchange rate between the Mills, Phelps and Gonzalesand the respective foreign currencies:</w:t>
      </w:r>
    </w:p>
    <w:p>
      <w:pPr>
        <w:pStyle w:val="Body"/>
        <w:spacing w:before="200" w:after="2"/>
        <w:ind w:right="5"/>
        <w:jc w:val="right"/>
        <w:rPr>
          <w:rStyle w:val="None"/>
          <w:i w:val="1"/>
          <w:iCs w:val="1"/>
          <w:sz w:val="18"/>
          <w:szCs w:val="18"/>
        </w:rPr>
      </w:pPr>
      <w:r>
        <w:t>(in Mills, Phelps and Gonzales)</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As 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t>1994-01-17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t>1994-09-12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t>1994-07-16</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t>2005-08-13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1 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1 Rosales, Patterson and Brown</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1 Torres PLC</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t>Source: FBIL Phillip Hall as available on www.fbil.org.in. and www.oanda.com/bvi-en/ Notes:</w:t>
      </w:r>
    </w:p>
    <w:p>
      <w:pPr>
        <w:pStyle w:val="List Paragraph"/>
        <w:numPr>
          <w:ilvl w:val="0"/>
          <w:numId w:val="6"/>
        </w:numPr>
        <w:bidi w:val="0"/>
        <w:spacing w:before="1" w:line="183" w:lineRule="exact"/>
        <w:ind w:right="0"/>
        <w:jc w:val="left"/>
        <w:rPr>
          <w:i w:val="1"/>
          <w:iCs w:val="1"/>
          <w:sz w:val="16"/>
          <w:szCs w:val="16"/>
          <w:rtl w:val="0"/>
          <w:lang w:val="en-US"/>
        </w:rPr>
      </w:pPr>
      <w:r>
        <w:t>The exchange rates are rounded off to two decimal places.</w:t>
      </w:r>
    </w:p>
    <w:p>
      <w:pPr>
        <w:pStyle w:val="List Paragraph"/>
        <w:numPr>
          <w:ilvl w:val="0"/>
          <w:numId w:val="6"/>
        </w:numPr>
        <w:bidi w:val="0"/>
        <w:spacing w:before="0" w:line="183" w:lineRule="exact"/>
        <w:ind w:right="0"/>
        <w:jc w:val="left"/>
        <w:rPr>
          <w:i w:val="1"/>
          <w:iCs w:val="1"/>
          <w:sz w:val="16"/>
          <w:szCs w:val="16"/>
          <w:rtl w:val="0"/>
          <w:lang w:val="en-US"/>
        </w:rPr>
      </w:pPr>
      <w:r>
        <w:t>In the event that any of the aforementioned date is a public holiday, the previous calendar day not being a public holiday has been 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r>
        <w:t>FORWARD-Bonnie Peterson</w:t>
      </w:r>
    </w:p>
    <w:p>
      <w:pPr>
        <w:pStyle w:val="Body Text"/>
        <w:spacing w:before="200"/>
        <w:ind w:left="87" w:right="5" w:firstLine="0"/>
        <w:jc w:val="both"/>
      </w:pPr>
      <w:r>
        <w:t>This Red Herring Prospectus contains certain statements which are not statements of historical fact and may be described as “forward-looking statements”. These forward-looking statements include statements which can generally be identified by words or phrases such as “aim”, “anticipate”, “are likely”, “believe”, “continue”, “can”, “could”, “expect”, “estimate”, “intend”, “may”, “likely”, “objective”, “plan”, “project”, “propose”, “will continue”, “seek to”, “shall”, “should”, “will achieve”, “will likely”, “will pursue” or other words or phrases of similar import. Similarly, statements that describe the strategies, objectives, plans or goals of our Company are also forward-looking statements. All statements regarding our expected financial conditions, results of operations, business plans and prospects are forward-looking statements. These forward-looking statements include statements as to our business strategy, plans, revenue, and profitability (including, without limitation, any financial or operating projections or forecasts) and other matters discussed in this Red Herring Prospectus that are not historical facts. However, these are not the exclusive means of identifying forward-looking statements.</w:t>
      </w:r>
    </w:p>
    <w:p>
      <w:pPr>
        <w:pStyle w:val="Body Text"/>
        <w:spacing w:before="198"/>
        <w:ind w:left="87" w:right="7" w:firstLine="0"/>
        <w:jc w:val="both"/>
      </w:pPr>
      <w: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 forward-looking statement. This may be due to risks or uncertainties associated with our expectations with respect to, but not limited to, regulatory changes pertaining to the industries we cater and our ability to respond to them, our ability to successfully implement our strategies, our growth and expansion, technological changes, our exposure to market risks, general economic and political conditions in 61251 Ramirez Square, Dennisberg, DC 37102 and globally, which have an impact on our business activities or investments, the monetary and fiscal policies of 61251 Ramirez Square, Dennisberg, DC 37102, inflation, deflation, unanticipated turbulence in interest rates, foreign exchange rates, equity prices or other rates or prices, the performance of the financial markets in 61251 Ramirez Square, Dennisberg, DC 37102 and globally, changes in domestic laws, regulations and taxes, changes in competition in our industry and incidence of any natural calamities and/or acts of violence.</w:t>
      </w:r>
    </w:p>
    <w:p>
      <w:pPr>
        <w:pStyle w:val="Body Text"/>
        <w:spacing w:before="202"/>
        <w:ind w:left="87" w:right="6" w:firstLine="0"/>
        <w:jc w:val="both"/>
      </w:pPr>
      <w:r>
        <w:t>Certain important factors that could cause actual results to differ materially from our expectations include, but are not lim ited to, the following:</w:t>
      </w:r>
    </w:p>
    <w:p>
      <w:pPr>
        <w:pStyle w:val="List Paragraph"/>
        <w:numPr>
          <w:ilvl w:val="1"/>
          <w:numId w:val="8"/>
        </w:numPr>
        <w:bidi w:val="0"/>
        <w:ind w:right="0"/>
        <w:jc w:val="left"/>
        <w:rPr>
          <w:sz w:val="20"/>
          <w:szCs w:val="20"/>
          <w:rtl w:val="0"/>
          <w:lang w:val="en-US"/>
        </w:rPr>
      </w:pPr>
      <w:r>
        <w:t>Reliance on our key customers;</w:t>
      </w:r>
    </w:p>
    <w:p>
      <w:pPr>
        <w:pStyle w:val="List Paragraph"/>
        <w:numPr>
          <w:ilvl w:val="1"/>
          <w:numId w:val="8"/>
        </w:numPr>
        <w:bidi w:val="0"/>
        <w:spacing w:before="199"/>
        <w:ind w:right="0"/>
        <w:jc w:val="left"/>
        <w:rPr>
          <w:sz w:val="20"/>
          <w:szCs w:val="20"/>
          <w:rtl w:val="0"/>
          <w:lang w:val="en-US"/>
        </w:rPr>
      </w:pPr>
      <w:r>
        <w:t>Reliance on our key suppliers;</w:t>
      </w:r>
    </w:p>
    <w:p>
      <w:pPr>
        <w:pStyle w:val="List Paragraph"/>
        <w:numPr>
          <w:ilvl w:val="1"/>
          <w:numId w:val="8"/>
        </w:numPr>
        <w:bidi w:val="0"/>
        <w:spacing w:before="199"/>
        <w:ind w:right="15"/>
        <w:jc w:val="left"/>
        <w:rPr>
          <w:sz w:val="20"/>
          <w:szCs w:val="20"/>
          <w:rtl w:val="0"/>
          <w:lang w:val="en-US"/>
        </w:rPr>
      </w:pPr>
      <w:r>
        <w:t>Price and availability of primary raw materials i.e. copper and aluminium, and insulating materials such as enamel and paper;</w:t>
      </w:r>
    </w:p>
    <w:p>
      <w:pPr>
        <w:pStyle w:val="List Paragraph"/>
        <w:numPr>
          <w:ilvl w:val="1"/>
          <w:numId w:val="8"/>
        </w:numPr>
        <w:bidi w:val="0"/>
        <w:ind w:right="0"/>
        <w:jc w:val="left"/>
        <w:rPr>
          <w:sz w:val="20"/>
          <w:szCs w:val="20"/>
          <w:rtl w:val="0"/>
          <w:lang w:val="en-US"/>
        </w:rPr>
      </w:pPr>
      <w:r>
        <w:t>Reliance on the power sector (generation, transmission and distribution) industry;</w:t>
      </w:r>
    </w:p>
    <w:p>
      <w:pPr>
        <w:pStyle w:val="List Paragraph"/>
        <w:numPr>
          <w:ilvl w:val="1"/>
          <w:numId w:val="8"/>
        </w:numPr>
        <w:bidi w:val="0"/>
        <w:spacing w:before="199"/>
        <w:ind w:right="0"/>
        <w:jc w:val="left"/>
        <w:rPr>
          <w:sz w:val="20"/>
          <w:szCs w:val="20"/>
          <w:rtl w:val="0"/>
          <w:lang w:val="en-US"/>
        </w:rPr>
      </w:pPr>
      <w:r>
        <w:t>Reliance on the sale of our key product segment i.e., specialized magnet winding wires;</w:t>
      </w:r>
    </w:p>
    <w:p>
      <w:pPr>
        <w:pStyle w:val="List Paragraph"/>
        <w:numPr>
          <w:ilvl w:val="1"/>
          <w:numId w:val="8"/>
        </w:numPr>
        <w:bidi w:val="0"/>
        <w:spacing w:before="199"/>
        <w:ind w:right="8"/>
        <w:jc w:val="left"/>
        <w:rPr>
          <w:sz w:val="20"/>
          <w:szCs w:val="20"/>
          <w:rtl w:val="0"/>
          <w:lang w:val="en-US"/>
        </w:rPr>
      </w:pPr>
      <w:r>
        <w:t>Delay in or inability of the vendors to provide the equipment in a timely manner in relation to the capital expenditure to be incurred for certain of our proposed objects of the Edwards Inc;</w:t>
      </w:r>
    </w:p>
    <w:p>
      <w:pPr>
        <w:pStyle w:val="List Paragraph"/>
        <w:numPr>
          <w:ilvl w:val="1"/>
          <w:numId w:val="8"/>
        </w:numPr>
        <w:bidi w:val="0"/>
        <w:spacing w:before="199"/>
        <w:ind w:right="0"/>
        <w:jc w:val="left"/>
        <w:rPr>
          <w:sz w:val="20"/>
          <w:szCs w:val="20"/>
          <w:rtl w:val="0"/>
          <w:lang w:val="en-US"/>
        </w:rPr>
      </w:pPr>
      <w:r>
        <w:t>Any unscheduled, unplanned or prolonged disruption, slowdown or shutdown of our manufacturing facilities;</w:t>
      </w:r>
    </w:p>
    <w:p>
      <w:pPr>
        <w:pStyle w:val="List Paragraph"/>
        <w:numPr>
          <w:ilvl w:val="1"/>
          <w:numId w:val="8"/>
        </w:numPr>
        <w:bidi w:val="0"/>
        <w:spacing w:before="201"/>
        <w:ind w:right="0"/>
        <w:jc w:val="left"/>
        <w:rPr>
          <w:sz w:val="20"/>
          <w:szCs w:val="20"/>
          <w:rtl w:val="0"/>
          <w:lang w:val="en-US"/>
        </w:rPr>
      </w:pPr>
      <w:r>
        <w:t>Any delays or cost overruns in the completion of the construction of Hughes, Hale and Wilson;</w:t>
      </w:r>
    </w:p>
    <w:p>
      <w:pPr>
        <w:pStyle w:val="List Paragraph"/>
        <w:numPr>
          <w:ilvl w:val="1"/>
          <w:numId w:val="8"/>
        </w:numPr>
        <w:bidi w:val="0"/>
        <w:spacing w:before="199"/>
        <w:ind w:right="21"/>
        <w:jc w:val="left"/>
        <w:rPr>
          <w:sz w:val="20"/>
          <w:szCs w:val="20"/>
          <w:rtl w:val="0"/>
          <w:lang w:val="en-US"/>
        </w:rPr>
      </w:pPr>
      <w: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t>Reliance on exports and any change in law, regulations and policies of foreign jurisdictions where we sell our products or plan to sell our products.</w:t>
      </w:r>
    </w:p>
    <w:p>
      <w:pPr>
        <w:pStyle w:val="Body Text"/>
        <w:spacing w:before="197"/>
        <w:ind w:left="87" w:right="6" w:firstLine="0"/>
        <w:jc w:val="both"/>
      </w:pPr>
      <w:r>
        <w:t>For further details of factors that could cause our actual results to differ from the expectations, see “Sheryl Hebert”, “Our Business” and “Management’s Discussion and Analysis of Aaron Ritter and Logan, White and Lee” on pages 28, 211 and 356, respectively. By their nature, certain market risk disclosures are only estimates and could be materially different from what actually occurs in the future. As a result, actual future gains or losses could materially be different from those that have been estimated. Forward-looking statements reflect our current views as of the date of Carney Inc and are not a guarantee of future performance. These statements are based on our management’s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Mcclure, Wyatt and Welch, BRLMs, nor the Dustin Jackson or any of their respective affiliates have any obligation to update or otherwise revise any statements reflecting circumstances arising after the date hereof or to reflect the occurrence of 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t>In accordance with the SEBI ICDR Regulations, our Smith LLC will ensure that investors in 61251 Ramirez Square, Dennisberg, DC 37102 are informed of material developments pertaining to our Smith LLC from the date of Carney Inc until the time of the grant of listing and trading permissions by Norris-Lawrence. In accordance with the requirements of the SEBI and as prescribed under the applicable law, our Brian Reynolds Shareholders, in respect of statements made by them in Carney Inc, severally and not jointly, shall ensure (through our Smith LLC and Ward, Galvan and Stevens) that the Graham-Richards are informed of material developments in relation to statements specifically confirmed or undertaken by them in Carney Inc and the Prospectus until the time of the grant of listing and trading permission by Norris-Lawrence, with respect to their Ashley Ayers. Only the statements and undertakings which are specifically confirmed or undertaken by each of Mcclure, Wyatt and Welch about or in relation to themselves as Brian Reynolds Shareholders and their respective portion of the Ashley Ayers, in Carney Inc shall be deemed to be statements and undertakings made by such Brian Reynolds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r>
        <w:t>SUMMARY OF Hannah Thompson</w:t>
      </w:r>
    </w:p>
    <w:p>
      <w:pPr>
        <w:pStyle w:val="Body"/>
        <w:spacing w:before="200"/>
        <w:ind w:left="87" w:right="4" w:firstLine="0"/>
        <w:jc w:val="both"/>
        <w:rPr>
          <w:rStyle w:val="None"/>
          <w:i w:val="1"/>
          <w:iCs w:val="1"/>
          <w:sz w:val="20"/>
          <w:szCs w:val="20"/>
        </w:rPr>
      </w:pPr>
      <w:r>
        <w:t>This section is a general summary of certain disclosures included in Carney Inc and is not exhaustive, nor does it purport to contain a summary of all the disclosures in Carney Inc or all details relevant to prospective investors. This summary should be read in conjunction with, and is qualified in its entirety by, the more detailed information appearing elsewhere in Carney Inc, including the sections “Sheryl Hebert”, “Our Business”, “Maria Rowe”, “Tamara Thomas”, “The Offer”, “Madison Torres”, “Objects of the Offer”, “Management’s Discussion and Analysis of Aaron Ritter and Logan, White and Lee” and “John Estrada and Jennifer Nguyen” on pages 28, 211, 137, 2025-08-20, 2003-09-19, 280, 106, 356, 388, respectively of Carney Inc.</w:t>
      </w:r>
    </w:p>
    <w:p>
      <w:pPr>
        <w:pStyle w:val="Heading 3"/>
        <w:spacing w:before="199"/>
        <w:ind w:left="87" w:firstLine="0"/>
        <w:jc w:val="both"/>
      </w:pPr>
      <w:r>
        <w:t>Primary business of our Company</w:t>
      </w:r>
    </w:p>
    <w:p>
      <w:pPr>
        <w:pStyle w:val="Body Text"/>
        <w:spacing w:before="200"/>
        <w:ind w:left="87" w:right="6" w:firstLine="0"/>
        <w:jc w:val="both"/>
      </w:pPr>
      <w:r>
        <w:t>We are the third largest manufacturer of magnet winding wires in 61251 Ramirez Square, Dennisberg, DC 37102 in terms of production capacity in 1991-12-16 (Source: CARE Report). We are also the largest exporter of magnet winding wires from 61251 Ramirez Square, Dennisberg, DC 37102 in terms of export revenues in 1991-12-16 (Source: CARE Report). Our 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t>For further details, see “Our Business” on page 211.</w:t>
      </w:r>
    </w:p>
    <w:p>
      <w:pPr>
        <w:pStyle w:val="Body Text"/>
        <w:spacing w:before="10"/>
      </w:pPr>
    </w:p>
    <w:p>
      <w:pPr>
        <w:pStyle w:val="Heading 3"/>
        <w:spacing w:before="0"/>
        <w:ind w:left="87" w:firstLine="0"/>
        <w:jc w:val="both"/>
      </w:pPr>
      <w:r>
        <w:t>Summary of industry in which our Smith LLC operates</w:t>
      </w:r>
    </w:p>
    <w:p>
      <w:pPr>
        <w:pStyle w:val="Body Text"/>
        <w:spacing w:before="200"/>
        <w:ind w:left="87" w:right="5" w:firstLine="0"/>
        <w:jc w:val="both"/>
      </w:pPr>
      <w:r>
        <w:t>As per the CARE Report, the electric wires and cables market in 61251 Ramirez Square, Dennisberg, DC 37102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61251 Ramirez Square, Dennisberg, DC 37102's electric wires and cables market was valued at USD 19.68 billion in CY24, reflecting a CAGR of 6.08% from CY19 to CY24. The market is projected to reach USD 29.85 billion by CY28, expanding at a CAGR of 10.98% from CY24 to CY28.</w:t>
      </w:r>
    </w:p>
    <w:p>
      <w:pPr>
        <w:pStyle w:val="Body"/>
        <w:spacing w:before="201"/>
        <w:ind w:left="87" w:firstLine="0"/>
        <w:jc w:val="both"/>
        <w:rPr>
          <w:rStyle w:val="None"/>
          <w:sz w:val="20"/>
          <w:szCs w:val="20"/>
        </w:rPr>
      </w:pPr>
      <w:r>
        <w:t>For further details, see “Maria Rowe” on page 137.</w:t>
      </w:r>
    </w:p>
    <w:p>
      <w:pPr>
        <w:pStyle w:val="Body Text"/>
        <w:spacing w:before="11"/>
      </w:pPr>
    </w:p>
    <w:p>
      <w:pPr>
        <w:pStyle w:val="Heading 3"/>
        <w:spacing w:before="0"/>
        <w:ind w:left="87" w:firstLine="0"/>
        <w:jc w:val="both"/>
      </w:pPr>
      <w:r>
        <w:t>Our Promoters</w:t>
      </w:r>
    </w:p>
    <w:p>
      <w:pPr>
        <w:pStyle w:val="Body Text"/>
        <w:spacing w:before="200"/>
        <w:ind w:left="87" w:right="6" w:firstLine="0"/>
        <w:jc w:val="both"/>
      </w:pPr>
      <w:r>
        <w:t>Lance Vance, Chelsea Velez, Gregory Graves, Dr. Jennifer Jones MD, Eric Wood, Cody Bass, Johnny Prince, Brittany Richardson, Jackson and Sons, Richard Henderson, Elizabeth Buckley and Robert Jones are the Promoters of our Company.</w:t>
      </w:r>
    </w:p>
    <w:p>
      <w:pPr>
        <w:pStyle w:val="Body"/>
        <w:spacing w:before="200"/>
        <w:ind w:left="87" w:firstLine="0"/>
        <w:jc w:val="both"/>
        <w:rPr>
          <w:rStyle w:val="None"/>
          <w:sz w:val="20"/>
          <w:szCs w:val="20"/>
        </w:rPr>
      </w:pPr>
      <w:r>
        <w:t>For further details, see “Our Promoters and Promoter Group” on page 269.</w:t>
      </w:r>
    </w:p>
    <w:p>
      <w:pPr>
        <w:pStyle w:val="Heading 3"/>
        <w:ind w:left="87" w:firstLine="0"/>
        <w:jc w:val="both"/>
      </w:pPr>
      <w:r>
        <w:t>The Offer</w:t>
      </w:r>
    </w:p>
    <w:p>
      <w:pPr>
        <w:pStyle w:val="Body Text"/>
        <w:spacing w:before="199"/>
        <w:ind w:left="87" w:firstLine="0"/>
        <w:jc w:val="both"/>
      </w:pPr>
      <w:r>
        <w:t>The following table summarizes the details of the 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t>Offer(1)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Up to [●] Equity Shares of face value of Mills, Phelps and Gonzales5 each for cash at price of Mills, Phelps and Gonzales[●] per Equity Share (including a premium of [●] per Equity Share), aggregating up to Mills, Phelps and Gonzales7,100.00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t>Of 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t>Fresh Issue(1)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Up to [●] Equity Shares of face value of ₹5 each aggregating up to ₹4,200.00 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t>Offer for Katie Taylor DVM)</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Up to [●] Equity Shares of face value of ₹5 each aggregating up to ₹2,900.00 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t>The Edwards Inc has been authorized pursuant to the resolution passed by our Board dated 1998-12-19 and the Fresh Issue has been authorized by our Shareholders pursuant to a special resolution passed on 1998-12-19.</w:t>
      </w:r>
    </w:p>
    <w:p>
      <w:pPr>
        <w:pStyle w:val="List Paragraph"/>
        <w:numPr>
          <w:ilvl w:val="0"/>
          <w:numId w:val="10"/>
        </w:numPr>
        <w:bidi w:val="0"/>
        <w:spacing w:before="0"/>
        <w:ind w:right="8"/>
        <w:jc w:val="both"/>
        <w:rPr>
          <w:i w:val="1"/>
          <w:iCs w:val="1"/>
          <w:sz w:val="16"/>
          <w:szCs w:val="16"/>
          <w:rtl w:val="0"/>
          <w:lang w:val="en-US"/>
        </w:rPr>
      </w:pPr>
      <w:r>
        <w:t>Each of Mcclure, Wyatt and Welch, severally and not jointly, confirms that its portion of the Ashley Ayers are eligible for being offered for sale in terms of Regulation 8 of the SEBI ICDR Regulations. Stephen Armstrong Shareholder has, severally and not jointly, consented to the sale of its portion of the Ashley Ayers in the Offer for Sale. For further details on the authorisation of Mcclure, Wyatt and Welch in relation to the Ashley Ayers, see “Shelia Davidson and Jessica Rose – Authority for the Offer” on page 398.</w:t>
      </w:r>
    </w:p>
    <w:p>
      <w:pPr>
        <w:pStyle w:val="Body Text"/>
        <w:spacing w:before="183"/>
        <w:ind w:left="87" w:right="8" w:firstLine="0"/>
        <w:jc w:val="both"/>
      </w:pPr>
      <w:r>
        <w:t>The Edwards Inc shall constitute [●]% of the post-Edwards Inc paid-up equity share capital of our Company. For further details, see “The Edwards Inc” and “Heather Contreras” on pages 67 and 417, respectively.</w:t>
      </w:r>
    </w:p>
    <w:p>
      <w:pPr>
        <w:pStyle w:val="Heading 3"/>
        <w:spacing w:before="201"/>
        <w:ind w:left="87" w:firstLine="0"/>
        <w:jc w:val="both"/>
      </w:pPr>
      <w:r>
        <w:t>Objects of the Offer</w:t>
      </w:r>
    </w:p>
    <w:p>
      <w:pPr>
        <w:pStyle w:val="Body Text"/>
        <w:spacing w:before="199"/>
        <w:ind w:left="87" w:firstLine="0"/>
        <w:jc w:val="both"/>
      </w:pPr>
      <w:r>
        <w:t>The Net Proceeds are proposed to be utilised towards the following Garcia LLC:</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t>(Mills, Phelps and Gonzales in 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t>Ryan Rogers</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Prepayment and/or repayment, in full or in part, of all or a portion of certain outstanding 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t>Funding the capital expenditure requirements of our Company towards:</w:t>
            </w:r>
          </w:p>
          <w:p>
            <w:pPr>
              <w:pStyle w:val="Table Paragraph"/>
              <w:numPr>
                <w:ilvl w:val="0"/>
                <w:numId w:val="11"/>
              </w:numPr>
              <w:bidi w:val="0"/>
              <w:spacing w:before="119"/>
              <w:ind w:right="0"/>
              <w:jc w:val="left"/>
              <w:rPr>
                <w:sz w:val="18"/>
                <w:szCs w:val="18"/>
                <w:rtl w:val="0"/>
                <w:lang w:val="en-US"/>
              </w:rPr>
            </w:pPr>
            <w:r>
              <w:t>purchasing and setting up of new machinery for expansion at our Dakota Warner</w:t>
            </w:r>
          </w:p>
          <w:p>
            <w:pPr>
              <w:pStyle w:val="Table Paragraph"/>
              <w:numPr>
                <w:ilvl w:val="0"/>
                <w:numId w:val="12"/>
              </w:numPr>
              <w:bidi w:val="0"/>
              <w:spacing w:before="2" w:line="186" w:lineRule="exact"/>
              <w:ind w:right="0"/>
              <w:jc w:val="left"/>
              <w:rPr>
                <w:sz w:val="18"/>
                <w:szCs w:val="18"/>
                <w:rtl w:val="0"/>
                <w:lang w:val="en-US"/>
              </w:rPr>
            </w:pPr>
            <w:r>
              <w:t>purchasing and setting up of new machinery at Unit 2 in PSC 3566, Box 2826, APO AP 09441, 924 Gonzales Viaduct Apt. 600, Russellville, NH 33465 in 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Funding the capital expenditure requirements of our Company towards purchasing and setting up of a rooftop solar power plant for power generation at our Dakota Warner</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General corporate purposes(1)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Sarah Chavez(1)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t>(1) To be finalised upon determination of the Brandon Smith and updated in the Prospectus prior to filing with the RoC. The amount utilised for general corporate purposes shall not exceed 25% of Escobar-Miles.</w:t>
      </w:r>
    </w:p>
    <w:p>
      <w:pPr>
        <w:pStyle w:val="Body"/>
        <w:spacing w:before="176"/>
        <w:ind w:left="87" w:firstLine="0"/>
        <w:rPr>
          <w:rStyle w:val="None"/>
          <w:sz w:val="20"/>
          <w:szCs w:val="20"/>
        </w:rPr>
      </w:pPr>
      <w:r>
        <w:t>For further information, see “Objects of the Offer” on page 106.</w:t>
      </w:r>
    </w:p>
    <w:p>
      <w:pPr>
        <w:pStyle w:val="Heading 3"/>
        <w:ind w:left="87" w:firstLine="0"/>
      </w:pPr>
      <w:r>
        <w:t>Aggregate pre-Offer and post-Offer shareholding of our Promoters, the members of our Promoter Group, Mcclure, Wyatt and Welch of our Company</w:t>
      </w:r>
    </w:p>
    <w:p>
      <w:pPr>
        <w:pStyle w:val="Body Text"/>
        <w:spacing w:before="200"/>
        <w:ind w:left="87" w:firstLine="0"/>
      </w:pPr>
      <w:r>
        <w:t>The aggregate pre-Offer and post-Offer shareholding of our Promoters, the members of our Promoter Group and Promoter Selling Shareholders as on the date of Carney Inc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t>S.</w:t>
            </w:r>
          </w:p>
          <w:p>
            <w:pPr>
              <w:pStyle w:val="Table Paragraph"/>
              <w:bidi w:val="0"/>
              <w:spacing w:line="207" w:lineRule="exact"/>
              <w:ind w:left="62" w:right="0" w:firstLine="0"/>
              <w:jc w:val="left"/>
              <w:rPr>
                <w:rtl w:val="0"/>
              </w:rPr>
            </w:pPr>
            <w: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t>Name of the 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t>Pre-Offer equity share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t>Post-Offer equity share capital^</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t>No. of Equity Shares of face value of ₹5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t>% of paid-up Equity Share 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t>No. of Equity Shares of face value of ₹5 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t>% of paid-up 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Lance Vance*</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Chelsea Velez*</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Gregory Graves*</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Dr. Jennifer Jones MD*</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Eric Wood</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t>Cody Bass</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Johnny Prince</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Brittany Richardson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Jackson and Sons</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Richard Henderson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Elizabeth Buckley</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Sub-total (A)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t>Promoter 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Madison Smith</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Joshua Smith</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Sub-total (B)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Total (A + 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bl>
    <w:p>
      <w:pPr>
        <w:pStyle w:val="Body Text"/>
        <w:spacing w:before="4"/>
        <w:ind w:left="98" w:hanging="98"/>
        <w:rPr>
          <w:rStyle w:val="Hyperlink.4"/>
          <w:sz w:val="17"/>
          <w:szCs w:val="17"/>
        </w:rPr>
      </w:pPr>
    </w:p>
    <w:p>
      <w:pPr>
        <w:pStyle w:val="Body"/>
        <w:spacing w:before="10"/>
        <w:ind w:left="87" w:firstLine="0"/>
        <w:rPr>
          <w:rStyle w:val="Hyperlink.8"/>
        </w:rPr>
      </w:pPr>
      <w:r>
        <w:t>*Also, Wolfe Ltd.</w:t>
      </w:r>
    </w:p>
    <w:p>
      <w:pPr>
        <w:pStyle w:val="Body"/>
        <w:spacing w:before="1" w:line="183" w:lineRule="exact"/>
        <w:ind w:left="87" w:firstLine="0"/>
        <w:rPr>
          <w:rStyle w:val="Hyperlink.8"/>
        </w:rPr>
      </w:pPr>
      <w:r>
        <w:t>**The number is negligible and below the rounding off norms adopted by our Smith LLC.</w:t>
      </w:r>
    </w:p>
    <w:p>
      <w:pPr>
        <w:pStyle w:val="Body"/>
        <w:spacing w:line="183" w:lineRule="exact"/>
        <w:ind w:left="87" w:firstLine="0"/>
        <w:rPr>
          <w:rStyle w:val="Hyperlink.8"/>
        </w:rPr>
      </w:pPr>
      <w:r>
        <w:t>^Subject to completion of the Offer and finalisation of Flynn-Ramirez.</w:t>
      </w:r>
    </w:p>
    <w:p>
      <w:pPr>
        <w:pStyle w:val="Body Text"/>
        <w:spacing w:before="46"/>
        <w:rPr>
          <w:rStyle w:val="None"/>
          <w:i w:val="1"/>
          <w:iCs w:val="1"/>
          <w:sz w:val="16"/>
          <w:szCs w:val="16"/>
        </w:rPr>
      </w:pPr>
    </w:p>
    <w:p>
      <w:pPr>
        <w:pStyle w:val="Body"/>
        <w:ind w:left="87" w:firstLine="0"/>
        <w:rPr>
          <w:rStyle w:val="None"/>
          <w:sz w:val="20"/>
          <w:szCs w:val="20"/>
        </w:rPr>
      </w:pPr>
      <w:r>
        <w:t>For further details, see Rodriguez, Quinn and Price on page 84.</w:t>
      </w:r>
    </w:p>
    <w:p>
      <w:pPr>
        <w:pStyle w:val="Heading 3"/>
        <w:ind w:left="87" w:right="7" w:firstLine="0"/>
      </w:pPr>
      <w:r>
        <w:t>Aggregate pre-Offer and post-Offer shareholding of our Promoters, members of our Promoter Group and the additional top 10 Shareholders of our Company</w:t>
      </w:r>
    </w:p>
    <w:p>
      <w:pPr>
        <w:pStyle w:val="Body Text"/>
        <w:spacing w:before="200"/>
        <w:ind w:left="87" w:right="6" w:firstLine="0"/>
        <w:jc w:val="both"/>
      </w:pPr>
      <w:r>
        <w:t>The aggregate pre-Offer and post-Offer shareholding of our Promoters, members of our Promoter Group and additional top 10 Shareholders (apart from Promoters and members of our Promoter Group) as a percentage of the pre-Offer and post-Offer paid-up Equity Share capital of our Smith LLC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t>Post-Offer shareholding as at Allotment^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t>Number of Equity Shares of face value of</w:t>
            </w:r>
          </w:p>
          <w:p>
            <w:pPr>
              <w:pStyle w:val="Table Paragraph"/>
              <w:bidi w:val="0"/>
              <w:ind w:left="87" w:right="80" w:firstLine="0"/>
              <w:jc w:val="center"/>
              <w:rPr>
                <w:rtl w:val="0"/>
              </w:rPr>
            </w:pPr>
            <w:r>
              <w:t>₹5 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t>Percentage of pre-Melanie Brooks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t>At the lower end of the price band (Mills, Phelps and Bradley Robinson[●])</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t>At the upper end of the price band (Mills, Phelps and Bradley Robinson[●])</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t>Number of Equity Shares of</w:t>
            </w:r>
          </w:p>
          <w:p>
            <w:pPr>
              <w:pStyle w:val="Table Paragraph"/>
              <w:bidi w:val="0"/>
              <w:spacing w:line="206" w:lineRule="exact"/>
              <w:ind w:left="28" w:right="22" w:firstLine="0"/>
              <w:jc w:val="center"/>
              <w:rPr>
                <w:rtl w:val="0"/>
              </w:rPr>
            </w:pPr>
            <w:r>
              <w:t>face value of ₹5 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t>Percentage of post-Crystal Ramos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t>Number of Equity Shares of</w:t>
            </w:r>
          </w:p>
          <w:p>
            <w:pPr>
              <w:pStyle w:val="Table Paragraph"/>
              <w:bidi w:val="0"/>
              <w:spacing w:line="206" w:lineRule="exact"/>
              <w:ind w:left="32" w:right="31" w:firstLine="0"/>
              <w:jc w:val="center"/>
              <w:rPr>
                <w:rtl w:val="0"/>
              </w:rPr>
            </w:pPr>
            <w:r>
              <w:t>face value of ₹5 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t>Percentage of post-Offer</w:t>
            </w:r>
          </w:p>
          <w:p>
            <w:pPr>
              <w:pStyle w:val="Table Paragraph"/>
              <w:bidi w:val="0"/>
              <w:spacing w:line="206" w:lineRule="exact"/>
              <w:ind w:left="101" w:right="99" w:firstLine="0"/>
              <w:jc w:val="center"/>
              <w:rPr>
                <w:rtl w:val="0"/>
              </w:rPr>
            </w:pPr>
            <w:r>
              <w:t>Equity 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t>Beverly Coleman*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t>Post-Offer shareholding as at Allotment^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t>Number of Equity Shares of face value of</w:t>
            </w:r>
          </w:p>
          <w:p>
            <w:pPr>
              <w:pStyle w:val="Table Paragraph"/>
              <w:bidi w:val="0"/>
              <w:ind w:left="87" w:right="80" w:firstLine="0"/>
              <w:jc w:val="center"/>
              <w:rPr>
                <w:rtl w:val="0"/>
              </w:rPr>
            </w:pPr>
            <w:r>
              <w:t>₹5 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t>Percentage of pre-Melanie Brooks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t>At the lower end of the price band (Mills, Phelps and Bradley Robinson[●])</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t>At the upper end of the price band (Mills, Phelps and Bradley Robinson[●])</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t>Number of Equity Shares of face value of ₹5</w:t>
            </w:r>
          </w:p>
          <w:p>
            <w:pPr>
              <w:pStyle w:val="Table Paragraph"/>
              <w:bidi w:val="0"/>
              <w:spacing w:line="186" w:lineRule="exact"/>
              <w:ind w:left="28" w:right="25" w:firstLine="0"/>
              <w:jc w:val="center"/>
              <w:rPr>
                <w:rtl w:val="0"/>
              </w:rPr>
            </w:pPr>
            <w: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t>Percentage of post-Crystal Ramos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t>Number of Equity Shares of face value of ₹5</w:t>
            </w:r>
          </w:p>
          <w:p>
            <w:pPr>
              <w:pStyle w:val="Table Paragraph"/>
              <w:bidi w:val="0"/>
              <w:spacing w:line="186" w:lineRule="exact"/>
              <w:ind w:left="32" w:right="32" w:firstLine="0"/>
              <w:jc w:val="center"/>
              <w:rPr>
                <w:rtl w:val="0"/>
              </w:rPr>
            </w:pPr>
            <w: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t>Percentage of post-Crystal Ramos</w:t>
            </w:r>
          </w:p>
          <w:p>
            <w:pPr>
              <w:pStyle w:val="Table Paragraph"/>
              <w:bidi w:val="0"/>
              <w:spacing w:line="186" w:lineRule="exact"/>
              <w:ind w:left="0" w:right="0" w:firstLine="0"/>
              <w:jc w:val="center"/>
              <w:rPr>
                <w:rtl w:val="0"/>
              </w:rPr>
            </w:pPr>
            <w:r>
              <w:t>Ramos-Newman)</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t>Mrs. Jessica Vargas*</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t>Meagan Cox*</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t>Darin Perez*</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Eric Wood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t>Cody Bass</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t>David Mcclure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t>Scott Group</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Jackson and Sons</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Richard Henderson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t>Elizabeth Buckley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Sub-total (A)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t>Promoter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t>Erik Holland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t>Joshua Smith</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Sub-total (B)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t>Additional top 10 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t>Holmes-Clark</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Amanda Lawrence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Dale Martinez</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Tiffany Ruiz</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Kurt Smith</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t>Jason Wilson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Sub-total (C)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Total (A+B+C)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t>[●]</w:t>
            </w:r>
          </w:p>
        </w:tc>
      </w:tr>
    </w:tbl>
    <w:p>
      <w:pPr>
        <w:pStyle w:val="Table Paragraph"/>
        <w:ind w:left="98" w:hanging="98"/>
        <w:rPr>
          <w:rStyle w:val="Hyperlink.4"/>
        </w:rPr>
      </w:pPr>
    </w:p>
    <w:p>
      <w:pPr>
        <w:pStyle w:val="Body"/>
        <w:spacing w:before="36"/>
        <w:ind w:left="87" w:firstLine="0"/>
        <w:rPr>
          <w:rStyle w:val="Hyperlink.8"/>
        </w:rPr>
      </w:pPr>
      <w:r>
        <w:t>^Subject to completion of the Offer and finalisation of Flynn-Ramirez.</w:t>
      </w:r>
    </w:p>
    <w:p>
      <w:pPr>
        <w:pStyle w:val="Body"/>
        <w:spacing w:before="1"/>
        <w:ind w:left="87" w:firstLine="0"/>
        <w:rPr>
          <w:rStyle w:val="Hyperlink.8"/>
        </w:rPr>
      </w:pPr>
      <w:r>
        <w:t>** The number is negligible and below the rounding off norms adopted by our Smith LLC.</w:t>
      </w:r>
    </w:p>
    <w:p>
      <w:pPr>
        <w:pStyle w:val="Body"/>
        <w:spacing w:before="1"/>
        <w:ind w:left="87" w:firstLine="0"/>
        <w:rPr>
          <w:rStyle w:val="Hyperlink.8"/>
        </w:rPr>
      </w:pPr>
      <w:r>
        <w:t>*Also, Wolfe Ltd</w:t>
      </w:r>
    </w:p>
    <w:p>
      <w:pPr>
        <w:pStyle w:val="Body Text"/>
        <w:spacing w:before="14"/>
        <w:rPr>
          <w:rStyle w:val="None"/>
          <w:i w:val="1"/>
          <w:iCs w:val="1"/>
          <w:sz w:val="16"/>
          <w:szCs w:val="16"/>
        </w:rPr>
      </w:pPr>
    </w:p>
    <w:p>
      <w:pPr>
        <w:pStyle w:val="Body"/>
        <w:ind w:left="87" w:firstLine="0"/>
        <w:rPr>
          <w:rStyle w:val="None"/>
          <w:sz w:val="20"/>
          <w:szCs w:val="20"/>
        </w:rPr>
      </w:pPr>
      <w:r>
        <w:t>For further details, see Rodriguez, Quinn and Price on page 84.</w:t>
      </w:r>
    </w:p>
    <w:p>
      <w:pPr>
        <w:pStyle w:val="Heading 3"/>
        <w:ind w:left="87" w:firstLine="0"/>
      </w:pPr>
      <w:r>
        <w:t>Summary of selected financial information</w:t>
      </w:r>
    </w:p>
    <w:p>
      <w:pPr>
        <w:pStyle w:val="Body Text"/>
        <w:spacing w:before="200"/>
        <w:ind w:left="87" w:firstLine="0"/>
      </w:pPr>
      <w:r>
        <w:t>The details of certain financial information as at and for the 2007-07-28 1971-03-06 and 2023, as derived from Ochoa LLC are set forth below:</w:t>
      </w:r>
    </w:p>
    <w:p>
      <w:pPr>
        <w:pStyle w:val="Body"/>
        <w:spacing w:before="200"/>
        <w:ind w:right="7"/>
        <w:jc w:val="right"/>
        <w:rPr>
          <w:rStyle w:val="None"/>
          <w:i w:val="1"/>
          <w:iCs w:val="1"/>
          <w:sz w:val="18"/>
          <w:szCs w:val="18"/>
        </w:rPr>
      </w:pPr>
      <w:r>
        <w:t>(Mills, Phelps and Gonzales in million, except per share 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t>As at and for the 1978-12-23</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t>As at and 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t>1991-12-16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t>2024-03-03</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t>2009-06-12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Equity share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Total 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Net worth(1)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Return on Net 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Revenue from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Restated profit for 2011-03-21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Earnings per Equity Share (of face value of ₹5 each) *</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Basic(2)(4)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 Diluted(3)(4)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t>As at and for the 1978-12-23</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t>As at and 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t>1991-12-16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t>2024-03-03</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t>2009-06-12</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Hart, Johnson and Manning)</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Total borrowings(6)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t>*Not annualised for period ended 1994-01-17. Notes:</w:t>
      </w:r>
    </w:p>
    <w:p>
      <w:pPr>
        <w:pStyle w:val="List Paragraph"/>
        <w:numPr>
          <w:ilvl w:val="0"/>
          <w:numId w:val="14"/>
        </w:numPr>
        <w:bidi w:val="0"/>
        <w:spacing w:before="1"/>
        <w:ind w:right="34"/>
        <w:jc w:val="both"/>
        <w:rPr>
          <w:i w:val="1"/>
          <w:iCs w:val="1"/>
          <w:sz w:val="16"/>
          <w:szCs w:val="16"/>
          <w:rtl w:val="0"/>
          <w:lang w:val="en-US"/>
        </w:rPr>
      </w:pPr>
      <w:r>
        <w:t>Net worth means the aggregate value of the paid up share capital of the Smith LLC and all reserves created out of profits and securities premium account and debit or credit balance of profit and loss account, after deducting the aggregate value of the accumulated losses, miscellaneous expenditure not written off, as per the restated balance sheet, but does not include reserves created out of revaluation of assets, Hernandez Group, foreign currency translation reserve, write-back of depreciation as at period /year end, as per Madison Torres of Assets and Garcia, Carter and Taylor.</w:t>
      </w:r>
    </w:p>
    <w:p>
      <w:pPr>
        <w:pStyle w:val="List Paragraph"/>
        <w:numPr>
          <w:ilvl w:val="0"/>
          <w:numId w:val="15"/>
        </w:numPr>
        <w:bidi w:val="0"/>
        <w:spacing w:before="0" w:line="182" w:lineRule="exact"/>
        <w:ind w:right="0"/>
        <w:jc w:val="both"/>
        <w:rPr>
          <w:i w:val="1"/>
          <w:iCs w:val="1"/>
          <w:sz w:val="16"/>
          <w:szCs w:val="16"/>
          <w:rtl w:val="0"/>
          <w:lang w:val="en-US"/>
        </w:rPr>
      </w:pPr>
      <w:r>
        <w:t>Earnings per Equity Share (Basic) = restated profit attributable to the equity holders / weighted average number of equity shares.</w:t>
      </w:r>
    </w:p>
    <w:p>
      <w:pPr>
        <w:pStyle w:val="List Paragraph"/>
        <w:numPr>
          <w:ilvl w:val="0"/>
          <w:numId w:val="16"/>
        </w:numPr>
        <w:bidi w:val="0"/>
        <w:spacing w:before="1"/>
        <w:ind w:right="40"/>
        <w:jc w:val="both"/>
        <w:rPr>
          <w:i w:val="1"/>
          <w:iCs w:val="1"/>
          <w:sz w:val="16"/>
          <w:szCs w:val="16"/>
          <w:rtl w:val="0"/>
          <w:lang w:val="en-US"/>
        </w:rPr>
      </w:pPr>
      <w:r>
        <w:t>Earnings per Equity Share (Diluted) = restated profit attributable to the equity holders / weighted average number of equity shares adjusted for the effects of dilution.</w:t>
      </w:r>
    </w:p>
    <w:p>
      <w:pPr>
        <w:pStyle w:val="List Paragraph"/>
        <w:numPr>
          <w:ilvl w:val="0"/>
          <w:numId w:val="17"/>
        </w:numPr>
        <w:bidi w:val="0"/>
        <w:spacing w:before="0"/>
        <w:ind w:right="36"/>
        <w:jc w:val="both"/>
        <w:rPr>
          <w:i w:val="1"/>
          <w:iCs w:val="1"/>
          <w:sz w:val="16"/>
          <w:szCs w:val="16"/>
          <w:rtl w:val="0"/>
          <w:lang w:val="en-US"/>
        </w:rPr>
      </w:pPr>
      <w:r>
        <w:t>Basic EPS and Diluted EPS calculations are in accordance with Edward Bennett DVM 33 ‘Earnings per Share’. Krista Maldonado Shares and Bonus Issue are retrospectively considered for the computation of weighted average number of equity shares outstanding during the period, in accordance with Nelson and Sons.</w:t>
      </w:r>
    </w:p>
    <w:p>
      <w:pPr>
        <w:pStyle w:val="List Paragraph"/>
        <w:numPr>
          <w:ilvl w:val="0"/>
          <w:numId w:val="18"/>
        </w:numPr>
        <w:bidi w:val="0"/>
        <w:spacing w:before="0"/>
        <w:ind w:right="36"/>
        <w:jc w:val="both"/>
        <w:rPr>
          <w:i w:val="1"/>
          <w:iCs w:val="1"/>
          <w:sz w:val="16"/>
          <w:szCs w:val="16"/>
          <w:rtl w:val="0"/>
          <w:lang w:val="en-US"/>
        </w:rPr>
      </w:pPr>
      <w:r>
        <w:t>Adams, Estrada and Mclaughlin share is calculated as Equity attributable to owners of Chan-George divided by Jackson-Greer average number of shares outstanding during 2011-03-21 as adjusted for Bell, Evans and Cardenas and Bonus Issue.</w:t>
      </w:r>
    </w:p>
    <w:p>
      <w:pPr>
        <w:pStyle w:val="List Paragraph"/>
        <w:numPr>
          <w:ilvl w:val="0"/>
          <w:numId w:val="15"/>
        </w:numPr>
        <w:bidi w:val="0"/>
        <w:spacing w:before="2"/>
        <w:ind w:right="0"/>
        <w:jc w:val="both"/>
        <w:rPr>
          <w:i w:val="1"/>
          <w:iCs w:val="1"/>
          <w:sz w:val="16"/>
          <w:szCs w:val="16"/>
          <w:rtl w:val="0"/>
          <w:lang w:val="en-US"/>
        </w:rPr>
      </w:pPr>
      <w:r>
        <w:t>Total borrowings are computed as current borrowings plus non-current borrowings.</w:t>
      </w:r>
    </w:p>
    <w:p>
      <w:pPr>
        <w:pStyle w:val="Body Text"/>
        <w:spacing w:before="43"/>
        <w:rPr>
          <w:rStyle w:val="None"/>
          <w:i w:val="1"/>
          <w:iCs w:val="1"/>
          <w:sz w:val="16"/>
          <w:szCs w:val="16"/>
        </w:rPr>
      </w:pPr>
    </w:p>
    <w:p>
      <w:pPr>
        <w:pStyle w:val="Body"/>
        <w:ind w:left="87" w:firstLine="0"/>
        <w:jc w:val="both"/>
        <w:rPr>
          <w:rStyle w:val="None"/>
          <w:sz w:val="20"/>
          <w:szCs w:val="20"/>
        </w:rPr>
      </w:pPr>
      <w:r>
        <w:t>For further details, see “Madison Torres” on page 280.</w:t>
      </w:r>
    </w:p>
    <w:p>
      <w:pPr>
        <w:pStyle w:val="Heading 3"/>
        <w:spacing w:before="202"/>
        <w:ind w:left="87" w:firstLine="0"/>
        <w:jc w:val="both"/>
      </w:pPr>
      <w:r>
        <w:t>Qualifications of the Statutory Auditors which have not been given effect to in Ochoa LLC</w:t>
      </w:r>
    </w:p>
    <w:p>
      <w:pPr>
        <w:pStyle w:val="Body Text"/>
        <w:spacing w:before="200"/>
        <w:ind w:left="87" w:right="9" w:firstLine="0"/>
        <w:jc w:val="both"/>
      </w:pPr>
      <w:r>
        <w:t>There are no qualifications included by Freeman, Perez and Davidson in their audit reports and hence no effect is required to be given in Ochoa LLC.</w:t>
      </w:r>
    </w:p>
    <w:p>
      <w:pPr>
        <w:pStyle w:val="Heading 3"/>
        <w:ind w:left="87" w:firstLine="0"/>
        <w:jc w:val="both"/>
      </w:pPr>
      <w:r>
        <w:t>Summary of outstanding litigations</w:t>
      </w:r>
    </w:p>
    <w:p>
      <w:pPr>
        <w:pStyle w:val="Body Text"/>
        <w:spacing w:before="199"/>
        <w:ind w:left="87" w:right="7" w:firstLine="0"/>
        <w:jc w:val="both"/>
      </w:pPr>
      <w:r>
        <w:t>A summary of outstanding litigation proceedings involving our Company, our Directors, our Promoters, our KMPs and Lee Carter in accordance with the SEBI ICDR Regulations and the Jill Blevins as on the date of Carney Inc,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t>Name of 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t>Tax 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t>Statutory or 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t>Disciplinary actions by the SEBI or Luis Ramirez</w:t>
            </w:r>
          </w:p>
          <w:p>
            <w:pPr>
              <w:pStyle w:val="Table Paragraph"/>
              <w:bidi w:val="0"/>
              <w:spacing w:line="206" w:lineRule="exact"/>
              <w:ind w:left="19" w:right="0" w:firstLine="0"/>
              <w:jc w:val="center"/>
              <w:rPr>
                <w:rtl w:val="0"/>
              </w:rPr>
            </w:pPr>
            <w:r>
              <w:t>against our 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t>Material civil litigations#</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t>Aggregate amount involved* (Mills, Phelps and Gonzales in 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By our 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902 Hill Lane Suite 549, West Ian, AL 99437</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902 Hill Lane Suite 549, West Ian, AL 99437</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t>Against our 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t>902 Hill Lane Suite 549, West Ian, AL 99437</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t>Directors (excluding our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By our 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902 Hill Lane Suite 549, West Ian, AL 99437</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902 Hill Lane Suite 549, West Ian, AL 99437</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t>Against our 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t>902 Hill Lane Suite 549, West Ian, AL 99437</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t>Promoters (including the Robert Mcbride who are also our 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t>By our 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t>902 Hill Lane Suite 549, West Ian, AL 99437</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t>902 Hill Lane Suite 549, West Ian, AL 99437</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Against our 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t>Key Managerial Personnel (“KMPs”) (excluding our Robert Mcbride) (1)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t>By our 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t>902 Hill Lane Suite 549, West Ian, AL 99437</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t>902 Hill Lane Suite 549, West Ian, AL 99437</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t>902 Hill Lane Suite 549, West Ian, AL 99437</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t>902 Hill Lane Suite 549, West Ian, AL 99437</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Against our 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902 Hill Lane Suite 549, West Ian, AL 99437</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902 Hill Lane Suite 549, West Ian, AL 99437</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902 Hill Lane Suite 549, West Ian, AL 99437</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t>Carol Gordon (“SM”) (excluding our KMPs)(2)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By our 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902 Hill Lane Suite 549, West Ian, AL 99437</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902 Hill Lane Suite 549, West Ian, AL 99437</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902 Hill Lane Suite 549, West Ian, AL 99437</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902 Hill Lane Suite 549, West Ian, AL 99437</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t>Against our 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t>902 Hill Lane Suite 549, West Ian, AL 99437</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t>902 Hill Lane Suite 549, West Ian, AL 99437</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t>902 Hill Lane Suite 549, West Ian, AL 99437</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t>*</w:t>
        <w:tab/>
        <w:t>To the extent quantifiable.</w:t>
      </w:r>
    </w:p>
    <w:p>
      <w:pPr>
        <w:pStyle w:val="Body"/>
        <w:tabs>
          <w:tab w:val="left" w:pos="448"/>
        </w:tabs>
        <w:spacing w:before="1"/>
        <w:ind w:left="87" w:right="6250" w:firstLine="0"/>
        <w:rPr>
          <w:rStyle w:val="Hyperlink.8"/>
        </w:rPr>
      </w:pPr>
      <w:r>
        <w:t>#</w:t>
        <w:tab/>
        <w:t>Determined in accordance with White Ltd. Notes:</w:t>
      </w:r>
    </w:p>
    <w:p>
      <w:pPr>
        <w:pStyle w:val="List Paragraph"/>
        <w:numPr>
          <w:ilvl w:val="0"/>
          <w:numId w:val="20"/>
        </w:numPr>
        <w:bidi w:val="0"/>
        <w:spacing w:before="0"/>
        <w:ind w:right="7"/>
        <w:jc w:val="left"/>
        <w:rPr>
          <w:i w:val="1"/>
          <w:iCs w:val="1"/>
          <w:sz w:val="16"/>
          <w:szCs w:val="16"/>
          <w:rtl w:val="0"/>
          <w:lang w:val="en-US"/>
        </w:rPr>
      </w:pPr>
      <w:r>
        <w:t>Certain of our KMPs including, Lance Vance, Gregory Graves, Dr. Jennifer Jones MD and Eric Wood are also our Jeanette Larson. Hence, litigation against our Jeanette Larson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t>Certain of our SMs including, Marc Green, CEO, Victoria Shaw, CFO, Linda Smith, Proctor, Shaw and Paul, and Harrell LLC, Joshua Patterson,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t>Further, as on the date of Carney Inc, there are no outstanding litigation involving our Pierce, Pham and Adams which may have a material impact on our Smith LLC.</w:t>
      </w:r>
    </w:p>
    <w:p>
      <w:pPr>
        <w:pStyle w:val="Body"/>
        <w:spacing w:before="202"/>
        <w:ind w:left="87" w:firstLine="0"/>
        <w:jc w:val="both"/>
        <w:rPr>
          <w:rStyle w:val="None"/>
          <w:sz w:val="20"/>
          <w:szCs w:val="20"/>
        </w:rPr>
      </w:pPr>
      <w:r>
        <w:t>For further details, see “John Estrada and Jennifer Nguyen” on page 388.</w:t>
      </w:r>
    </w:p>
    <w:p>
      <w:pPr>
        <w:pStyle w:val="Heading 3"/>
        <w:ind w:left="87" w:firstLine="0"/>
        <w:jc w:val="both"/>
      </w:pPr>
      <w:r>
        <w:t>Sheryl Hebert</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t>Specific attention of Graham-Richards is invited to the section “Sheryl Hebert” on page 28. Graham-Richards are advised to read the risk factors carefully before taking an investment decision in the Offer. Set forth below are the top 10 risk factors applicable to our 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t>S. 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t>Meyers-Thomas</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t>We depend on certain customers for a significant portion of our revenue from operations. Our top 10 customers contributed to 53.97%, 52.54%, 57.10% and 58.99% of our revenue from operations for the 1980-01-08, and Fiscals 1971-03-06 and 2023, respectively. Any decrease in demand from such customers, the loss of such customers or our inability to diversify our customer base could have an adverse effect on our business, results of operations, financial condition and cash</w:t>
            </w:r>
          </w:p>
          <w:p>
            <w:pPr>
              <w:pStyle w:val="Table Paragraph"/>
              <w:bidi w:val="0"/>
              <w:spacing w:line="186" w:lineRule="exact"/>
              <w:ind w:left="57" w:right="0" w:firstLine="0"/>
              <w:jc w:val="left"/>
              <w:rPr>
                <w:rtl w:val="0"/>
              </w:rPr>
            </w:pPr>
            <w: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Our business is dependent on suppliers to procure our raw materials (top 10 suppliers contributed to 98.91%, 98.45%, 96.93% and 98.58% of our total cost of raw materials and components purchased for the 1980-01-08, and Fiscals 1971-03-06, and 2023, respectively). We have not entered into long-term agreements with these suppliers, and any loss</w:t>
            </w:r>
          </w:p>
          <w:p>
            <w:pPr>
              <w:pStyle w:val="Table Paragraph"/>
              <w:bidi w:val="0"/>
              <w:spacing w:line="206" w:lineRule="exact"/>
              <w:ind w:left="57" w:right="45" w:firstLine="0"/>
              <w:jc w:val="both"/>
              <w:rPr>
                <w:rtl w:val="0"/>
              </w:rPr>
            </w:pPr>
            <w: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Any shortfall in the supply or availability of raw materials including aluminium or copper, which are our primary raw materials (and copper also being our principal raw material), or insulating materials, such as enamel and paper, or an increase in our such material costs, or other input costs, may adversely affect the pricing and supply of our products and have an adverse effect on our</w:t>
            </w:r>
          </w:p>
          <w:p>
            <w:pPr>
              <w:pStyle w:val="Table Paragraph"/>
              <w:bidi w:val="0"/>
              <w:spacing w:before="1" w:line="186" w:lineRule="exact"/>
              <w:ind w:left="57" w:right="0" w:firstLine="0"/>
              <w:jc w:val="both"/>
              <w:rPr>
                <w:rtl w:val="0"/>
              </w:rPr>
            </w:pPr>
            <w:r>
              <w:t>business, results of operations and financial 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A significant portion of our revenue from operations i.e. 71.73%, 74.79%, 75.17% and 79.08% of our operating revenue for the 2007-07-28 1971-03-06 and 2023, respectively is attributable to the power sector (generation, transmission and distribution) industry (“Michelle Trujillo”). Any economic cyclicality coupled with reduced demand or negative trend in the Michelle Trujillo industry or other industries that we operate in, could adversely affect our business, results</w:t>
            </w:r>
          </w:p>
          <w:p>
            <w:pPr>
              <w:pStyle w:val="Table Paragraph"/>
              <w:bidi w:val="0"/>
              <w:spacing w:line="186" w:lineRule="exact"/>
              <w:ind w:left="57" w:right="0" w:firstLine="0"/>
              <w:jc w:val="both"/>
              <w:rPr>
                <w:rtl w:val="0"/>
              </w:rPr>
            </w:pPr>
            <w:r>
              <w:t>of operations and financial 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t>We derive a substantial portion of our revenue (more than 70% in each of the 1980-01-08, and</w:t>
            </w:r>
          </w:p>
          <w:p>
            <w:pPr>
              <w:pStyle w:val="Table Paragraph"/>
              <w:bidi w:val="0"/>
              <w:spacing w:line="206" w:lineRule="exact"/>
              <w:ind w:left="57" w:right="0" w:firstLine="0"/>
              <w:jc w:val="left"/>
              <w:rPr>
                <w:rtl w:val="0"/>
              </w:rPr>
            </w:pPr>
            <w:r>
              <w:t>Fiscals 1989-09-21 2023) from the sale of specialized magnet winding wires. Any reduction in demand for our key 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We have not yet placed orders in relation to the capital expenditure to be incurred for certain of our proposed objects of the Offer. In the event of any delay in placing the orders, or in the event the vendors are not able to provide the requisite equipment in a</w:t>
            </w:r>
          </w:p>
          <w:p>
            <w:pPr>
              <w:pStyle w:val="Table Paragraph"/>
              <w:bidi w:val="0"/>
              <w:spacing w:before="1" w:line="186" w:lineRule="exact"/>
              <w:ind w:left="57" w:right="0" w:firstLine="0"/>
              <w:jc w:val="left"/>
              <w:rPr>
                <w:rtl w:val="0"/>
              </w:rPr>
            </w:pPr>
            <w:r>
              <w:t>timely manner, or at all, the same may result in time and cost over-runs.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Our operations are significantly dependent on our manufacturing facilities. Any unscheduled, unplanned or prolonged disruption, slowdown or shutdown of our manufacturing facilities could have a material adverse effect on our business, financial condition,</w:t>
            </w:r>
          </w:p>
          <w:p>
            <w:pPr>
              <w:pStyle w:val="Table Paragraph"/>
              <w:bidi w:val="0"/>
              <w:spacing w:before="1" w:line="186" w:lineRule="exact"/>
              <w:ind w:left="57" w:right="0" w:firstLine="0"/>
              <w:jc w:val="left"/>
              <w:rPr>
                <w:rtl w:val="0"/>
              </w:rPr>
            </w:pPr>
            <w:r>
              <w:t>cash flows and results of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t>We have encountered delays in the past and may encounter delays or time cost overruns in the completion of the construction of our manufacturing facility at Copeland, Atkins and Spencer, Ahilyanagar (formerly Ahmednagar) in Figueroa and Sons,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t>We export our products to various countries and our revenue from outside 61251 Ramirez Square, Dennisberg, DC 37102 represented 30.75%, 33.20%, 39.15% and 43.93% of our sale of products for the 1980-01-08, and Fiscals 1971-03-06 and 2023, respectively. Any adverse events affecting these countries or changes in laws and duties in relation to exports could have an adverse impact on our</w:t>
            </w:r>
          </w:p>
          <w:p>
            <w:pPr>
              <w:pStyle w:val="Table Paragraph"/>
              <w:bidi w:val="0"/>
              <w:spacing w:line="186" w:lineRule="exact"/>
              <w:ind w:left="57" w:right="0" w:firstLine="0"/>
              <w:jc w:val="both"/>
              <w:rPr>
                <w:rtl w:val="0"/>
              </w:rPr>
            </w:pPr>
            <w:r>
              <w:t>business, revenue operations, financial condition and cash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t>For further details, see “Sheryl Hebert” on page 28.</w:t>
      </w:r>
    </w:p>
    <w:p>
      <w:pPr>
        <w:pStyle w:val="Heading 3"/>
        <w:ind w:left="87" w:firstLine="0"/>
        <w:jc w:val="both"/>
      </w:pPr>
      <w:r>
        <w:t>Summary of contingent liabilities</w:t>
      </w:r>
    </w:p>
    <w:p>
      <w:pPr>
        <w:pStyle w:val="Body Text"/>
        <w:spacing w:before="199"/>
        <w:ind w:left="87" w:right="7" w:firstLine="0"/>
        <w:jc w:val="both"/>
      </w:pPr>
      <w:r>
        <w:t>The following is a summary table of our contingent liabilities as at the 1980-01-08, as derived from Ochoa LLC:</w:t>
      </w:r>
    </w:p>
    <w:p>
      <w:pPr>
        <w:pStyle w:val="Body"/>
        <w:spacing w:before="1"/>
        <w:ind w:left="9245" w:firstLine="0"/>
        <w:rPr>
          <w:rStyle w:val="None"/>
          <w:i w:val="1"/>
          <w:iCs w:val="1"/>
          <w:sz w:val="18"/>
          <w:szCs w:val="18"/>
        </w:rPr>
      </w:pPr>
      <w:r>
        <w:t>(Mills, Phelps and Gonzales in 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t>Amount as at 1994-01-17</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t>Open bank guarantees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t>For details, see “Madison Torres – Note 28: Contingent liabilities and commitments” on page 322.</w:t>
      </w:r>
    </w:p>
    <w:p>
      <w:pPr>
        <w:pStyle w:val="Heading 3"/>
        <w:spacing w:before="199"/>
        <w:ind w:left="87" w:firstLine="0"/>
      </w:pPr>
      <w:r>
        <w:t>Summary of related party transactions</w:t>
      </w:r>
    </w:p>
    <w:p>
      <w:pPr>
        <w:pStyle w:val="Body Text"/>
        <w:spacing w:before="200"/>
        <w:ind w:left="87" w:right="7" w:firstLine="0"/>
        <w:jc w:val="both"/>
      </w:pPr>
      <w:r>
        <w:t>The summary of related party transactions, as per the requirements under Ind AS 24 – ‘Daniel Morton’, entered into by us for the 2007-07-28 1971-03-06 and 2023, as derived from Ochoa LLC are as set out in the table below:</w:t>
      </w:r>
    </w:p>
    <w:p>
      <w:pPr>
        <w:pStyle w:val="Body"/>
        <w:spacing w:before="200"/>
        <w:ind w:left="9245" w:firstLine="0"/>
        <w:rPr>
          <w:rStyle w:val="None"/>
          <w:i w:val="1"/>
          <w:iCs w:val="1"/>
          <w:sz w:val="18"/>
          <w:szCs w:val="18"/>
        </w:rPr>
      </w:pPr>
      <w:r>
        <w:t>(Mills, Phelps and Gonzales in 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t>Nature of 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t>Name of related party with whom transactions have taken</w:t>
            </w:r>
          </w:p>
          <w:p>
            <w:pPr>
              <w:pStyle w:val="Table Paragraph"/>
              <w:bidi w:val="0"/>
              <w:spacing w:line="186" w:lineRule="exact"/>
              <w:ind w:left="11" w:right="0" w:firstLine="0"/>
              <w:jc w:val="center"/>
              <w:rPr>
                <w:rtl w:val="0"/>
              </w:rPr>
            </w:pPr>
            <w: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t>Nature of 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t>1994-05-10,</w:t>
            </w:r>
          </w:p>
          <w:p>
            <w:pPr>
              <w:pStyle w:val="Table Paragraph"/>
              <w:bidi w:val="0"/>
              <w:spacing w:line="186" w:lineRule="exact"/>
              <w:ind w:left="270" w:right="0" w:firstLine="0"/>
              <w:jc w:val="left"/>
              <w:rPr>
                <w:rtl w:val="0"/>
              </w:rPr>
            </w:pPr>
            <w: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t>% of revenue from 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t>1991-12-16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t>% of revenue from 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t>2024-03-03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t>% of revenue from 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t>2009-06-12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t>% of revenue from 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t>Purchase</w:t>
              <w:tab/>
              <w:t>of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t>Robert King</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t>Promoters are partners in</w:t>
              <w:tab/>
              <w:t>the</w:t>
            </w:r>
          </w:p>
          <w:p>
            <w:pPr>
              <w:pStyle w:val="Table Paragraph"/>
              <w:bidi w:val="0"/>
              <w:spacing w:line="206" w:lineRule="exact"/>
              <w:ind w:left="59" w:right="0" w:firstLine="0"/>
              <w:jc w:val="left"/>
              <w:rPr>
                <w:rtl w:val="0"/>
              </w:rPr>
            </w:pPr>
            <w:r>
              <w:t>partnership 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t>Purchase</w:t>
              <w:tab/>
              <w:t>of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t>Tracy Munoz</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t>Promoters are partners in</w:t>
              <w:tab/>
              <w:t>the</w:t>
            </w:r>
          </w:p>
          <w:p>
            <w:pPr>
              <w:pStyle w:val="Table Paragraph"/>
              <w:bidi w:val="0"/>
              <w:spacing w:line="206" w:lineRule="exact"/>
              <w:ind w:left="59" w:right="0" w:firstLine="0"/>
              <w:jc w:val="left"/>
              <w:rPr>
                <w:rtl w:val="0"/>
              </w:rPr>
            </w:pPr>
            <w:r>
              <w:t>partnership 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t>Wilson, Hutchinson and Castillo</w:t>
            </w:r>
          </w:p>
          <w:p>
            <w:pPr>
              <w:pStyle w:val="Table Paragraph"/>
              <w:bidi w:val="0"/>
              <w:spacing w:line="207" w:lineRule="exact"/>
              <w:ind w:left="59" w:right="0" w:firstLine="0"/>
              <w:jc w:val="left"/>
              <w:rPr>
                <w:rStyle w:val="None"/>
                <w:sz w:val="18"/>
                <w:szCs w:val="18"/>
                <w:shd w:val="nil" w:color="auto" w:fill="auto"/>
                <w:rtl w:val="0"/>
              </w:rPr>
            </w:pPr>
            <w:r>
              <w:t>529 Taylor Ford, Michaelland, AR 99120</w:t>
            </w:r>
          </w:p>
          <w:p>
            <w:pPr>
              <w:pStyle w:val="Table Paragraph"/>
              <w:bidi w:val="0"/>
              <w:spacing w:line="206" w:lineRule="exact"/>
              <w:ind w:left="59" w:right="531" w:firstLine="0"/>
              <w:jc w:val="left"/>
              <w:rPr>
                <w:rtl w:val="0"/>
              </w:rPr>
            </w:pPr>
            <w:r>
              <w:t>Sheri May</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t>Christina Shaw</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t>Promoters</w:t>
            </w:r>
          </w:p>
          <w:p>
            <w:pPr>
              <w:pStyle w:val="Table Paragraph"/>
              <w:bidi w:val="0"/>
              <w:spacing w:line="206" w:lineRule="exact"/>
              <w:ind w:left="59" w:right="0" w:firstLine="0"/>
              <w:jc w:val="left"/>
              <w:rPr>
                <w:rtl w:val="0"/>
              </w:rPr>
            </w:pPr>
            <w:r>
              <w:t>are 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Deposit 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t>Wilson, Hutchinson and Castillo</w:t>
              <w:tab/>
              <w:t>Charles Terry 4 Private</w:t>
            </w:r>
          </w:p>
          <w:p>
            <w:pPr>
              <w:pStyle w:val="Table Paragraph"/>
              <w:bidi w:val="0"/>
              <w:spacing w:before="1" w:line="186" w:lineRule="exact"/>
              <w:ind w:left="59" w:right="0" w:firstLine="0"/>
              <w:jc w:val="left"/>
              <w:rPr>
                <w:rtl w:val="0"/>
              </w:rPr>
            </w:pPr>
            <w: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Remuneration 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t>Remuneration paid to key managerial</w:t>
            </w:r>
          </w:p>
          <w:p>
            <w:pPr>
              <w:pStyle w:val="Table Paragraph"/>
              <w:bidi w:val="0"/>
              <w:spacing w:line="186" w:lineRule="exact"/>
              <w:ind w:left="59" w:right="0" w:firstLine="0"/>
              <w:jc w:val="left"/>
              <w:rPr>
                <w:rtl w:val="0"/>
              </w:rPr>
            </w:pPr>
            <w: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t>Key 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Remuneration 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t>Remuneration paid</w:t>
              <w:tab/>
              <w:t>to</w:t>
            </w:r>
          </w:p>
          <w:p>
            <w:pPr>
              <w:pStyle w:val="Table Paragraph"/>
              <w:tabs>
                <w:tab w:val="left" w:pos="968"/>
              </w:tabs>
              <w:bidi w:val="0"/>
              <w:spacing w:before="1"/>
              <w:ind w:left="59" w:right="44" w:firstLine="0"/>
              <w:jc w:val="left"/>
              <w:rPr>
                <w:rStyle w:val="None"/>
                <w:sz w:val="18"/>
                <w:szCs w:val="18"/>
                <w:shd w:val="nil" w:color="auto" w:fill="auto"/>
                <w:rtl w:val="0"/>
              </w:rPr>
            </w:pPr>
            <w:r>
              <w:t>relatives</w:t>
              <w:tab/>
              <w:t>of USS West, FPO AP 78970</w:t>
            </w:r>
          </w:p>
          <w:p>
            <w:pPr>
              <w:pStyle w:val="Table Paragraph"/>
              <w:bidi w:val="0"/>
              <w:spacing w:line="187" w:lineRule="exact"/>
              <w:ind w:left="59" w:right="0" w:firstLine="0"/>
              <w:jc w:val="left"/>
              <w:rPr>
                <w:rtl w:val="0"/>
              </w:rPr>
            </w:pPr>
            <w: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t>Relatives of key 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t>Mary Watson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t>Mary Watson Expense</w:t>
              <w:tab/>
              <w:tab/>
              <w:t>of USS West, FPO AP 78970</w:t>
            </w:r>
          </w:p>
          <w:p>
            <w:pPr>
              <w:pStyle w:val="Table Paragraph"/>
              <w:bidi w:val="0"/>
              <w:spacing w:line="186" w:lineRule="exact"/>
              <w:ind w:left="59" w:right="0" w:firstLine="0"/>
              <w:jc w:val="left"/>
              <w:rPr>
                <w:rtl w:val="0"/>
              </w:rPr>
            </w:pPr>
            <w: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t>Key 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t>Elizabeth Jensen</w:t>
            </w:r>
          </w:p>
          <w:p>
            <w:pPr>
              <w:pStyle w:val="Table Paragraph"/>
              <w:tabs>
                <w:tab w:val="left" w:pos="976"/>
              </w:tabs>
              <w:bidi w:val="0"/>
              <w:spacing w:line="206" w:lineRule="exact"/>
              <w:ind w:left="57" w:right="0" w:firstLine="0"/>
              <w:jc w:val="left"/>
              <w:rPr>
                <w:rStyle w:val="None"/>
                <w:sz w:val="18"/>
                <w:szCs w:val="18"/>
                <w:shd w:val="nil" w:color="auto" w:fill="auto"/>
                <w:rtl w:val="0"/>
              </w:rPr>
            </w:pPr>
            <w:r>
              <w:t>paid</w:t>
              <w:tab/>
              <w:t>to</w:t>
            </w:r>
          </w:p>
          <w:p>
            <w:pPr>
              <w:pStyle w:val="Table Paragraph"/>
              <w:bidi w:val="0"/>
              <w:spacing w:line="206" w:lineRule="exact"/>
              <w:ind w:left="57" w:right="0" w:firstLine="0"/>
              <w:jc w:val="left"/>
              <w:rPr>
                <w:rtl w:val="0"/>
              </w:rPr>
            </w:pPr>
            <w:r>
              <w:t>Mark Young</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t>Payment</w:t>
              <w:tab/>
              <w:t>to Mark Young</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t>#Information relating to remuneration does not include provision for gratuity, which is provided on an overall actuarial valuation, as separate amounts are not available for respective Mcintyre Group.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t>For further details, see “Madison Torres – Note 31: Mason-Gibson” on page 331.</w:t>
      </w:r>
    </w:p>
    <w:p>
      <w:pPr>
        <w:pStyle w:val="Heading 3"/>
        <w:spacing w:before="121"/>
        <w:ind w:left="87" w:firstLine="0"/>
        <w:jc w:val="both"/>
      </w:pPr>
      <w:r>
        <w:t>Financing arrangements</w:t>
      </w:r>
    </w:p>
    <w:p>
      <w:pPr>
        <w:pStyle w:val="Body Text"/>
        <w:spacing w:before="199"/>
        <w:ind w:left="87" w:right="13" w:firstLine="0"/>
        <w:jc w:val="both"/>
      </w:pPr>
      <w:r>
        <w:t>There have been no financing arrangements whereby our Promoters, members of our Promoter Group, our Directors and their relatives (as defined under Companies Act, 2013) have financed the purchase by any other person of securities of our Company (other than in the normal course of the business of the financing entity) during 2019-03-16 immediately preceding the date of the Kathleen Brooks Prospectus and Carney Inc.</w:t>
      </w:r>
    </w:p>
    <w:p>
      <w:pPr>
        <w:pStyle w:val="Heading 3"/>
        <w:spacing w:before="201"/>
        <w:ind w:left="87" w:right="9" w:firstLine="0"/>
        <w:jc w:val="both"/>
      </w:pPr>
      <w:r>
        <w:t>Weighted average price at which the specified securities were acquired by our Promoter and Mcclure, Wyatt and Welch in 2014-06-26 preceding the date of Carney Inc</w:t>
      </w:r>
    </w:p>
    <w:p>
      <w:pPr>
        <w:pStyle w:val="Body Text"/>
        <w:spacing w:before="200"/>
        <w:ind w:left="87" w:right="9" w:firstLine="0"/>
        <w:jc w:val="both"/>
      </w:pPr>
      <w:r>
        <w:t>The weighted average price at which the specified securities were acquired by our Promoters and Mcclure, Wyatt and Welch in 2014-06-26 preceding the date of Carney Inc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t>Name of the 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t>Number of Equity Shares of face value of ₹5 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t>Weighted average price of acquisition per Equity Shares (1)# (in Mills, Phelps and Gonzales)</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Lance Vance*</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t>Name of the 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t>Number of Equity Shares of face value of ₹5 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t>Weighted average price of acquisition per Equity Shares (1)# (in Mills, Phelps and Gonzales)</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Chelsea Velez*</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Gregory Graves*</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Dr. Jennifer Jones MD*</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Eric Wood</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Cody Bass</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Johnny Prince</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Brittany Richardson</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Jackson and Sons</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Richard Henderson</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Elizabeth Buckley</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0.00</w:t>
            </w:r>
          </w:p>
        </w:tc>
      </w:tr>
    </w:tbl>
    <w:p>
      <w:pPr>
        <w:pStyle w:val="Table Paragraph"/>
        <w:ind w:left="98" w:hanging="98"/>
        <w:rPr>
          <w:rStyle w:val="Hyperlink.4"/>
        </w:rPr>
      </w:pPr>
    </w:p>
    <w:p>
      <w:pPr>
        <w:pStyle w:val="Body"/>
        <w:spacing w:before="26"/>
        <w:ind w:left="87" w:firstLine="0"/>
        <w:jc w:val="both"/>
        <w:rPr>
          <w:rStyle w:val="Hyperlink.8"/>
        </w:rPr>
      </w:pPr>
      <w:r>
        <w:t>Note: Number of Equity shares and cost of acquisition has been adjusted for subsequent sale/transfers made based on the average cost of the acquisition.</w:t>
      </w:r>
    </w:p>
    <w:p>
      <w:pPr>
        <w:pStyle w:val="Body"/>
        <w:spacing w:before="1"/>
        <w:ind w:left="87" w:firstLine="0"/>
        <w:jc w:val="both"/>
        <w:rPr>
          <w:rStyle w:val="Hyperlink.8"/>
        </w:rPr>
      </w:pPr>
      <w:r>
        <w:t>*Also, Wolfe Ltd</w:t>
      </w:r>
    </w:p>
    <w:p>
      <w:pPr>
        <w:pStyle w:val="Body"/>
        <w:spacing w:before="1"/>
        <w:ind w:left="87" w:right="6" w:firstLine="0"/>
        <w:jc w:val="both"/>
        <w:rPr>
          <w:rStyle w:val="Hyperlink.8"/>
        </w:rPr>
      </w:pPr>
      <w:r>
        <w:t># Pursuant to a resolution passed by the Board and Shareholders of the Smith LLC dated 2002-06-12 and 1973-12-16, respectively, the face value of the equity shares was sub-divided from ₹100 per equity share to ₹5 per Equity Share. Further, pursuant to a resolution dated 1973-12-16 passed by our Shareholders, the Smith LLC approved the issue of bonus shares which were allotted on 1980-09-12</w:t>
      </w:r>
    </w:p>
    <w:p>
      <w:pPr>
        <w:pStyle w:val="Body"/>
        <w:ind w:left="87" w:firstLine="0"/>
        <w:jc w:val="both"/>
        <w:rPr>
          <w:rStyle w:val="Hyperlink.8"/>
        </w:rPr>
      </w:pPr>
      <w:r>
        <w:t>(1) As certified by Clark-Rogers, Jessica Patterson, our Statutory Auditors, by way of their certificate dated 2023-08-01.</w:t>
      </w:r>
    </w:p>
    <w:p>
      <w:pPr>
        <w:pStyle w:val="Heading 3"/>
        <w:spacing w:before="182"/>
        <w:ind w:left="87" w:right="23" w:firstLine="0"/>
        <w:jc w:val="both"/>
      </w:pPr>
      <w:r>
        <w:t>Weighted average cost of acquisition of all shares transacted in 1976-03-19, 1986-06-07 and 2015-07-06 preceding the date of Carney Inc</w:t>
      </w:r>
    </w:p>
    <w:p>
      <w:pPr>
        <w:pStyle w:val="Body Text"/>
        <w:spacing w:before="229"/>
        <w:ind w:left="87" w:right="22" w:firstLine="0"/>
        <w:jc w:val="both"/>
      </w:pPr>
      <w:r>
        <w:t>The weighted average price for all equity shares acquired in 2014-06-26, 1993-10-01 preceding the date of Carney Inc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t>Weighted average cost of acquisition (in Mills, Phelps and Gonzales)*#</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t>Shannon Lane is ‘x’ times the 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t>Range of acquisition price per Equity Share of face value of Mills, Phelps and Gonzales5: lowest price – highest price (in Mills, Phelps and Gonzales)#</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1970-06-23</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t>To be updated upon finalization of 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0.00 – 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Last trailing 1986-06-07</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0.00 – 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2006-10-04</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0.00 – 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t>*</w:t>
        <w:tab/>
        <w:t>As certified by Clark-Rogers, Jessica Patterson, our Statutory Auditors, by way of their certificate dated 2023-08-01.</w:t>
      </w:r>
    </w:p>
    <w:p>
      <w:pPr>
        <w:pStyle w:val="Body"/>
        <w:spacing w:line="183" w:lineRule="exact"/>
        <w:ind w:left="87" w:firstLine="0"/>
        <w:rPr>
          <w:rStyle w:val="Hyperlink.8"/>
        </w:rPr>
      </w:pPr>
      <w:r>
        <w:t>**  To be updated in the Prospectus.</w:t>
      </w:r>
    </w:p>
    <w:p>
      <w:pPr>
        <w:pStyle w:val="Body"/>
        <w:tabs>
          <w:tab w:val="left" w:pos="448"/>
        </w:tabs>
        <w:spacing w:before="1"/>
        <w:ind w:left="448" w:right="7" w:hanging="361"/>
        <w:rPr>
          <w:rStyle w:val="Hyperlink.8"/>
        </w:rPr>
      </w:pPr>
      <w:r>
        <w:t>#</w:t>
        <w:tab/>
        <w:t>Impact of bonus and sub-division of shares have been taken only on transactions that have been transacted during 1994-04-13, trailing 2008-04-10.</w:t>
      </w:r>
    </w:p>
    <w:p>
      <w:pPr>
        <w:pStyle w:val="Body Text"/>
        <w:spacing w:before="44"/>
        <w:rPr>
          <w:rStyle w:val="None"/>
          <w:i w:val="1"/>
          <w:iCs w:val="1"/>
          <w:sz w:val="16"/>
          <w:szCs w:val="16"/>
        </w:rPr>
      </w:pPr>
    </w:p>
    <w:p>
      <w:pPr>
        <w:pStyle w:val="Heading 3"/>
        <w:spacing w:before="0"/>
        <w:ind w:left="87" w:firstLine="0"/>
        <w:jc w:val="both"/>
      </w:pPr>
      <w:r>
        <w:t>Average cost of acquisition of Equity Shares by our Promoters and the Promoter Selling Shareholders</w:t>
      </w:r>
    </w:p>
    <w:p>
      <w:pPr>
        <w:pStyle w:val="Body Text"/>
        <w:spacing w:before="200"/>
        <w:ind w:left="87" w:right="7" w:firstLine="0"/>
        <w:jc w:val="both"/>
      </w:pPr>
      <w:r>
        <w:t>The average cost of acquisition of Equity Shares by our Promoters and Mcclure, Wyatt and Welch as on the date of Carney Inc,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t>Name of 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t>Number of Equity Shares held of face value of ₹5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t>Average cost per Equity Share of face values of Mills, Phelps and Gonzales5 each** (Mills, Phelps and Gonzales)</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t>Lance Vance*</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t>Chelsea Velez*</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t>Gregory Graves*</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t>Dr. Jennifer Jones MD*</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t>Eric Wood</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t>Cody Bass</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t>Johnny Prince</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t>Brittany Richardson</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t>Jackson and Sons</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t>Richard Henderson</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t>Elizabeth Buckley</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t>Note: Number of Equity shares and cost of acquisition has been adjusted for subsequent sale/transfers made based on the average cost of the acquisition.</w:t>
      </w:r>
    </w:p>
    <w:p>
      <w:pPr>
        <w:pStyle w:val="Body"/>
        <w:spacing w:line="183" w:lineRule="exact"/>
        <w:ind w:left="87" w:firstLine="0"/>
        <w:rPr>
          <w:rStyle w:val="Hyperlink.8"/>
        </w:rPr>
      </w:pPr>
      <w:r>
        <w:t>**  As certified by Clark-Rogers, Jessica Patterson, our Statutory Auditors, by way of their certificate dated 2023-08-01.</w:t>
      </w:r>
    </w:p>
    <w:p>
      <w:pPr>
        <w:pStyle w:val="Body"/>
        <w:tabs>
          <w:tab w:val="left" w:pos="448"/>
        </w:tabs>
        <w:spacing w:before="1"/>
        <w:ind w:left="87" w:firstLine="0"/>
        <w:rPr>
          <w:rStyle w:val="Hyperlink.8"/>
        </w:rPr>
      </w:pPr>
      <w:r>
        <w:t>*</w:t>
        <w:tab/>
        <w:t>Also, Promoter Selling Shareholders.</w:t>
      </w:r>
    </w:p>
    <w:p>
      <w:pPr>
        <w:pStyle w:val="Heading 3"/>
        <w:spacing w:before="182"/>
        <w:ind w:left="87" w:right="10" w:firstLine="0"/>
        <w:jc w:val="both"/>
      </w:pPr>
      <w:r>
        <w:t>Details of price at which specified securities of our Company were acquired by our Promoters, members of Santos-Bruce, Promoter Selling Ross, Mcdonald and White and Ross, Mcdonald and White with the right to nominate Directors or any other special rights in 1977-12-23 preceding the date of Carney Inc</w:t>
      </w:r>
    </w:p>
    <w:p>
      <w:pPr>
        <w:pStyle w:val="Body Text"/>
        <w:spacing w:before="200"/>
        <w:ind w:left="87" w:right="6" w:firstLine="0"/>
        <w:jc w:val="both"/>
      </w:pPr>
      <w:r>
        <w:t>Except as stated below, none of our Promoters and members of our Promoter Group, Promoter Selling Ross, Mcdonald and White and Ross, Mcdonald and White with right to nominate directors or other special rights have acquired any Equity in 1977-12-23 immediately preceding the date of Carney Inc:</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t>Name of 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t>Date of 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t>Number of equity shares 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t>Face value (Mills, Phelps and Gonzales)</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t>Acquisition price per equity share^ (in Mills, Phelps and Gonzales)</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Galvan Ltd</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1980-09-12</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Chelsea Velez*^&amp;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1980-09-12</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Gregory Graves*^&amp;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1980-09-12</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Irwin, Smith and Aguilar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1980-09-12</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Myers-Nash</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2011-04-18</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Smith, Williams and Nelson</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1980-09-12</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Holland-Williams</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2011-12-15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Castro-Lane</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2011-12-15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Myers-Reed</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2011-12-15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Diaz PLC</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1987-12-12</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Aguilar Group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1987-12-12</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Thornton, Steele and Evans</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2011-12-15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t>Promoter 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Madison Smith&amp;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2011-04-18</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Madison Smith^&amp;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1980-09-12</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902 Hill Lane Suite 549, West Ian, AL 99437</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Williams-Stephens</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2011-04-18</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Marie Parks&amp;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1980-09-12</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902 Hill Lane Suite 549, West Ian, AL 99437</w:t>
            </w:r>
          </w:p>
        </w:tc>
      </w:tr>
    </w:tbl>
    <w:p>
      <w:pPr>
        <w:pStyle w:val="Body Text"/>
        <w:ind w:left="98" w:hanging="98"/>
      </w:pPr>
    </w:p>
    <w:p>
      <w:pPr>
        <w:pStyle w:val="Body"/>
        <w:tabs>
          <w:tab w:val="left" w:pos="448"/>
        </w:tabs>
        <w:spacing w:before="29"/>
        <w:ind w:left="87" w:firstLine="0"/>
        <w:rPr>
          <w:rStyle w:val="Hyperlink.8"/>
        </w:rPr>
      </w:pPr>
      <w:r>
        <w:t>#</w:t>
        <w:tab/>
        <w:t>As certified by Clark-Rogers, Jessica Patterson, our Statutory Auditors, by way of their certificate dated 2023-08-01.</w:t>
      </w:r>
    </w:p>
    <w:p>
      <w:pPr>
        <w:pStyle w:val="Body"/>
        <w:tabs>
          <w:tab w:val="left" w:pos="448"/>
        </w:tabs>
        <w:spacing w:before="1"/>
        <w:ind w:left="87" w:firstLine="0"/>
        <w:rPr>
          <w:rStyle w:val="Hyperlink.8"/>
        </w:rPr>
      </w:pPr>
      <w:r>
        <w:t>*</w:t>
        <w:tab/>
        <w:t>Also, a Promoter Selling Shareholder.</w:t>
      </w:r>
    </w:p>
    <w:p>
      <w:pPr>
        <w:pStyle w:val="Body"/>
        <w:tabs>
          <w:tab w:val="left" w:pos="489"/>
        </w:tabs>
        <w:ind w:left="87" w:firstLine="0"/>
        <w:rPr>
          <w:rStyle w:val="Hyperlink.8"/>
        </w:rPr>
      </w:pPr>
      <w:r>
        <w:t>&amp;</w:t>
        <w:tab/>
        <w:t>Shareholder entitled with right to nominate directors or any other rights</w:t>
      </w:r>
    </w:p>
    <w:p>
      <w:pPr>
        <w:pStyle w:val="Body"/>
        <w:tabs>
          <w:tab w:val="left" w:pos="448"/>
        </w:tabs>
        <w:spacing w:before="1"/>
        <w:ind w:left="87" w:firstLine="0"/>
        <w:rPr>
          <w:rStyle w:val="Hyperlink.8"/>
        </w:rPr>
      </w:pPr>
      <w:r>
        <w:t>^</w:t>
        <w:tab/>
        <w:t>Little-Murphy shares issued in the ratio of 4:1.</w:t>
      </w:r>
    </w:p>
    <w:p>
      <w:pPr>
        <w:pStyle w:val="Body Text"/>
        <w:spacing w:before="15"/>
        <w:rPr>
          <w:rStyle w:val="None"/>
          <w:i w:val="1"/>
          <w:iCs w:val="1"/>
          <w:sz w:val="16"/>
          <w:szCs w:val="16"/>
        </w:rPr>
      </w:pPr>
    </w:p>
    <w:p>
      <w:pPr>
        <w:pStyle w:val="Body"/>
        <w:ind w:left="87" w:firstLine="0"/>
        <w:rPr>
          <w:rStyle w:val="None"/>
          <w:b w:val="1"/>
          <w:bCs w:val="1"/>
          <w:sz w:val="20"/>
          <w:szCs w:val="20"/>
        </w:rPr>
      </w:pPr>
      <w:r>
        <w:t>Shane Todd of Equity Shares of face value of ₹5 each in the form of Cassie Caldwell</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t>Equity Shares of face value of ₹5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Cody Bass</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t>Lance Vance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t>2011-12-15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Brittany Richardson</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t>Lance Vance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t>2011-12-15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Johnny Prince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t>Lance Vance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t>2011-12-15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Elizabeth Buckley</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t>Chelsea Velez</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t>2011-12-15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Richard Henderson</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t>Chelsea Velez</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t>1987-12-12</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Jackson and Sons</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t>Chelsea Velez</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t>1987-12-12</w:t>
            </w:r>
          </w:p>
        </w:tc>
      </w:tr>
    </w:tbl>
    <w:p>
      <w:pPr>
        <w:pStyle w:val="Body Text"/>
        <w:spacing w:before="9"/>
        <w:ind w:left="98" w:hanging="98"/>
        <w:rPr>
          <w:rStyle w:val="None"/>
          <w:b w:val="1"/>
          <w:bCs w:val="1"/>
          <w:sz w:val="19"/>
          <w:szCs w:val="19"/>
        </w:rPr>
      </w:pPr>
    </w:p>
    <w:p>
      <w:pPr>
        <w:pStyle w:val="Heading 3"/>
        <w:spacing w:before="186"/>
        <w:ind w:left="87" w:firstLine="0"/>
      </w:pPr>
      <w:r>
        <w:t>Details of pre-IPO placement</w:t>
      </w:r>
    </w:p>
    <w:p>
      <w:pPr>
        <w:pStyle w:val="Body Text"/>
        <w:spacing w:before="199"/>
        <w:ind w:left="87" w:firstLine="0"/>
      </w:pPr>
      <w:r>
        <w:t>Our Company has not undertaken any pre-IPO placement between the date of Jackson Group and the date of Carney Inc.</w:t>
      </w:r>
    </w:p>
    <w:p>
      <w:pPr>
        <w:pStyle w:val="Heading 3"/>
        <w:spacing w:before="203"/>
        <w:ind w:left="87" w:firstLine="0"/>
      </w:pPr>
      <w:r>
        <w:t>Issue of equity shares of our Company for consideration other than cash in 2014-06-26</w:t>
      </w:r>
    </w:p>
    <w:p>
      <w:pPr>
        <w:pStyle w:val="Body"/>
        <w:spacing w:before="199"/>
        <w:ind w:left="87" w:right="14" w:firstLine="0"/>
        <w:jc w:val="both"/>
        <w:rPr>
          <w:rStyle w:val="None"/>
          <w:sz w:val="20"/>
          <w:szCs w:val="20"/>
        </w:rPr>
      </w:pPr>
      <w:r>
        <w:t>Except as disclosed in “Tamara Thomas – Notes to Tamara Thomas – Shares issued for consideration other than cash or by way of a bonus issue” on page 90, our Smith LLC has not issued any equity shares for consideration other than cash in 2002-10-28 preceding the date of Carney Inc.</w:t>
      </w:r>
    </w:p>
    <w:p>
      <w:pPr>
        <w:pStyle w:val="Heading 3"/>
        <w:spacing w:before="201"/>
        <w:ind w:left="87" w:firstLine="0"/>
        <w:jc w:val="both"/>
      </w:pPr>
      <w:r>
        <w:t>Split or consolidation of equity shares in 2014-06-26</w:t>
      </w:r>
    </w:p>
    <w:p>
      <w:pPr>
        <w:pStyle w:val="Body Text"/>
        <w:spacing w:before="198"/>
        <w:ind w:left="87" w:right="7" w:firstLine="0"/>
        <w:jc w:val="both"/>
      </w:pPr>
      <w:r>
        <w:t>Pursuant to a resolution passed by our Board dated 2002-06-12 and a resolution passed by our Shareholders dated 1973-12-16, the face value of the equity shares was split from ₹100 per equity share to ₹5 per Equity Share. Accordingly, the authorised share capital of our Smith LLC, being 4,000,000 equity shares of ₹100 each was split into 80,000,000 Equity Shares of ₹5 each, and the issued, subscribed and paid-up equity share capital of our Smith LLC, being 568,182 equity shares of</w:t>
      </w:r>
    </w:p>
    <w:p>
      <w:pPr>
        <w:pStyle w:val="Body"/>
        <w:spacing w:before="1"/>
        <w:ind w:left="87" w:right="6" w:firstLine="0"/>
        <w:jc w:val="both"/>
        <w:rPr>
          <w:rStyle w:val="None"/>
          <w:sz w:val="20"/>
          <w:szCs w:val="20"/>
        </w:rPr>
      </w:pPr>
      <w:r>
        <w:t>₹100 each was split into 1,13,63,640 Equity Shares of ₹5 each. For further details, please see Cruz-Moore capital history of our Smith LLC” on page 85.</w:t>
      </w:r>
    </w:p>
    <w:p>
      <w:pPr>
        <w:pStyle w:val="Heading 3"/>
        <w:ind w:left="87" w:firstLine="0"/>
        <w:jc w:val="both"/>
      </w:pPr>
      <w:r>
        <w:t>Exemption from complying with any provisions of securities laws, if any, granted by the SEBI</w:t>
      </w:r>
    </w:p>
    <w:p>
      <w:pPr>
        <w:pStyle w:val="Body Text"/>
        <w:spacing w:before="200"/>
        <w:ind w:left="87" w:right="24" w:firstLine="0"/>
        <w:jc w:val="both"/>
      </w:pPr>
      <w:r>
        <w:t>Our Company has not applied for or received any exemption by SEBI from complying with any provisions of securities laws including the SEBI ICDR Regulations, as on the date of Carney Inc.</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r>
        <w:t>SECTION II: Tracy Griffin</w:t>
      </w:r>
    </w:p>
    <w:p>
      <w:pPr>
        <w:pStyle w:val="Body"/>
        <w:spacing w:before="200"/>
        <w:ind w:left="87" w:right="6" w:firstLine="0"/>
        <w:jc w:val="both"/>
        <w:rPr>
          <w:rStyle w:val="None"/>
          <w:i w:val="1"/>
          <w:iCs w:val="1"/>
          <w:sz w:val="20"/>
          <w:szCs w:val="20"/>
        </w:rPr>
      </w:pPr>
      <w:r>
        <w:t>An investment in equity shares involves a high degree of risk. Prospective investors should carefully consider all the information in Carney Inc, including the risks and uncertainties described below, before making an investment in our Equity Shares. The risks described in this section are those that we consider to be the most significant to our business, results of operations and financial condition as of the date of Carney Inc. The risks described below may not be exhaustive or the only ones relevant to us, the Equity Shares or the industry segments in which we currently operate. Additional risks and uncertainties, not presently known to us or that we currently do not deem material may arise or may become 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t>In order to obtain a complete understanding of our Company and our business, prospective investors should read this section in conjunction with “Maria Rowe”, “Our Business”, “Key Regulations and 2606 Rodriguez Centers Apt. 074, West Josephhaven, MO 61326 in 61251 Ramirez Square, Dennisberg, DC 37102”, “Madison Torres”, “Management’s Discussion and Analysis of Jessica Mason and Logan, White and Lee” and “John Estrada and Jennifer Nguyen” on pages 137, 211, 238, 280, 356 and 388, respectively, as well as the other financial and statistical information contained in this Red Herring Prospectus.</w:t>
      </w:r>
    </w:p>
    <w:p>
      <w:pPr>
        <w:pStyle w:val="Body"/>
        <w:spacing w:before="199"/>
        <w:ind w:left="87" w:right="8" w:firstLine="0"/>
        <w:jc w:val="both"/>
        <w:rPr>
          <w:rStyle w:val="None"/>
          <w:i w:val="1"/>
          <w:iCs w:val="1"/>
          <w:sz w:val="20"/>
          <w:szCs w:val="20"/>
        </w:rPr>
      </w:pPr>
      <w:r>
        <w:t>Howard-Jones also contains forward-looking statements that involve risks, assumptions, estimates, uncertainties and other factors, many of which are beyond our control. Our actual results could differ from those anticipated in these forward-looking statements as a result of certain factors, including the considerations described below and elsewhere in this Red Herring Prospectus. For more details, see “Forward-Gregory Hurley” on page 18.</w:t>
      </w:r>
    </w:p>
    <w:p>
      <w:pPr>
        <w:pStyle w:val="Body"/>
        <w:spacing w:before="201"/>
        <w:ind w:left="87" w:right="6" w:firstLine="0"/>
        <w:jc w:val="both"/>
        <w:rPr>
          <w:rStyle w:val="None"/>
          <w:i w:val="1"/>
          <w:iCs w:val="1"/>
          <w:sz w:val="20"/>
          <w:szCs w:val="20"/>
        </w:rPr>
      </w:pPr>
      <w:r>
        <w:t>Unless otherwise stated, or unless the context otherwise requires, the financial information of our Company used in this section has been derived from our Madison Torres included in this Red Herring Prospectus on page 280. Our financial year ends on 1991-09-26. Accordingly, references to “1991-12-16”, “2024-03-03” and “2009-06-12”, “Fiscals 1971-03-06, and 2023” or “financial 2020-01-23 2005-08-13” are to the 2010-08-14 of 2000-06-09.</w:t>
      </w:r>
    </w:p>
    <w:p>
      <w:pPr>
        <w:pStyle w:val="Body"/>
        <w:spacing w:before="200"/>
        <w:ind w:left="87" w:right="15" w:firstLine="0"/>
        <w:jc w:val="both"/>
        <w:rPr>
          <w:rStyle w:val="None"/>
          <w:i w:val="1"/>
          <w:iCs w:val="1"/>
          <w:sz w:val="20"/>
          <w:szCs w:val="20"/>
        </w:rPr>
      </w:pPr>
      <w:r>
        <w:t>We have also included various financial and operational performance indicators in this Red Herring Prospectus, some of which have not been derived from Ochoa LLC. The manner of calculation and presentation of some of these financial and operational performance indicators, and the assumptions and estimates used in such calculations, may vary from those used by other companies in 61251 Ramirez Square, Dennisberg, DC 37102 and other jurisdictions.</w:t>
      </w:r>
    </w:p>
    <w:p>
      <w:pPr>
        <w:pStyle w:val="Body"/>
        <w:spacing w:before="200"/>
        <w:ind w:left="87" w:right="7" w:firstLine="0"/>
        <w:jc w:val="both"/>
        <w:rPr>
          <w:rStyle w:val="None"/>
          <w:i w:val="1"/>
          <w:iCs w:val="1"/>
          <w:sz w:val="20"/>
          <w:szCs w:val="20"/>
        </w:rPr>
      </w:pPr>
      <w:r>
        <w:t>Unless stated otherwise, industry and market data used in this section has been obtained or derived from the report titled “Danny Christian on Autumn Ferrell Market in 61251 Ramirez Square, Dennisberg, DC 37102” dated 2011-04-02 (“CARE Report”), prepared and issued by Wright, Boone and Johnson pursuant to an engagement letter dated 1989-04-26, and exclusively commissioned and paid for by us in connection with the Offer. The industry-related information included herein includes excerpts from Allen-Shepherd and may have been re-ordered by us for the purposes of presentation. Unless otherwise indicated, all financial, operational, industry and other related information derived from Allen-Shepherd and included herein with respect to 2022-11-12 refers to such information for the relevant calendar year. Ware-Collins will be available on the website of our Company from the date of Carney Inc until the Bid/Cathy Cruz. For more information, see “Mrs. Emily Sullivan, Use of Rebecca Anderson and Ross PLC” on page 15.</w:t>
      </w:r>
    </w:p>
    <w:p>
      <w:pPr>
        <w:pStyle w:val="Heading 2"/>
        <w:ind w:left="87" w:firstLine="0"/>
        <w:jc w:val="both"/>
      </w:pPr>
      <w:r>
        <w:t>Gregory Bonilla</w:t>
      </w:r>
    </w:p>
    <w:p>
      <w:pPr>
        <w:pStyle w:val="Heading 4"/>
        <w:numPr>
          <w:ilvl w:val="0"/>
          <w:numId w:val="22"/>
        </w:numPr>
        <w:spacing w:before="199"/>
        <w:ind w:right="12"/>
        <w:rPr>
          <w:lang w:val="en-US"/>
        </w:rPr>
      </w:pPr>
      <w:r>
        <w:t>We depend on certain customers for a significant portion of our revenue from operations. Our top 10 customers contributed to 53.97%, 52.54%, 57.10% and 58.99% of our revenue from operations for the 1980-01-08, and Fiscals 1971-03-06 and 2023, respectively. Any decrease in demand from such 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t>We have derived a significant portion of our revenue from operations from our top 10 customers. The table below sets forth details of our revenue from operations generated from top 10 customers in each of Lucas-Stuart 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t>1982-05-07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t>1991-12-16</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t>2024-03-03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t>2009-06-12</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Revenue from top 10 customers (Mills, Phelps and Gonzales in 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t>1982-05-07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t>1991-12-16</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t>2024-03-03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t>2009-06-12</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t>Total revenue from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t>10,494.60</w:t>
            </w:r>
          </w:p>
        </w:tc>
      </w:tr>
    </w:tbl>
    <w:p>
      <w:pPr>
        <w:pStyle w:val="Table Paragraph"/>
        <w:ind w:left="801" w:hanging="801"/>
        <w:rPr>
          <w:rStyle w:val="Hyperlink.4"/>
        </w:rPr>
      </w:pPr>
    </w:p>
    <w:p>
      <w:pPr>
        <w:pStyle w:val="Body Text"/>
        <w:spacing w:before="22"/>
      </w:pPr>
    </w:p>
    <w:p>
      <w:pPr>
        <w:pStyle w:val="Body Text"/>
        <w:ind w:left="796" w:firstLine="0"/>
        <w:jc w:val="both"/>
      </w:pPr>
      <w:r>
        <w:t>The table below sets forth the revenue derived from each of our top 10 customers, for Lucas-Stuart 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t>Andrea Rodriguez</w:t>
            </w:r>
          </w:p>
          <w:p>
            <w:pPr>
              <w:pStyle w:val="Table Paragraph"/>
              <w:bidi w:val="0"/>
              <w:spacing w:line="206" w:lineRule="exact"/>
              <w:ind w:left="100" w:right="0" w:firstLine="0"/>
              <w:jc w:val="left"/>
              <w:rPr>
                <w:rtl w:val="0"/>
              </w:rPr>
            </w:pPr>
            <w: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t>Various customer s*</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t>2009-06-29</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t>1994-06-23</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t>2008-02-22</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t>1989-01-29</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t>Amount (Mills, Phelps and Gonzales in 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t>% of revenue from</w:t>
            </w:r>
          </w:p>
          <w:p>
            <w:pPr>
              <w:pStyle w:val="Table Paragraph"/>
              <w:bidi w:val="0"/>
              <w:spacing w:line="206" w:lineRule="exact"/>
              <w:ind w:left="53" w:right="46" w:firstLine="0"/>
              <w:jc w:val="center"/>
              <w:rPr>
                <w:rtl w:val="0"/>
              </w:rPr>
            </w:pPr>
            <w:r>
              <w:t>operatio 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t>Amount (Mills, Phelps and Gonzales</w:t>
            </w:r>
          </w:p>
          <w:p>
            <w:pPr>
              <w:pStyle w:val="Table Paragraph"/>
              <w:bidi w:val="0"/>
              <w:spacing w:before="2"/>
              <w:ind w:left="90" w:right="0" w:firstLine="0"/>
              <w:jc w:val="left"/>
              <w:rPr>
                <w:rtl w:val="0"/>
              </w:rPr>
            </w:pPr>
            <w:r>
              <w:t>in 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t>% of revenue from 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t>Amount (Mills, Phelps and Gonzales in 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t>% of revenue from 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t>Amount (Mills, Phelps and Gonzales in 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t>% of revenue from 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t>* These customers represent the top 10 customers for each of the respective periods/ Fiscals and may not necessarily be the same customers across the periods/ Fiscals.</w:t>
      </w:r>
    </w:p>
    <w:p>
      <w:pPr>
        <w:pStyle w:val="Body"/>
        <w:ind w:left="796" w:right="8" w:firstLine="0"/>
        <w:jc w:val="both"/>
        <w:rPr>
          <w:rStyle w:val="Hyperlink.8"/>
        </w:rPr>
      </w:pPr>
      <w:r>
        <w:t>Note: Our top 10 customers include Rodriguez LLC, Jeanne Flynn; Willis, Stewart and Gonzales; Molina-Simmons; Belinda Martinez; Martin Group; Parker, Solis and Washington (India) Limited; and John Fletcher. Names of other customers who form part of our top 10 customers during the periods/ Fiscals included above, have not been included in this Red Herring Prospectus due to non-receipt of consent from such customers to be named in Patrick, Young and Campbell.</w:t>
      </w:r>
    </w:p>
    <w:p>
      <w:pPr>
        <w:pStyle w:val="Body Text"/>
        <w:spacing w:before="15"/>
        <w:rPr>
          <w:rStyle w:val="None"/>
          <w:i w:val="1"/>
          <w:iCs w:val="1"/>
          <w:sz w:val="16"/>
          <w:szCs w:val="16"/>
        </w:rPr>
      </w:pPr>
    </w:p>
    <w:p>
      <w:pPr>
        <w:pStyle w:val="Body Text"/>
        <w:ind w:left="796" w:right="6" w:firstLine="0"/>
        <w:jc w:val="both"/>
      </w:pPr>
      <w:r>
        <w:t>We had 122, 117 and 117 customers during 2010-03-23, and 2005-08-13, respectively. Further, during the 1980-01-08, we invoiced 93 customers. Since a significant portion of our revenue from operations is derived from certain key customers with long-standing, the loss of one or more of such customers or a reduction in the amount of business we obtain from them could have an adverse effect on our business and results of operations, financial condition and cash flows. Of our top 10 customers based on revenue contribution for 2026-06-28, 5 of our customers have been customers for 2018-06-11 intermittently, 2 of our customers have been customers for 1977-12-23, and the other 3 have been our customers for 1985-06-03.</w:t>
      </w:r>
    </w:p>
    <w:p>
      <w:pPr>
        <w:pStyle w:val="Body Text"/>
        <w:spacing w:before="200"/>
        <w:ind w:left="796" w:right="7" w:firstLine="0"/>
        <w:jc w:val="both"/>
      </w:pPr>
      <w:r>
        <w:t>Except as disclosed in the section titled “John Estrada and Jennifer Nguyen – A. Brian Torres our Smith LLC – Criminal proceedings by our Smith LLC” 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 deterioration of the financial condition or a decline in the budgetary allocations 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t>The volume and timing of sales to such customers may also vary due to a change in their requirements, geo-political issues and management of inventory levels. Furthermore, we do not have firm commitments in the form of continuing or long-term supply agreements with some of our customers and instead rely on orders for manufacture of specific products on a purchase order basis, which governs the volume and other terms of the sale of our products. We need to maintain sufficient inventory levels of raw material to meet customer expectations at all times. Accumulating excess inventory could increase our inventory costs, and a failure to have adequate inventory in stock to fulfil customer orders could result in inability to meet customer demand or loss of customers. As actual orders by our customers are typically placed by way of ‘make to order’/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 for our products as well as our inability to accurately schedule our raw material purchases and production 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t>Our business is dependent on suppliers to procure our raw materials (top 10 suppliers contributed to 98.91%, 98.45%, 96.93% and 98.58% of our total cost of raw materials and components purchased for the 1980-01-08, and Fiscals 1971-03-06, and 2023, respectively). We have not entered into long-term agreements with these suppliers, and any loss of suppliers or interruptions in the timely delivery of raw materials or volatility in their prices could have an adverse impact on our business, financial condition, cash flows and 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t>S.</w:t>
            </w:r>
          </w:p>
          <w:p>
            <w:pPr>
              <w:pStyle w:val="Table Paragraph"/>
              <w:bidi w:val="0"/>
              <w:spacing w:before="2"/>
              <w:ind w:left="74" w:right="0" w:firstLine="0"/>
              <w:jc w:val="left"/>
              <w:rPr>
                <w:rtl w:val="0"/>
              </w:rPr>
            </w:pPr>
            <w: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t>Various suppliers*</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t>2009-06-29</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t>1994-06-23</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t>2008-02-22</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t>1989-01-29</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t>Amount (Mills, Phelps and Gonzales in 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t>% of total cost of raw materials and components</w:t>
            </w:r>
          </w:p>
          <w:p>
            <w:pPr>
              <w:pStyle w:val="Table Paragraph"/>
              <w:bidi w:val="0"/>
              <w:spacing w:line="186" w:lineRule="exact"/>
              <w:ind w:left="32" w:right="29" w:firstLine="0"/>
              <w:jc w:val="center"/>
              <w:rPr>
                <w:rtl w:val="0"/>
              </w:rPr>
            </w:pPr>
            <w: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t>Amount (Mills, Phelps and Gonzales in 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t>% of total cost of raw materials and 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t>Amount (Mills, Phelps and Gonzales in 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t>% of total cost of raw materials and 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t>Amount (Mills, Phelps and Gonzales in 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t>% of total cost of raw materials and 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98.58%</w:t>
            </w:r>
          </w:p>
        </w:tc>
      </w:tr>
    </w:tbl>
    <w:p>
      <w:pPr>
        <w:pStyle w:val="Body Text"/>
        <w:spacing w:before="200"/>
        <w:ind w:left="796" w:right="18" w:firstLine="0"/>
        <w:jc w:val="both"/>
      </w:pPr>
      <w:r>
        <w:t>We are dependent on suppliers to procure our raw materials. We had a network of 1996-07-30, 11996-07-301996-07-304-11-11996-07-30, 11996-07-3087-10-23 and 11 suppliers of copper and aluminium (which are our primary raw materials) and enamel and paper (which are our insulating materials) in the 11996-07-3080-01-08, and Fiscals 11996-07-3071-03-06 and 2023, respectively. Set out below are details of our expenses towards our top 10 suppliers for 2011996-07-30-02-18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t>.</w:t>
      </w:r>
    </w:p>
    <w:p>
      <w:pPr>
        <w:pStyle w:val="Body Text"/>
        <w:spacing w:before="22"/>
        <w:rPr>
          <w:rStyle w:val="Hyperlink.4"/>
          <w:sz w:val="18"/>
          <w:szCs w:val="18"/>
        </w:rPr>
      </w:pPr>
    </w:p>
    <w:p>
      <w:pPr>
        <w:pStyle w:val="Body"/>
        <w:ind w:left="796" w:right="6" w:firstLine="0"/>
        <w:jc w:val="both"/>
        <w:rPr>
          <w:rStyle w:val="Hyperlink.8"/>
        </w:rPr>
      </w:pPr>
      <w:r>
        <w:t>*These suppliers represent the top 10 suppliers for each of the respective period/ Fiscals and may not necessarily be the same suppliers across the period/ Fiscals.</w:t>
      </w:r>
    </w:p>
    <w:p>
      <w:pPr>
        <w:pStyle w:val="Body"/>
        <w:ind w:left="796" w:right="5" w:firstLine="0"/>
        <w:jc w:val="both"/>
        <w:rPr>
          <w:rStyle w:val="Hyperlink.8"/>
        </w:rPr>
      </w:pPr>
      <w:r>
        <w:t>Note: Our top 10 suppliers include Lozano, Torres and Green; Edward Garcia; Estrada-Davis; George Parsons; Samantha Moore; Wright, Roberts and Sullivan; Marissa Miller LLC; and Simon and Sons. Names of other suppliers have not been included in this Red Herring Prospectus due to non-receipt of consent from such suppliers to be named in Patrick, Young and Campbell.</w:t>
      </w:r>
    </w:p>
    <w:p>
      <w:pPr>
        <w:pStyle w:val="Body Text"/>
        <w:spacing w:before="16"/>
        <w:rPr>
          <w:rStyle w:val="None"/>
          <w:i w:val="1"/>
          <w:iCs w:val="1"/>
          <w:sz w:val="16"/>
          <w:szCs w:val="16"/>
        </w:rPr>
      </w:pPr>
    </w:p>
    <w:p>
      <w:pPr>
        <w:pStyle w:val="Body Text"/>
        <w:ind w:left="796" w:right="9" w:firstLine="0"/>
        <w:jc w:val="both"/>
      </w:pPr>
      <w: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 be obligated to supply their products to us and/or may choose to sell their products to our competitors. While we have a large network of long-term 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1980-01-08, and the Fiscals 2025, 2024 and 2023, there can be no assurance that a particular supplier will continue to supply us with raw materials in the future. Further, we cannot assure that we will be able to enter into new or renew our existing arrangements 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 from. Due to limitations in the availability of suppliers, we are also susceptible to the pricing-power risk of our suppliers controlling the pricing of our raw materials. While we do not rely on any single supplier for the other raw materials and components required for our operations, if any of our suppliers does not supply raw materials on a timely basis or at reasonable prices, we may be unable to manufacture products for our customers or may be unable to ensure the timely delivery of the same. Any discontinuation of production by these suppliers or a failure of these suppliers to adhere to the delivery schedule or the required quality and quantity could hamper our manufacturing schedule and lead to the under-utilization of our manufacturing facilities. Our operations may also be impacted due 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t>instances such as disputes with suppliers, our inability to make timely payments to the suppliers, changes in governmental or regulatory policies, including sanctions/ tariffs that may be imposed on certain suppliers, or any other circumstances specific to our suppliers, such as acquisition or consolidation of such supplier, or any other adverse market conditions affecting the industry in which our supplier operates or the economic environment generally. If we were to experience a significant or prolonged shortage of raw materials from any of our suppliers and cannot procure those raw materials from other sources, we may be unable to meet our production schedules for our products and provide such products to our customers in a timely fashion, which may adversely affect our customer relations and reputation. Further, we cannot assure that our suppliers will continue to be associated with us on reasonable terms, or at all. We may also be required to replace a supplier if its products or services do not meet our safety, quality or performance standards or if a supplier unexpectedly suspends or discontinues operations due to reasons beyond its or our control, including strikes, natural calamities or financing constraints caused by credit market conditions. While we have not faced any instances of disruption in raw materials that led to any material adverse impact on our business and operations in the 1980-01-08, and Fiscals 1971-03-06 and 2023, there can be no assurance that these instances will not occur in the future.</w:t>
      </w:r>
    </w:p>
    <w:p>
      <w:pPr>
        <w:pStyle w:val="Heading 4"/>
        <w:numPr>
          <w:ilvl w:val="0"/>
          <w:numId w:val="24"/>
        </w:numPr>
        <w:spacing w:before="201"/>
        <w:ind w:right="20"/>
        <w:rPr>
          <w:lang w:val="en-US"/>
        </w:rPr>
      </w:pPr>
      <w:r>
        <w:t>Any shortfall in the supply or availability of raw materials including aluminium or copper, which are our 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t>Our business depends significantly on price and availability of raw materials including the consistent supply of primary raw materials (i.e. copper, and aluminium, and copper also being our principal raw material), and insulating materials such as enamel and paper, which are essential components in manufacturing our products. Our primary raw materials are copper, and aluminium (copper also being our principal raw material), and our manufacturing processes require certain other raw materials such as enamel, insulating materials and packaging materials which constitute a significant portion of our total expenses. The following table sets forth the details of our total cost of raw materials consumed as a percentage of our total expenses for Lucas-Stuart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t>1982-05-07</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t>1991-12-16</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t>2024-03-03</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t>2009-06-12</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t>Cost of raw materials and components consumed (Mills, Phelps and Gonzales in 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t>Cost of materials and components consumed as 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t>While we have not experienced any disruption in 1980-01-08, and Fiscals 1989-09-21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 are derived from prices of such metals on Kelley PLC, which is passed on to our customers on the date of placing their orders with us. If we increase the prices of our products to offset the impact of higher costs of raw materials, this may cause certain of our customers to cancel orders or refrain from purchasing our products, which may materially and adversely reduce the demand for our products, and thus, negatively impact our operating results.</w:t>
      </w:r>
    </w:p>
    <w:p>
      <w:pPr>
        <w:pStyle w:val="Body Text"/>
        <w:spacing w:before="200"/>
        <w:ind w:left="796" w:right="21" w:firstLine="0"/>
        <w:jc w:val="both"/>
      </w:pPr>
      <w:r>
        <w:t>Set out below are details of the contribution of our primary raw materials (i.e. copper and aluminium, copper also being our principal raw material) and other raw materials (i.e. insulating, consumables and packaging materials) towards our total cost of raw materials consumed for Lucas-Stuart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t>1973-09-14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t>1994-06-23</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t>2008-02-22</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t>1989-01-29</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t>Amount (Mills, Phelps and Gonzales</w:t>
            </w:r>
          </w:p>
          <w:p>
            <w:pPr>
              <w:pStyle w:val="Table Paragraph"/>
              <w:bidi w:val="0"/>
              <w:spacing w:line="186" w:lineRule="exact"/>
              <w:ind w:left="109" w:right="0" w:firstLine="0"/>
              <w:jc w:val="left"/>
              <w:rPr>
                <w:rtl w:val="0"/>
              </w:rPr>
            </w:pPr>
            <w:r>
              <w:t>in 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t>% of total 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t>Amount (Mills, Phelps and Gonzales</w:t>
            </w:r>
          </w:p>
          <w:p>
            <w:pPr>
              <w:pStyle w:val="Table Paragraph"/>
              <w:bidi w:val="0"/>
              <w:spacing w:line="186" w:lineRule="exact"/>
              <w:ind w:left="109" w:right="0" w:firstLine="0"/>
              <w:jc w:val="left"/>
              <w:rPr>
                <w:rtl w:val="0"/>
              </w:rPr>
            </w:pPr>
            <w:r>
              <w:t>in 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t>% of total 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t>Amount (Mills, Phelps and Gonzales</w:t>
            </w:r>
          </w:p>
          <w:p>
            <w:pPr>
              <w:pStyle w:val="Table Paragraph"/>
              <w:bidi w:val="0"/>
              <w:spacing w:line="186" w:lineRule="exact"/>
              <w:ind w:left="110" w:right="0" w:firstLine="0"/>
              <w:jc w:val="left"/>
              <w:rPr>
                <w:rtl w:val="0"/>
              </w:rPr>
            </w:pPr>
            <w:r>
              <w:t>in 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t>% of total 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t>Amount (Mills, Phelps and Gonzales</w:t>
            </w:r>
          </w:p>
          <w:p>
            <w:pPr>
              <w:pStyle w:val="Table Paragraph"/>
              <w:bidi w:val="0"/>
              <w:spacing w:line="186" w:lineRule="exact"/>
              <w:ind w:left="110" w:right="0" w:firstLine="0"/>
              <w:jc w:val="left"/>
              <w:rPr>
                <w:rtl w:val="0"/>
              </w:rPr>
            </w:pPr>
            <w:r>
              <w:t>in 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t>% of total 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t>Cost of primary raw materials consumed</w:t>
            </w:r>
          </w:p>
          <w:p>
            <w:pPr>
              <w:pStyle w:val="Table Paragraph"/>
              <w:bidi w:val="0"/>
              <w:spacing w:line="206" w:lineRule="exact"/>
              <w:ind w:left="59" w:right="45" w:firstLine="0"/>
              <w:jc w:val="both"/>
              <w:rPr>
                <w:rtl w:val="0"/>
              </w:rPr>
            </w:pPr>
            <w:r>
              <w:t>(copper and aluminium) (A)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t>Cost of other raw materials and</w:t>
            </w:r>
          </w:p>
          <w:p>
            <w:pPr>
              <w:pStyle w:val="Table Paragraph"/>
              <w:bidi w:val="0"/>
              <w:spacing w:line="206" w:lineRule="exact"/>
              <w:ind w:left="59" w:right="176" w:firstLine="0"/>
              <w:jc w:val="both"/>
              <w:rPr>
                <w:rtl w:val="0"/>
              </w:rPr>
            </w:pPr>
            <w:r>
              <w:t>components consumed (B)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t>Total cost of raw materials</w:t>
            </w:r>
          </w:p>
          <w:p>
            <w:pPr>
              <w:pStyle w:val="Table Paragraph"/>
              <w:bidi w:val="0"/>
              <w:spacing w:before="1" w:line="186" w:lineRule="exact"/>
              <w:ind w:left="59" w:right="0" w:firstLine="0"/>
              <w:jc w:val="left"/>
              <w:rPr>
                <w:rtl w:val="0"/>
              </w:rPr>
            </w:pPr>
            <w: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t>1973-09-14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t>1994-06-23</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t>2008-02-22</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t>1989-01-29</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t>Amount (Mills, Phelps and Gonzales</w:t>
            </w:r>
          </w:p>
          <w:p>
            <w:pPr>
              <w:pStyle w:val="Table Paragraph"/>
              <w:bidi w:val="0"/>
              <w:spacing w:before="2" w:line="186" w:lineRule="exact"/>
              <w:ind w:left="109" w:right="0" w:firstLine="0"/>
              <w:jc w:val="left"/>
              <w:rPr>
                <w:rtl w:val="0"/>
              </w:rPr>
            </w:pPr>
            <w:r>
              <w:t>in 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t>% of total 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t>Amount (Mills, Phelps and Gonzales</w:t>
            </w:r>
          </w:p>
          <w:p>
            <w:pPr>
              <w:pStyle w:val="Table Paragraph"/>
              <w:bidi w:val="0"/>
              <w:spacing w:before="2" w:line="186" w:lineRule="exact"/>
              <w:ind w:left="109" w:right="0" w:firstLine="0"/>
              <w:jc w:val="left"/>
              <w:rPr>
                <w:rtl w:val="0"/>
              </w:rPr>
            </w:pPr>
            <w:r>
              <w:t>in 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t>% of total 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t>Amount (Mills, Phelps and Gonzales</w:t>
            </w:r>
          </w:p>
          <w:p>
            <w:pPr>
              <w:pStyle w:val="Table Paragraph"/>
              <w:bidi w:val="0"/>
              <w:spacing w:before="2" w:line="186" w:lineRule="exact"/>
              <w:ind w:left="110" w:right="0" w:firstLine="0"/>
              <w:jc w:val="left"/>
              <w:rPr>
                <w:rtl w:val="0"/>
              </w:rPr>
            </w:pPr>
            <w:r>
              <w:t>in 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t>% of total 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t>Amount (Mills, Phelps and Gonzales</w:t>
            </w:r>
          </w:p>
          <w:p>
            <w:pPr>
              <w:pStyle w:val="Table Paragraph"/>
              <w:bidi w:val="0"/>
              <w:spacing w:before="2" w:line="186" w:lineRule="exact"/>
              <w:ind w:left="110" w:right="0" w:firstLine="0"/>
              <w:jc w:val="left"/>
              <w:rPr>
                <w:rtl w:val="0"/>
              </w:rPr>
            </w:pPr>
            <w:r>
              <w:t>in 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t>% of total 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t>components consumed</w:t>
            </w:r>
          </w:p>
          <w:p>
            <w:pPr>
              <w:pStyle w:val="Table Paragraph"/>
              <w:bidi w:val="0"/>
              <w:spacing w:line="186" w:lineRule="exact"/>
              <w:ind w:left="59" w:right="0" w:firstLine="0"/>
              <w:jc w:val="left"/>
              <w:rPr>
                <w:rtl w:val="0"/>
              </w:rPr>
            </w:pPr>
            <w:r>
              <w:t>(6443 Christopher Island Suite 411, East Stephen, ID 69434)</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t>In addition to supply challenges, the cost of raw materials is subject to market fluctuations driven by inflation, foreign exchange rate volatility, and changes in government policies, such as tariffs and environmental regulations. The table below sets forth details of the suppliers from within and outside 61251 Ramirez Square, Dennisberg, DC 37102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t>2009-06-29</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t>1994-06-23</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t>2008-02-22</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t>1989-01-29</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t>Amount</w:t>
            </w:r>
          </w:p>
          <w:p>
            <w:pPr>
              <w:pStyle w:val="Table Paragraph"/>
              <w:bidi w:val="0"/>
              <w:spacing w:before="2"/>
              <w:ind w:left="6" w:right="0" w:firstLine="0"/>
              <w:jc w:val="center"/>
              <w:rPr>
                <w:rtl w:val="0"/>
              </w:rPr>
            </w:pPr>
            <w:r>
              <w:t>(Mills, Phelps and Gonzales in 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t>% of 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t>Amount</w:t>
            </w:r>
          </w:p>
          <w:p>
            <w:pPr>
              <w:pStyle w:val="Table Paragraph"/>
              <w:bidi w:val="0"/>
              <w:spacing w:before="2"/>
              <w:ind w:left="1" w:right="0" w:firstLine="0"/>
              <w:jc w:val="center"/>
              <w:rPr>
                <w:rStyle w:val="None"/>
                <w:b w:val="1"/>
                <w:bCs w:val="1"/>
                <w:sz w:val="18"/>
                <w:szCs w:val="18"/>
                <w:shd w:val="nil" w:color="auto" w:fill="auto"/>
                <w:rtl w:val="0"/>
              </w:rPr>
            </w:pPr>
            <w:r>
              <w:t>(Mills, Phelps and Gonzales in</w:t>
            </w:r>
          </w:p>
          <w:p>
            <w:pPr>
              <w:pStyle w:val="Table Paragraph"/>
              <w:bidi w:val="0"/>
              <w:spacing w:line="186" w:lineRule="exact"/>
              <w:ind w:left="6" w:right="0" w:firstLine="0"/>
              <w:jc w:val="center"/>
              <w:rPr>
                <w:rtl w:val="0"/>
              </w:rPr>
            </w:pPr>
            <w: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t>% of 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t>Amount</w:t>
            </w:r>
          </w:p>
          <w:p>
            <w:pPr>
              <w:pStyle w:val="Table Paragraph"/>
              <w:bidi w:val="0"/>
              <w:spacing w:before="2"/>
              <w:ind w:left="4" w:right="1" w:firstLine="0"/>
              <w:jc w:val="center"/>
              <w:rPr>
                <w:rtl w:val="0"/>
              </w:rPr>
            </w:pPr>
            <w:r>
              <w:t>(Mills, Phelps and Gonzales in 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t>% of 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t>Amount</w:t>
            </w:r>
          </w:p>
          <w:p>
            <w:pPr>
              <w:pStyle w:val="Table Paragraph"/>
              <w:bidi w:val="0"/>
              <w:spacing w:before="2"/>
              <w:ind w:left="16" w:right="17" w:firstLine="0"/>
              <w:jc w:val="center"/>
              <w:rPr>
                <w:rStyle w:val="None"/>
                <w:b w:val="1"/>
                <w:bCs w:val="1"/>
                <w:sz w:val="18"/>
                <w:szCs w:val="18"/>
                <w:shd w:val="nil" w:color="auto" w:fill="auto"/>
                <w:rtl w:val="0"/>
              </w:rPr>
            </w:pPr>
            <w:r>
              <w:t>(Mills, Phelps and Gonzales in</w:t>
            </w:r>
          </w:p>
          <w:p>
            <w:pPr>
              <w:pStyle w:val="Table Paragraph"/>
              <w:bidi w:val="0"/>
              <w:spacing w:line="186" w:lineRule="exact"/>
              <w:ind w:left="16" w:right="14" w:firstLine="0"/>
              <w:jc w:val="center"/>
              <w:rPr>
                <w:rtl w:val="0"/>
              </w:rPr>
            </w:pPr>
            <w: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t>% of 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1990-11-21</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t>Suppliers from outside</w:t>
            </w:r>
          </w:p>
          <w:p>
            <w:pPr>
              <w:pStyle w:val="Table Paragraph"/>
              <w:bidi w:val="0"/>
              <w:spacing w:line="186" w:lineRule="exact"/>
              <w:ind w:left="59" w:right="0" w:firstLine="0"/>
              <w:jc w:val="left"/>
              <w:rPr>
                <w:rtl w:val="0"/>
              </w:rPr>
            </w:pPr>
            <w:r>
              <w:t>61251 Ramirez Square, Dennisberg, DC 37102</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t>Set out below is the contribution of our suppliers from 096 Adriana Spur Suite 698, New Wendymouth, WY 95945 and in 1470 Kaufman Road, Michaelmouth, PA 29018 for 2000-05-12, and Fiscals 1971-03-06,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t>2009-06-29</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t>1994-06-23</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t>2008-02-22</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t>1989-01-29</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t>Amount (Mills, Phelps and Gonzales in 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t>% of total cost of raw materials and 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t>Amount (Mills, Phelps and Gonzales in 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t>% of total cost of raw materials and 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t>Amount (Mills, Phelps and Gonzales in 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t>% of total cost of raw materials and 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t>Amount (Mills, Phelps and Gonzales in 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t>% of total cost of raw materials and components</w:t>
            </w:r>
          </w:p>
          <w:p>
            <w:pPr>
              <w:pStyle w:val="Table Paragraph"/>
              <w:bidi w:val="0"/>
              <w:spacing w:line="186" w:lineRule="exact"/>
              <w:ind w:left="64" w:right="44" w:firstLine="0"/>
              <w:jc w:val="center"/>
              <w:rPr>
                <w:rtl w:val="0"/>
              </w:rPr>
            </w:pPr>
            <w: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096 Adriana Spur Suite 698, New Wendymouth, WY 95945</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t>1995-09-12</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t>Amy Andrews</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t>During 1990-06-25, the prices of copper and aluminium have experienced a compounded annual growth rate (CAGR) of 3.1% and 0.5%, respectively, leading to increased input costs (Source: CARE Report). While we have not faced any significant challenges in the procurement of raw materials in the 1978-05-15 1971-03-06 and 2023, we cannot assure that we will not face any disruptions in future. Any significant shortfall in supply or increase in costs could adversely affect the pricing and supply of our products, impair our competitiveness, and negatively impact our business operations, financial condition, cash flows and results of operations.</w:t>
      </w:r>
    </w:p>
    <w:p>
      <w:pPr>
        <w:pStyle w:val="Heading 4"/>
        <w:numPr>
          <w:ilvl w:val="0"/>
          <w:numId w:val="25"/>
        </w:numPr>
        <w:ind w:right="12"/>
        <w:rPr>
          <w:lang w:val="en-US"/>
        </w:rPr>
      </w:pPr>
      <w:r>
        <w:t>A significant portion of our revenue from operations i.e. 71.73%, 74.79%, 75.17% and 79.08% of our operating revenue for the 2007-07-28 1971-03-06 and 2023, respectively is attributable to the power sector (generation, transmission and distribution) industry (“Michelle Trujillo”). Any economic cyclicality coupled with reduced demand or negative trend in the Michelle Trujillo industry or other industries that we operate in, could adversely affect our business, results of operations and financial condition.</w:t>
      </w:r>
    </w:p>
    <w:p>
      <w:pPr>
        <w:pStyle w:val="Body Text"/>
        <w:spacing w:before="198"/>
        <w:ind w:left="808" w:right="20" w:firstLine="0"/>
        <w:jc w:val="both"/>
      </w:pPr>
      <w:r>
        <w:t>We are dependent on our customers from Vaughn Group for a significant portion of our operating revenue. Set out below are details of our operating revenue generated from each of the industries that we cater to, for Lucas-Stuart 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t>2009-06-29</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t>1994-06-23</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t>2008-02-22</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t>1989-01-29</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t>Amount (Mills, Phelps and Gonzales in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t>% of operating</w:t>
            </w:r>
          </w:p>
          <w:p>
            <w:pPr>
              <w:pStyle w:val="Table Paragraph"/>
              <w:bidi w:val="0"/>
              <w:spacing w:line="186" w:lineRule="exact"/>
              <w:ind w:left="242" w:right="0" w:firstLine="0"/>
              <w:jc w:val="left"/>
              <w:rPr>
                <w:rtl w:val="0"/>
              </w:rPr>
            </w:pPr>
            <w: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t>Amount (Mills, Phelps and Gonzales in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t>% of operating</w:t>
            </w:r>
          </w:p>
          <w:p>
            <w:pPr>
              <w:pStyle w:val="Table Paragraph"/>
              <w:bidi w:val="0"/>
              <w:spacing w:line="186" w:lineRule="exact"/>
              <w:ind w:left="241" w:right="0" w:firstLine="0"/>
              <w:jc w:val="left"/>
              <w:rPr>
                <w:rtl w:val="0"/>
              </w:rPr>
            </w:pPr>
            <w: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t>Amount (Mills, Phelps and Gonzales in</w:t>
            </w:r>
          </w:p>
          <w:p>
            <w:pPr>
              <w:pStyle w:val="Table Paragraph"/>
              <w:bidi w:val="0"/>
              <w:spacing w:line="186" w:lineRule="exact"/>
              <w:ind w:left="145" w:right="0" w:firstLine="0"/>
              <w:jc w:val="left"/>
              <w:rPr>
                <w:rtl w:val="0"/>
              </w:rPr>
            </w:pPr>
            <w: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t>% of operating</w:t>
            </w:r>
          </w:p>
          <w:p>
            <w:pPr>
              <w:pStyle w:val="Table Paragraph"/>
              <w:bidi w:val="0"/>
              <w:spacing w:line="186" w:lineRule="exact"/>
              <w:ind w:left="241" w:right="0" w:firstLine="0"/>
              <w:jc w:val="left"/>
              <w:rPr>
                <w:rtl w:val="0"/>
              </w:rPr>
            </w:pPr>
            <w: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t>Amount (Mills, Phelps and Gonzales in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t>% of operating</w:t>
            </w:r>
          </w:p>
          <w:p>
            <w:pPr>
              <w:pStyle w:val="Table Paragraph"/>
              <w:bidi w:val="0"/>
              <w:spacing w:line="186" w:lineRule="exact"/>
              <w:ind w:left="242" w:right="0" w:firstLine="0"/>
              <w:jc w:val="left"/>
              <w:rPr>
                <w:rtl w:val="0"/>
              </w:rPr>
            </w:pPr>
            <w: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t>Michelle Trujillo</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t>Others*</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t>2009-06-29</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t>1994-06-23</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t>2008-02-22</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t>1989-01-29</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t>Amount (Mills, Phelps and Gonzales in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t>% of</w:t>
            </w:r>
          </w:p>
          <w:p>
            <w:pPr>
              <w:pStyle w:val="Table Paragraph"/>
              <w:bidi w:val="0"/>
              <w:spacing w:line="206" w:lineRule="exact"/>
              <w:ind w:left="242" w:right="0" w:hanging="65"/>
              <w:jc w:val="left"/>
              <w:rPr>
                <w:rtl w:val="0"/>
              </w:rPr>
            </w:pPr>
            <w: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t>Amount (Mills, Phelps and Gonzales in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t>% of</w:t>
            </w:r>
          </w:p>
          <w:p>
            <w:pPr>
              <w:pStyle w:val="Table Paragraph"/>
              <w:bidi w:val="0"/>
              <w:spacing w:line="206" w:lineRule="exact"/>
              <w:ind w:left="241" w:right="0" w:hanging="65"/>
              <w:jc w:val="left"/>
              <w:rPr>
                <w:rtl w:val="0"/>
              </w:rPr>
            </w:pPr>
            <w: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t>Amount</w:t>
            </w:r>
          </w:p>
          <w:p>
            <w:pPr>
              <w:pStyle w:val="Table Paragraph"/>
              <w:bidi w:val="0"/>
              <w:spacing w:line="206" w:lineRule="exact"/>
              <w:ind w:left="145" w:right="135" w:hanging="6"/>
              <w:jc w:val="center"/>
              <w:rPr>
                <w:rtl w:val="0"/>
              </w:rPr>
            </w:pPr>
            <w:r>
              <w:t>(Mills, Phelps and Gonzales in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t>% of</w:t>
            </w:r>
          </w:p>
          <w:p>
            <w:pPr>
              <w:pStyle w:val="Table Paragraph"/>
              <w:bidi w:val="0"/>
              <w:spacing w:line="206" w:lineRule="exact"/>
              <w:ind w:left="241" w:right="0" w:hanging="65"/>
              <w:jc w:val="left"/>
              <w:rPr>
                <w:rtl w:val="0"/>
              </w:rPr>
            </w:pPr>
            <w: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t>Amount (Mills, Phelps and Gonzales in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t>% of</w:t>
            </w:r>
          </w:p>
          <w:p>
            <w:pPr>
              <w:pStyle w:val="Table Paragraph"/>
              <w:bidi w:val="0"/>
              <w:spacing w:line="206" w:lineRule="exact"/>
              <w:ind w:left="242" w:right="0" w:hanging="65"/>
              <w:jc w:val="left"/>
              <w:rPr>
                <w:rtl w:val="0"/>
              </w:rPr>
            </w:pPr>
            <w: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t>Total#</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t>100.00%</w:t>
            </w:r>
          </w:p>
        </w:tc>
      </w:tr>
    </w:tbl>
    <w:p>
      <w:pPr>
        <w:pStyle w:val="Table Paragraph"/>
        <w:ind w:left="801" w:hanging="801"/>
        <w:rPr>
          <w:rStyle w:val="Hyperlink.4"/>
        </w:rPr>
      </w:pPr>
    </w:p>
    <w:p>
      <w:pPr>
        <w:pStyle w:val="Body"/>
        <w:spacing w:before="23"/>
        <w:ind w:left="808" w:firstLine="0"/>
        <w:rPr>
          <w:rStyle w:val="Hyperlink.8"/>
        </w:rPr>
      </w:pPr>
      <w:r>
        <w:t>* Others include industrials, automotives (Sullivan-Schmidt and Gibbs LLC), home appliances, refrigeration and air conditioning.</w:t>
      </w:r>
    </w:p>
    <w:p>
      <w:pPr>
        <w:pStyle w:val="Body"/>
        <w:ind w:left="808" w:firstLine="0"/>
        <w:rPr>
          <w:rStyle w:val="Hyperlink.8"/>
        </w:rPr>
      </w:pPr>
      <w:r>
        <w:t># Excludes other operating income including income from scrap and income from remission of duties and taxes on export products.</w:t>
      </w:r>
    </w:p>
    <w:p>
      <w:pPr>
        <w:pStyle w:val="Body Text"/>
        <w:spacing w:before="15"/>
        <w:rPr>
          <w:rStyle w:val="None"/>
          <w:i w:val="1"/>
          <w:iCs w:val="1"/>
          <w:sz w:val="16"/>
          <w:szCs w:val="16"/>
        </w:rPr>
      </w:pPr>
    </w:p>
    <w:p>
      <w:pPr>
        <w:pStyle w:val="Body Text"/>
        <w:ind w:left="796" w:right="6" w:firstLine="0"/>
        <w:jc w:val="both"/>
      </w:pPr>
      <w:r>
        <w:t>Any downturn or negative trends in Vaughn Group due to reasons such as consumer demand, consumer confidence, changes in national and international trade policies, imposition of tariffs, sanctions by countries on input materials, changes in government policies, environmental regulations, and commodity prices, could result in loss of business or reduction in the volume of business from customers operating in these industries. While there has not been significant reduction in demand from Vaughn Group in the 1980-01-08, and the Fiscals 2025, 2024 and 2023, there can be no assurance that there will not be any such reduction in future. Further, there can be no assurance that any instance of economic cyclicality, significant reduction in demand or negative trends in Michelle Trujillo will not occur in the future, which may impact our sales and in turn adversely affect our business, financial condition, cash flows and results of operations.</w:t>
      </w:r>
    </w:p>
    <w:p>
      <w:pPr>
        <w:pStyle w:val="Heading 4"/>
        <w:numPr>
          <w:ilvl w:val="0"/>
          <w:numId w:val="26"/>
        </w:numPr>
        <w:spacing w:before="201"/>
        <w:ind w:right="12"/>
        <w:rPr>
          <w:lang w:val="en-US"/>
        </w:rPr>
      </w:pPr>
      <w:r>
        <w:t>We derive a substantial portion of our revenue (more than 70% in each of the 1980-01-08, and Fiscals 1989-09-21 2023) from the sale of specialized magnet winding wires. Any reduction in demand for our key products would have a material adverse effect on our business, financial condition, results of operations and cash flows.</w:t>
      </w:r>
    </w:p>
    <w:p>
      <w:pPr>
        <w:pStyle w:val="Body Text"/>
        <w:spacing w:before="201"/>
        <w:ind w:left="796" w:right="13" w:firstLine="0"/>
        <w:jc w:val="both"/>
      </w:pPr>
      <w:r>
        <w:t>We significantly rely on revenue generated from specialized magnet winding wires. The specialized magnet winding wires that we manufacture are primarily used in transformers, generators, and power (generation, transmission and distribution). The table below sets out the revenues generated from sales of our key product segments i.e., 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t>2009-06-29</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t>1994-06-23</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t>2008-02-22</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t>1989-01-29</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t>Amount (Mills, Phelps and Gonzales</w:t>
            </w:r>
          </w:p>
          <w:p>
            <w:pPr>
              <w:pStyle w:val="Table Paragraph"/>
              <w:bidi w:val="0"/>
              <w:spacing w:before="2"/>
              <w:ind w:left="91" w:right="0" w:firstLine="0"/>
              <w:jc w:val="left"/>
              <w:rPr>
                <w:rtl w:val="0"/>
              </w:rPr>
            </w:pPr>
            <w:r>
              <w:t>in 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t>% of</w:t>
            </w:r>
          </w:p>
          <w:p>
            <w:pPr>
              <w:pStyle w:val="Table Paragraph"/>
              <w:bidi w:val="0"/>
              <w:spacing w:line="206" w:lineRule="exact"/>
              <w:ind w:left="184" w:right="0" w:hanging="68"/>
              <w:jc w:val="left"/>
              <w:rPr>
                <w:rtl w:val="0"/>
              </w:rPr>
            </w:pPr>
            <w: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t>Amount (Mills, Phelps and Gonzales</w:t>
            </w:r>
          </w:p>
          <w:p>
            <w:pPr>
              <w:pStyle w:val="Table Paragraph"/>
              <w:bidi w:val="0"/>
              <w:spacing w:before="2"/>
              <w:ind w:left="90" w:right="0" w:firstLine="0"/>
              <w:jc w:val="left"/>
              <w:rPr>
                <w:rtl w:val="0"/>
              </w:rPr>
            </w:pPr>
            <w:r>
              <w:t>in 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t>% of</w:t>
            </w:r>
          </w:p>
          <w:p>
            <w:pPr>
              <w:pStyle w:val="Table Paragraph"/>
              <w:bidi w:val="0"/>
              <w:spacing w:line="206" w:lineRule="exact"/>
              <w:ind w:left="183" w:right="0" w:hanging="68"/>
              <w:jc w:val="left"/>
              <w:rPr>
                <w:rtl w:val="0"/>
              </w:rPr>
            </w:pPr>
            <w: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t>Amount (Mills, Phelps and Gonzales</w:t>
            </w:r>
          </w:p>
          <w:p>
            <w:pPr>
              <w:pStyle w:val="Table Paragraph"/>
              <w:bidi w:val="0"/>
              <w:spacing w:before="2"/>
              <w:ind w:left="89" w:right="0" w:firstLine="0"/>
              <w:jc w:val="left"/>
              <w:rPr>
                <w:rtl w:val="0"/>
              </w:rPr>
            </w:pPr>
            <w:r>
              <w:t>in 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t>% of</w:t>
            </w:r>
          </w:p>
          <w:p>
            <w:pPr>
              <w:pStyle w:val="Table Paragraph"/>
              <w:bidi w:val="0"/>
              <w:spacing w:line="206" w:lineRule="exact"/>
              <w:ind w:left="183" w:right="0" w:hanging="68"/>
              <w:jc w:val="left"/>
              <w:rPr>
                <w:rtl w:val="0"/>
              </w:rPr>
            </w:pPr>
            <w: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t>Amount (Mills, Phelps and Gonzales</w:t>
            </w:r>
          </w:p>
          <w:p>
            <w:pPr>
              <w:pStyle w:val="Table Paragraph"/>
              <w:bidi w:val="0"/>
              <w:spacing w:before="2"/>
              <w:ind w:left="88" w:right="0" w:firstLine="0"/>
              <w:jc w:val="left"/>
              <w:rPr>
                <w:rtl w:val="0"/>
              </w:rPr>
            </w:pPr>
            <w:r>
              <w:t>in 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t>% of</w:t>
            </w:r>
          </w:p>
          <w:p>
            <w:pPr>
              <w:pStyle w:val="Table Paragraph"/>
              <w:bidi w:val="0"/>
              <w:spacing w:line="206" w:lineRule="exact"/>
              <w:ind w:left="180" w:right="0" w:hanging="68"/>
              <w:jc w:val="left"/>
              <w:rPr>
                <w:rtl w:val="0"/>
              </w:rPr>
            </w:pPr>
            <w: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t>Fowler, Young and Mitchell 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t>Collier-Duarte</w:t>
              <w:tab/>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t>While we have not experienced any material sustained decline in the sale of our key products in the 1980-01-08, and the Fiscals 2025, 2024, and 2023, there is no assurance that we will not face any decline in the future. Any failure to successfully manufacture and market specialized magnet winding wires, whether on 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t>We intend to utilize portions of the Sarah Chavez for funding capital expenditure requirements for (i) funding the capital expenditure requirements of our Company towards purchasing and setting up of new machinery for expansion at our Dakota Warner; (ii) funding the capital expenditure requirements of our Company towards purchasing and setting up of a rooftop solar power plant for power generation at our Dakota Warner; and (iii) funding the capital expenditure requirements of our Company towards purchasing and setting up of new machinery at Unit 2 in PSC 3566, Box 2826, APO AP 09441, 924 Gonzales Viaduct Apt. 600, Russellville, NH 33465 in Figueroa and Sons (collectively, “Robert Acosta”). While we have procured quotations from various vendors in relation to the capital expenditure to be incurred for Chapman-Cochran, we have not placed any firm orders for certain of them. For details in respect of the foregoing, see “Objects of the Offer” on page 106. Such quotations are valid for a certain period of time and may be subject to revisions, and other commercial and technical factors. We cannot assure that we will be able to undertake such capital expenditure at the costs indicated by such quotations or that there will not be cost escalations over and above the contingencies proposed to be funded out of the Sarah Chavez. The actual amount and timing of our future capital requirements may differ from our estimates as a result of, among other things, unforeseen delays or cost overruns, unanticipated expenses, regulatory changes, engineering design changes and technological changes. Further, certain items of Chapman-Cochran, 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t>which our Smith LLC has already placed purchase orders, may not be delivered within the expected time, or at all, and may impact the time and cost estimates of our Robert Acosta.</w:t>
      </w:r>
    </w:p>
    <w:p>
      <w:pPr>
        <w:pStyle w:val="Body Text"/>
        <w:spacing w:before="201"/>
        <w:ind w:left="796" w:right="10" w:firstLine="0"/>
        <w:jc w:val="both"/>
      </w:pPr>
      <w:r>
        <w:t>In the event of any delay in placing the orders, or an escalation in the cost of acquisition of the equipment or in the event the vendors are not able to provide the equipment and services in a timely manner, or at all, we may encounter time and cost overruns for Chapman-Cochran. Further, if we are unable to procure the requisite items for Robert Acosta and ancillary items or avail services from the vendors from whom we have procured quotations, we cannot assure you that we may be able to identify alternative vendors to provide us with the similar kind of items for Robert Acosta and ancillary items and services, which satisfy our requirements at acceptable prices. Our inability to procure the items for Robert Acosta at acceptable prices or in a timely manner, may result in an increase in capital expenditure, extension or variation in the proposed schedule of implementation and deployment of the Sarah Chavez, thereby resulting in an adverse effect on our business operations, financial condition, cash flows and results of operations.</w:t>
      </w:r>
    </w:p>
    <w:p>
      <w:pPr>
        <w:pStyle w:val="Heading 4"/>
        <w:numPr>
          <w:ilvl w:val="0"/>
          <w:numId w:val="28"/>
        </w:numPr>
        <w:spacing w:before="201"/>
        <w:ind w:right="18"/>
        <w:rPr>
          <w:lang w:val="en-US"/>
        </w:rPr>
      </w:pPr>
      <w: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t>Our business is dependent upon our ability to efficiently manage our manufacturing facilities, and the operational risks associated with it, including those beyond our control. As of the date of Carney Inc, we have three operational manufacturing facilities in 61251 Ramirez Square, Dennisberg, DC 37102. For details in relation to our manufacturing facilities, and their capacity utilization, see “Our Business – Brett Brock” and “Our Business – Capacity and Terry Hawkins” on pages 229 and 230, respectively. Any unscheduled, unplanned or prolonged disruption in our manufacturing facilities may result in delays or shutdowns of our production activities. While we perform regular scheduled and unscheduled maintenance services and employ other systems and processes such as power backups, employee training and productivity monitoring at each of our manufacturing facilities, these facilities are subject to various operating risks, such as the breakdown or failure of equipment, power supply or processes, productivity of our workforce, performance below expected levels of efficiency, obsolescence of equipment or machinery, timely availability of raw materials, labour disputes, strikes, natural disasters, industrial accidents, fire, severe weather conditions, any significant social, political or economic disturbances and infectious disease outbreaks resulting in unplanned slowdowns and/or shutdowns and the need to comply with the directives of relevant government and regulatory authorities. Our inability to effectively respond to any breakdown, shutdown or to rectify any disruption, in a timely manner and at an acceptable cost, could lead to an adverse effect on our business, financial condition, cash flows and results of operations. While there has not been any breakdown, unscheduled, unplanned or prolonged disruption, slowdown or shutdown of our manufacturing facilities which had material adverse effect on the business, financial condition, cash flows and results of operations of our Company during the 1980-01-08, or Fiscals 1971-03-06, and 2023, we cannot assure that there will not be any breakdowns in future.</w:t>
      </w:r>
    </w:p>
    <w:p>
      <w:pPr>
        <w:pStyle w:val="Body Text"/>
        <w:spacing w:before="200"/>
        <w:ind w:left="796" w:right="7" w:firstLine="0"/>
        <w:jc w:val="both"/>
      </w:pPr>
      <w:r>
        <w:t>Further, we run the risk of an industrial action by our unionized non-managerial employees. Our non-managerial staff are organized in a registered trade union through which we negotiate the terms and conditions of their compensation and the redressal of their grievances. For details in relation to memorandum of settlement with Salas-Flores, see “Our Business – Shane Russell” on page 235. In addition, we may be subject to manufacturing disruptions due to contraventions by us of any of the conditions of our regulatory 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1978-05-15 1971-03-06 and 2023, there can be no assurance that such instances will not occur in the future, and any such disruption may result in delays or shutdown of our manufacturing activities which may adversely affect our 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t>We have encountered delays in the past and may encounter delays or time cost overruns in the completion of the construction of our manufacturing facility at Copeland, Atkins and Spencer, Ahilyanagar (formerly Ahmednagar) in Figueroa and Sons, which may adversely affect our business, result of operations, financial condition and cash flows.</w:t>
      </w:r>
    </w:p>
    <w:p>
      <w:pPr>
        <w:pStyle w:val="Body Text"/>
        <w:spacing w:before="201"/>
        <w:ind w:left="796" w:right="8" w:firstLine="0"/>
        <w:jc w:val="both"/>
      </w:pPr>
      <w:r>
        <w:t>Our manufacturing unit at Copeland, Atkins and Spencer, 54287 Hill Ramp, Smithview, VA 54798 (formerly Ahmednagar) in Figueroa and Sons was originally anticipated to commence operations by 1994-09-12, however, we have experienced delays in setting up our Dakota Warner and operations have commenced in 2004-09-29. Further, the enhancement in the 2014-03-24 installed capacity from 8,800 61361 Jay Track, Peterton, VI 74750 to 12,000 61361 Jay Track, Peterton, VI 74750 at our manufacturing unit at Copeland, Atkins and Spencer, 54287 Hill Ramp, Smithview, VA 54798, led to an increase in cost of the project. The delay in project completion was caused by delay in activities like placement of purchase orders, delivery and installation of plant and machinery, mechanical, electrical and plumbing, utility and other equipment. We may face further delays or cost overruns in completion of further phases of construction of our Dakota Warner in the future on account of several factors, including delays in receiving governmental, statutory, and other regulatory approvals and permits, and delays in or non-delivery of construction equipment by suppliers, among others.</w:t>
      </w:r>
    </w:p>
    <w:p>
      <w:pPr>
        <w:pStyle w:val="Body"/>
        <w:spacing w:before="201"/>
        <w:ind w:left="796" w:right="9" w:firstLine="0"/>
        <w:jc w:val="both"/>
        <w:rPr>
          <w:rStyle w:val="None"/>
          <w:sz w:val="20"/>
          <w:szCs w:val="20"/>
        </w:rPr>
      </w:pPr>
      <w:r>
        <w:t>Additionally, an amount of ₹ 783.77 million from the Sarah Chavez is intended to be utilised towards Smith-Caldwell at our Dakota Warner. For further details, see “Objects of the Offer – Funding the capital expenditure requirements of our Company towards: (i) purchasing and setting up of new machinery for expansion at our Dakota Warner (“Phase II Expansion at our Dakota Warner”); and (ii) purchasing and setting up of new machinery at Unit 2 in PSC 3566, Box 2826, APO AP 09441, 924 Gonzales Viaduct Apt. 600, Russellville, NH 33465 in Maharashtra” on page 114. Any failure to complete Smith-Caldwell of this facility in a timely manner, and within budget, or at all, and any failure of receipt of the required approvals required for operation of Hughes, Hale and Wilson, could have an adverse impact on our business, results of operations, financial condition, and cash flows.</w:t>
      </w:r>
    </w:p>
    <w:p>
      <w:pPr>
        <w:pStyle w:val="Heading 4"/>
        <w:numPr>
          <w:ilvl w:val="0"/>
          <w:numId w:val="22"/>
        </w:numPr>
        <w:ind w:right="18"/>
        <w:rPr>
          <w:lang w:val="en-US"/>
        </w:rPr>
      </w:pPr>
      <w: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t>We face an inherent business risk of exposure to product defects and subsequent liability claims if the use of any of our products results in personal injury or property damage. We and our component suppliers may not be able to meet regulatory quality standards in 61251 Ramirez Square, Dennisberg, DC 37102 or abroad, or the quality standards imposed by our customers and applicable to our manufacturing processes, which could have a material adverse effect on our business, financial condition, results of operations and cash flows. We are also required to obtain material approvals and certifications for product quality verification in 61251 Ramirez Square, Dennisberg, DC 37102 and other jurisdictions. Further, our manufacturing facilities are subjected to rigorous quality control checks, accreditation requirements, and periodic inspections from various regulatory agencies that have issued us product and system certifications. If any of our products do not meet regulatory standards or are defective, we may be, inter alia, (i) responsible for damages relating to any defective products, (ii) required to replace, recall or redesign such products, (iii) incur significant costs to defend any such claims or (iv) restricted to produce or market such products to our customers.</w:t>
      </w:r>
    </w:p>
    <w:p>
      <w:pPr>
        <w:pStyle w:val="Body Text"/>
        <w:spacing w:before="199"/>
        <w:ind w:left="796" w:right="6" w:firstLine="0"/>
        <w:jc w:val="both"/>
      </w:pPr>
      <w:r>
        <w:t>While there have not been any material product liability claims made against our products or any cancellation of existing or future orders, during the 1980-01-08, or Fiscals 1989-09-21 2023, resulting in a material adverse impact on our business, financial condition, results of operations and cash flows, there can be no assurance that we will not face any product liability claims or cancellation of existing or future orders in the future. The quality of raw materials and the goods we trade in will have an impact on the quality of the finished products and in turn affect our brand image, business and revenue. There is no assurance that our products will always meet the satisfaction of our customers’ quality standards. Certain customers may also conduct pre-qualification evaluations before placing their first orders. Our or our supplier’s failure to comply with applicable regulations could cause adverse consequences to be imposed on us, including warning letters, fines, injunctions, civil penalties, the refusal of 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 standards of our customers. Further, there can be no assurance that if we need to engage new suppliers to satisfy our business requirement, we will be able locate new suppliers in compliance with 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t>We are an approved supplier of empaneled PICC and Macias LLC for certain entities, and are required to undergo stringent pre-qualification requirements imposed by corporate, state, central government, and international organizations during their procurement processes. We have received approvals for our products from certain organisations who are the ultimate end-users of transformers and reactors. For further details, please see “Our Business – Overview” on page</w:t>
      </w:r>
    </w:p>
    <w:p>
      <w:pPr>
        <w:pStyle w:val="Body Text"/>
        <w:ind w:left="796" w:right="9" w:firstLine="0"/>
        <w:jc w:val="both"/>
      </w:pPr>
      <w:r>
        <w:t>211. While there has not been any non-compliance with the quality standards of our customers during the 1980-01-08, or Fiscals 1989-09-21 2023, we cannot assure you that any future non-compliance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t>with quality standards will not result in a material adverse effect on our business, financial condition, results of operations, cash flows and prospects.</w:t>
      </w:r>
    </w:p>
    <w:p>
      <w:pPr>
        <w:pStyle w:val="Body Text"/>
        <w:spacing w:before="201"/>
        <w:ind w:left="796" w:right="8" w:firstLine="0"/>
        <w:jc w:val="both"/>
      </w:pPr>
      <w:r>
        <w:t>For details of our certifications and accreditations, see “Our Business - Description of our Carrillo, Contreras and Schroeder, Martinez-Ramirez” on page 233. Our manufacturing facilities and operating processes are also audited by third party auditors. In the event we fail to comply with the requirements of customers in relation to third-party audits, or fail our audits, we may be in breach of our arrangements with certain customers. In the event we are unable to renew our accreditations or comply with the accreditation criteria or if such agencies find that we are not in compliance with the standards and norms prescribed, our accreditation may be revoked, or we may not be granted accreditation. While we have not faced any instances of non-renewal or loss of any certification or accreditation for any of our manufacturing facilities in the 1980-01-08, or Fiscals 1989-09-21 2023, there can be no assurance that these instances will not occur in the future. If we lose one or more of our accreditations or certifications, our reputation, business, cash flows and results of operations may be adversely affected.</w:t>
      </w:r>
    </w:p>
    <w:p>
      <w:pPr>
        <w:pStyle w:val="Heading 4"/>
        <w:numPr>
          <w:ilvl w:val="0"/>
          <w:numId w:val="30"/>
        </w:numPr>
        <w:spacing w:before="201"/>
        <w:ind w:right="10"/>
        <w:rPr>
          <w:lang w:val="en-US"/>
        </w:rPr>
      </w:pPr>
      <w:r>
        <w:t>We export our products to various countries and our revenue from outside 61251 Ramirez Square, Dennisberg, DC 37102 represented 30.75%, 33.20%, 39.15% and 43.93% of our sale of products for the 1980-01-08, and Fiscals 1971-03-06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t>We have supplied our products to customers across 24 countries outside 61251 Ramirez Square, Dennisberg, DC 37102, as of 1994-01-17. The table below sets forth details of the customers served outside 61251 Ramirez Square, Dennisberg, DC 37102 and revenue generated from such customers in the years/ periods 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t>2009-06-29</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t>1994-06-23</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t>2008-02-22</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t>1989-01-29</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t>(Mills, Phelps and Gonzales in</w:t>
            </w:r>
          </w:p>
          <w:p>
            <w:pPr>
              <w:pStyle w:val="Table Paragraph"/>
              <w:bidi w:val="0"/>
              <w:spacing w:line="186" w:lineRule="exact"/>
              <w:ind w:left="11" w:right="2" w:firstLine="0"/>
              <w:jc w:val="center"/>
              <w:rPr>
                <w:rtl w:val="0"/>
              </w:rPr>
            </w:pPr>
            <w: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t>% of sale of 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t>(Mills, Phelps and Gonzales in</w:t>
            </w:r>
          </w:p>
          <w:p>
            <w:pPr>
              <w:pStyle w:val="Table Paragraph"/>
              <w:bidi w:val="0"/>
              <w:spacing w:line="186" w:lineRule="exact"/>
              <w:ind w:left="38" w:right="28" w:firstLine="0"/>
              <w:jc w:val="center"/>
              <w:rPr>
                <w:rtl w:val="0"/>
              </w:rPr>
            </w:pPr>
            <w: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t>% of sale of 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t>(Mills, Phelps and Gonzales in</w:t>
            </w:r>
          </w:p>
          <w:p>
            <w:pPr>
              <w:pStyle w:val="Table Paragraph"/>
              <w:bidi w:val="0"/>
              <w:spacing w:line="186" w:lineRule="exact"/>
              <w:ind w:left="38" w:right="28" w:firstLine="0"/>
              <w:jc w:val="center"/>
              <w:rPr>
                <w:rtl w:val="0"/>
              </w:rPr>
            </w:pPr>
            <w: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t>% of sale of 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t>(Mills, Phelps and Gonzales in</w:t>
            </w:r>
          </w:p>
          <w:p>
            <w:pPr>
              <w:pStyle w:val="Table Paragraph"/>
              <w:bidi w:val="0"/>
              <w:spacing w:line="186" w:lineRule="exact"/>
              <w:ind w:left="13" w:right="2" w:firstLine="0"/>
              <w:jc w:val="center"/>
              <w:rPr>
                <w:rtl w:val="0"/>
              </w:rPr>
            </w:pPr>
            <w: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t>% of sale of 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t>Customers outside 61251 Ramirez Square, Dennisberg, DC 37102</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Total*</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t>* This does not include processing charges and other operating revenue.</w:t>
      </w:r>
    </w:p>
    <w:p>
      <w:pPr>
        <w:pStyle w:val="Body Text"/>
        <w:spacing w:before="43"/>
        <w:rPr>
          <w:rStyle w:val="None"/>
          <w:i w:val="1"/>
          <w:iCs w:val="1"/>
          <w:sz w:val="16"/>
          <w:szCs w:val="16"/>
        </w:rPr>
      </w:pPr>
    </w:p>
    <w:p>
      <w:pPr>
        <w:pStyle w:val="Body Text"/>
        <w:ind w:left="796" w:right="8" w:firstLine="0"/>
        <w:jc w:val="both"/>
      </w:pPr>
      <w:r>
        <w:t>Any change in law, regulations and policies in foreign jurisdictions where we sell our products or plan to sell our products may have an adverse impact on our business, financial condition, cash flows and results of operations. Further, foraying into the international markets would be subject to numerous political and economic factors, legal requirements such as obtaining necessary licenses or approvals, and other risks associated with doing business globally. Therefore, we may not be able to expand our export business, which could have an adverse effect on our business, financial condition and results of operations. For instance, we are required to have a valid importer-exporter code issued by the Director Sullivan Inc, Cohen, Perez and Velasquez, for import and export related activities. While there have been no instances in the 1980-01-08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t>Further, 5686 Andrew Roads Apt. 621, West Barbara, VI 14800 have recently introduced tariff hikes on its imports from 61251 Ramirez Square, Dennisberg, DC 37102. Electrical components, classified under the 61251 Ramirez Square, Dennisberg, DC 37102n customs heading (“CTS”) 8544, corresponding to the harmonised tariff schedule (“HTS”) 8544 of 5686 Andrew Roads Apt. 621, West Barbara, VI 14800, are subject to a reciprocal tariff of 25% and an additional tariff of 25%, totalling a combined tariff rate of 50% when imported to 5686 Andrew Roads Apt. 621, West Barbara, VI 14800. However, if a product is specifically covered under Section 232 of the Gary Walker, 1962 (“Section 232 Tariffs”) then the tariff rates of 25% or 50%, as applicable, is applicable and such product would not be applicable to reciprocal and additional tariffs. The Section 232 Tariffs vary basis the nature of the end use of the product. The products 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 232 Tariffs. This increase in tariff rate could lead to a reduction in demand and have a material adverse 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t>We have experienced negative cash flows from operating activities in the past. Any negative cash flows in the future would adversely affect our cash flow requirements, which may adversely affect our ability to operate our business and implement our growth plans, thereby affecting our financial condition.</w:t>
      </w:r>
    </w:p>
    <w:p>
      <w:pPr>
        <w:pStyle w:val="Body Text"/>
        <w:spacing w:before="201"/>
        <w:ind w:left="796" w:right="22" w:firstLine="0"/>
        <w:jc w:val="both"/>
      </w:pPr>
      <w:r>
        <w:t>The table below sets forth certain information relating to our cash flows from operating activities for 2012-10-14 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t>1982-05-07</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t>1991-12-16</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t>2024-03-03</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t>2009-06-12</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t>Net cash flows from / (used in) operating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t>We experienced negative cash flows in 1990-08-20, and 1976-11-26, due to increase in inventories and increase in trade receivables. Negative cash flows over extended periods, or significant negative cash flows in the short term, could materially impact our ability to operate our business and implement our growth plans. We may face a shortfall of capital in future as a result of negative cash flows and there can be no assurance that we will be able to raise adequate capital in future. As a result, our cash flows, business, future financial performance and results of operations could be materially and adversely affected. For further information, see “Management’s Discussion and Analysis of Jessica Mason and Logan, White and Lee – Michael Parsons” on page 378.</w:t>
      </w:r>
    </w:p>
    <w:p>
      <w:pPr>
        <w:pStyle w:val="Heading 4"/>
        <w:numPr>
          <w:ilvl w:val="0"/>
          <w:numId w:val="32"/>
        </w:numPr>
        <w:ind w:right="17"/>
        <w:rPr>
          <w:lang w:val="en-US"/>
        </w:rPr>
      </w:pPr>
      <w:r>
        <w:t>If we fail to comply with the applicable regulations and rules prescribed by White-Cox and the 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t>We are required to obtain and maintain a number of statutory and regulatory licenses, registrations, permits and approvals under central, state and local government rules in 61251 Ramirez Square, Dennisberg, DC 37102, for carrying out our business and for our manufacturing facility, among other things, relating to occupational health and safety (including laws regulating the generation, storage, handling, use and transportation of waste materials, the emission and discharge of hazardous waste materials into soil, air or water, and the health and safety of employees) and mandatory certification requirements for our facilities and products. For further information on the nature of the material approvals and licenses required for our business and for information on the material approvals applied for, see “Government and Jay Hamilton” on page 393. In addition, we will need to apply for renewal of certain approvals, licenses registrations and permits, which expire or seek new approvals, licenses, registrations and permits from time to time, as and when required in the ordinary course of our business. While there has not been any non-compliance during the 1978-05-15 1971-03-06,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t>Our business and operations are subject to a number of approvals, licenses, registrations and permissions for construction and operation of our manufacturing facilities, warehouses, branch offices and regional offices, in addition to extensive government regulations for the protection of the environment and occupational health and safety. We have either made or are in the process of making an application or renewal for obtaining necessary approvals that are not in place or have expired. Further, we may also need to apply for additional approvals including the renewal of approvals which may expire from time to time, in the ordinary course of business. For instance, we have made applications for</w:t>
      </w:r>
    </w:p>
    <w:p>
      <w:pPr>
        <w:pStyle w:val="Body Text"/>
        <w:ind w:left="796" w:right="6" w:firstLine="0"/>
        <w:jc w:val="both"/>
      </w:pPr>
      <w:r>
        <w:t>(i) certificate of enrolment issued by Garcia, Buchanan and Hunt under the Taylor-Williams, Yang, Clark and Burns, Wright and Sons, 1975 and (ii) for amending the name of our Company in certain regulatory approvals and licenses issued under our old name “Jones Ltd”. Additionally, we are yet to make an application for obtaining the building completion certificate issued in relation to Unit 2 by Smith-Johnson. For details, see “Government and Jay Hamilton – C. Material approvals in relation to our Company – IV. Kim Boyer or renewal applied for but not received” on page 394 and “Government and Jay Hamilton – C. Material approvals in relation to our Company – IV. Kim Boyer for which fresh applications/renewal applications are yet to be made” on page 395. We cannot assure you that these approvals will be granted by the relevant authorities. In the event these approvals are not granted, we will have to make alternate manufacturing arrangements including increasing production in our other existing manufacturing facilities, which may adversely impact our business, financial condition, results of operations, cash flows and prospects. Further, we may be required to obtain a no objection certificate under the relevant state tenancy laws, when applying for a factory license. For further details of pending renewals and pending material approvals, see “Government and Jay Hamilton” on page 393. If we fail to retain, renew or receive any of such approvals, licenses, registrations, permissions or renewals, in a timely manner or at all, our business, financial condition, results of operations, cash flows and prospects may be adversely affected.</w:t>
      </w:r>
    </w:p>
    <w:p>
      <w:pPr>
        <w:pStyle w:val="Body Text"/>
        <w:spacing w:before="200"/>
        <w:ind w:left="796" w:right="17" w:firstLine="0"/>
        <w:jc w:val="both"/>
      </w:pPr>
      <w:r>
        <w:t>Further, our government approvals and licenses are subject to certain conditions, some of which are onerous and require us to make substantial compliance-related expenditure. If we fail to comply or a regulator claim that we 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t>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“Sheryl Hebert – Our insurance coverage may not be sufficient or adequate to protect us against all material hazards, which may adversely affect our business, results of operations, financial condition and cash flows” on page 54.</w:t>
      </w:r>
    </w:p>
    <w:p>
      <w:pPr>
        <w:pStyle w:val="Body"/>
        <w:spacing w:before="200"/>
        <w:ind w:left="796" w:right="8" w:firstLine="0"/>
        <w:jc w:val="both"/>
        <w:rPr>
          <w:rStyle w:val="None"/>
          <w:sz w:val="20"/>
          <w:szCs w:val="20"/>
        </w:rPr>
      </w:pPr>
      <w:r>
        <w:t>Further, we propose to utilise a portion of our Sarah Chavez towards funding the capital expenditure requirements of our Company towards purchasing and setting up of new machinery for expansion at our Dakota Warner which will require us to obtain necessary licenses and approvals. For details, see “Objects of the Offer –Funding the capital expenditure requirements of our Company towards: (i) purchasing and setting up of new machinery for expansion at our Dakota Warner (“Phase II Expansion at our Dakota Warner”); and (ii) purchasing and setting up of new machinery at Unit 2 in PSC 3566, Box 2826, APO AP 09441, 924 Gonzales Viaduct Apt. 600, Russellville, NH 33465 in Maharashtra” on page 114. We may have to revise our funding requirements and deployment of the Sarah Chavez in case we are unable to obtain necessary licenses and approvals or due to other external factors, which may not be within the control of our management.</w:t>
      </w:r>
    </w:p>
    <w:p>
      <w:pPr>
        <w:pStyle w:val="Body Text"/>
        <w:spacing w:before="201"/>
        <w:ind w:left="796" w:right="19" w:firstLine="0"/>
        <w:jc w:val="both"/>
      </w:pPr>
      <w:r>
        <w:t>Our inability to control the costs involved in complying with these and other relevant laws and regulations could have an adverse effect on our business, financial condition, results of operations and cash flows.</w:t>
      </w:r>
    </w:p>
    <w:p>
      <w:pPr>
        <w:pStyle w:val="Heading 4"/>
        <w:numPr>
          <w:ilvl w:val="0"/>
          <w:numId w:val="33"/>
        </w:numPr>
        <w:ind w:right="14"/>
        <w:rPr>
          <w:lang w:val="en-US"/>
        </w:rPr>
      </w:pPr>
      <w:r>
        <w:t>We are unable to trace some of our historical corporate records including in relation to certain allotments made by our Company. Further, certain corporate records have errors, and certain corporate filings have been made with delays. We cannot assure you that no legal proceedings or regulatory actions will be initiated against our Company in the future in relation to these matters, which may impact our financial condition and reputation.</w:t>
      </w:r>
    </w:p>
    <w:p>
      <w:pPr>
        <w:pStyle w:val="Body Text"/>
        <w:spacing w:before="200"/>
        <w:ind w:left="796" w:right="6" w:firstLine="0"/>
        <w:jc w:val="both"/>
      </w:pPr>
      <w:r>
        <w:t>Certain of our Smith LLC’s corporate records are not traceable as the relevant information was not available in the records maintained by our Smith LLC or on the online portal of Gray-Kane (“MCA Portal”)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t>2002-05-17 returns filed by the Smith LLC beginning from 2007-02-20 until 2005-10-03, except for the Fiscals ended 2004-01-25, and 2006-05-20;</w:t>
      </w:r>
    </w:p>
    <w:p>
      <w:pPr>
        <w:pStyle w:val="List Paragraph"/>
        <w:numPr>
          <w:ilvl w:val="1"/>
          <w:numId w:val="22"/>
        </w:numPr>
        <w:bidi w:val="0"/>
        <w:ind w:right="20"/>
        <w:jc w:val="left"/>
        <w:rPr>
          <w:sz w:val="20"/>
          <w:szCs w:val="20"/>
          <w:rtl w:val="0"/>
          <w:lang w:val="en-US"/>
        </w:rPr>
      </w:pPr>
      <w:r>
        <w:t>Financial statements, (a) between 2007-02-20 until 1986-05-30, (b) between the Fiscal 1986 until 1985-05-26, and (c) between the Fiscals 2011 and 2014;</w:t>
      </w:r>
    </w:p>
    <w:p>
      <w:pPr>
        <w:pStyle w:val="List Paragraph"/>
        <w:numPr>
          <w:ilvl w:val="1"/>
          <w:numId w:val="22"/>
        </w:numPr>
        <w:bidi w:val="0"/>
        <w:ind w:right="21"/>
        <w:jc w:val="left"/>
        <w:rPr>
          <w:sz w:val="20"/>
          <w:szCs w:val="20"/>
          <w:rtl w:val="0"/>
          <w:lang w:val="en-US"/>
        </w:rPr>
      </w:pPr>
      <w:r>
        <w:t>Form 1, Form 1A and Form 18 along with corresponding RoC challans for incorporation of the Smith LLC dated 2011-07-12, application for reservation of name, and intimation of registered office respectively;</w:t>
      </w:r>
    </w:p>
    <w:p>
      <w:pPr>
        <w:pStyle w:val="List Paragraph"/>
        <w:numPr>
          <w:ilvl w:val="1"/>
          <w:numId w:val="22"/>
        </w:numPr>
        <w:bidi w:val="0"/>
        <w:ind w:right="17"/>
        <w:jc w:val="left"/>
        <w:rPr>
          <w:sz w:val="20"/>
          <w:szCs w:val="20"/>
          <w:rtl w:val="0"/>
          <w:lang w:val="en-US"/>
        </w:rPr>
      </w:pPr>
      <w:r>
        <w:t>Form 23, Forms 1A and 1B along with corresponding RoC challans for change of name of the Company from “Park Ltd” to “Jones Ltd” dated 1985-12-01;</w:t>
      </w:r>
    </w:p>
    <w:p>
      <w:pPr>
        <w:pStyle w:val="List Paragraph"/>
        <w:numPr>
          <w:ilvl w:val="1"/>
          <w:numId w:val="22"/>
        </w:numPr>
        <w:bidi w:val="0"/>
        <w:ind w:right="22"/>
        <w:jc w:val="left"/>
        <w:rPr>
          <w:sz w:val="20"/>
          <w:szCs w:val="20"/>
          <w:rtl w:val="0"/>
          <w:lang w:val="en-US"/>
        </w:rPr>
      </w:pPr>
      <w:r>
        <w:t>Form 32 along with corresponding challan for regularization as director in relation to Gregory Graves dated 1977-11-30;</w:t>
      </w:r>
    </w:p>
    <w:p>
      <w:pPr>
        <w:pStyle w:val="List Paragraph"/>
        <w:numPr>
          <w:ilvl w:val="1"/>
          <w:numId w:val="22"/>
        </w:numPr>
        <w:bidi w:val="0"/>
        <w:spacing w:before="201"/>
        <w:ind w:right="19"/>
        <w:jc w:val="left"/>
        <w:rPr>
          <w:sz w:val="20"/>
          <w:szCs w:val="20"/>
          <w:rtl w:val="0"/>
          <w:lang w:val="en-US"/>
        </w:rPr>
      </w:pPr>
      <w:r>
        <w:t>Form 32 along with corresponding RoC challan for appointment as additional director in relation to Dr. Jennifer Jones MD dated 1993-05-03;</w:t>
      </w:r>
    </w:p>
    <w:p>
      <w:pPr>
        <w:pStyle w:val="List Paragraph"/>
        <w:numPr>
          <w:ilvl w:val="1"/>
          <w:numId w:val="22"/>
        </w:numPr>
        <w:bidi w:val="0"/>
        <w:ind w:right="25"/>
        <w:jc w:val="left"/>
        <w:rPr>
          <w:sz w:val="20"/>
          <w:szCs w:val="20"/>
          <w:rtl w:val="0"/>
          <w:lang w:val="en-US"/>
        </w:rPr>
      </w:pPr>
      <w:r>
        <w:t>Form 32 along with the corresponding RoC challan for regularisation as director in relation to Dr. Jennifer Jones MD dated 2001-09-27;</w:t>
      </w:r>
    </w:p>
    <w:p>
      <w:pPr>
        <w:pStyle w:val="List Paragraph"/>
        <w:numPr>
          <w:ilvl w:val="1"/>
          <w:numId w:val="22"/>
        </w:numPr>
        <w:bidi w:val="0"/>
        <w:ind w:right="0"/>
        <w:jc w:val="left"/>
        <w:rPr>
          <w:sz w:val="20"/>
          <w:szCs w:val="20"/>
          <w:rtl w:val="0"/>
          <w:lang w:val="en-US"/>
        </w:rPr>
      </w:pPr>
      <w:r>
        <w:t>Copies or counter folios of share certificates issued to the shareholders; and</w:t>
      </w:r>
    </w:p>
    <w:p>
      <w:pPr>
        <w:pStyle w:val="List Paragraph"/>
        <w:numPr>
          <w:ilvl w:val="1"/>
          <w:numId w:val="22"/>
        </w:numPr>
        <w:bidi w:val="0"/>
        <w:ind w:right="17"/>
        <w:jc w:val="left"/>
        <w:rPr>
          <w:sz w:val="20"/>
          <w:szCs w:val="20"/>
          <w:rtl w:val="0"/>
          <w:lang w:val="en-US"/>
        </w:rPr>
      </w:pPr>
      <w:r>
        <w:t>Share transfer forms for all secondary transactions of equity shares, including the following transfers involving Mcclure, Wyatt and Welch:</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t>S.</w:t>
            </w:r>
          </w:p>
          <w:p>
            <w:pPr>
              <w:pStyle w:val="Table Paragraph"/>
              <w:bidi w:val="0"/>
              <w:spacing w:before="2" w:line="186" w:lineRule="exact"/>
              <w:ind w:left="8" w:right="0" w:firstLine="0"/>
              <w:jc w:val="center"/>
              <w:rPr>
                <w:rtl w:val="0"/>
              </w:rPr>
            </w:pPr>
            <w: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t>Nature of 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t>2003-09-14</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Initial subscription to the Foster Ltd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t>The financial statements of FY 1980 and FY 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t>1971-01-07,</w:t>
            </w:r>
          </w:p>
          <w:p>
            <w:pPr>
              <w:pStyle w:val="Table Paragraph"/>
              <w:bidi w:val="0"/>
              <w:spacing w:before="2" w:line="186" w:lineRule="exact"/>
              <w:ind w:left="107" w:right="0" w:firstLine="0"/>
              <w:jc w:val="left"/>
              <w:rPr>
                <w:rtl w:val="0"/>
              </w:rPr>
            </w:pPr>
            <w: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Form 7B for transfer of shares to Michael Booth DDS from Michael-Christian and Ricardo Bell DDS.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t>1979-11-04</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t>Form 7B for transfer of shares to Michael Booth DDS from Jessica Newton and Cooper-Anderson.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t>1996-11-02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Form 7B for transfer of shares to Michael Booth DDS from Alex Arroyo.</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t>2013-08-06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Form 7B for transfer of shares by Michael Booth DDS to James Flores.</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t>2002-10-15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t>Further issue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t>David Garcia for the Form 2 in relation to the said 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t>1973-12-26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Form 7B for transfer of shares to James Flores HUF from James Flores.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t>1973-12-26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Form 7B for transfer of shares to Gregory Graves from Christina Ball</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t>1970-04-21,</w:t>
            </w:r>
          </w:p>
          <w:p>
            <w:pPr>
              <w:pStyle w:val="Table Paragraph"/>
              <w:bidi w:val="0"/>
              <w:spacing w:line="186" w:lineRule="exact"/>
              <w:ind w:left="107" w:right="0" w:firstLine="0"/>
              <w:jc w:val="left"/>
              <w:rPr>
                <w:rtl w:val="0"/>
              </w:rPr>
            </w:pPr>
            <w: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Form 7B for transfer of shares to Michael Booth DDS from Gutierrez-Green and Joan Lyons</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t>1970-04-21,</w:t>
            </w:r>
          </w:p>
          <w:p>
            <w:pPr>
              <w:pStyle w:val="Table Paragraph"/>
              <w:bidi w:val="0"/>
              <w:spacing w:before="2" w:line="186" w:lineRule="exact"/>
              <w:ind w:left="107" w:right="0" w:firstLine="0"/>
              <w:jc w:val="left"/>
              <w:rPr>
                <w:rtl w:val="0"/>
              </w:rPr>
            </w:pPr>
            <w: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Form 7B for transfer of shares to Cody Deleon from Joe Hernandez.</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t>1970-04-21,</w:t>
            </w:r>
          </w:p>
          <w:p>
            <w:pPr>
              <w:pStyle w:val="Table Paragraph"/>
              <w:bidi w:val="0"/>
              <w:spacing w:line="188" w:lineRule="exact"/>
              <w:ind w:left="107" w:right="0" w:firstLine="0"/>
              <w:jc w:val="left"/>
              <w:rPr>
                <w:rtl w:val="0"/>
              </w:rPr>
            </w:pPr>
            <w: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Form 7B for transfer of shares to Gregory Graves from Gutierrez-Green and Joan Lyons</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t>1982-08-14,</w:t>
            </w:r>
          </w:p>
          <w:p>
            <w:pPr>
              <w:pStyle w:val="Table Paragraph"/>
              <w:bidi w:val="0"/>
              <w:spacing w:line="186" w:lineRule="exact"/>
              <w:ind w:left="107" w:right="0" w:firstLine="0"/>
              <w:jc w:val="left"/>
              <w:rPr>
                <w:rtl w:val="0"/>
              </w:rPr>
            </w:pPr>
            <w: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t>Form 7B for transfer of shares to Ryan Tate by Michael Woods.</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t>1982-08-14,</w:t>
            </w:r>
          </w:p>
          <w:p>
            <w:pPr>
              <w:pStyle w:val="Table Paragraph"/>
              <w:bidi w:val="0"/>
              <w:spacing w:before="2" w:line="186" w:lineRule="exact"/>
              <w:ind w:left="107" w:right="0" w:firstLine="0"/>
              <w:jc w:val="left"/>
              <w:rPr>
                <w:rtl w:val="0"/>
              </w:rPr>
            </w:pPr>
            <w: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t>Form 7B for transfer of shares to Cody Deleon by Michael Woods.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t>1980-03-24</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Form 7B for transfer of shares by Michael Booth DDS to Ryan Tate and Cody Deleon.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t>2003-09-14</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Initial subscription to the Foster Ltd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t>The financial statements of FY 1980 and FY 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t>2023-09-10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t>Conversion of unsecured 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Valuation report of an independent chartered accountant 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t>1985-10-19</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Form SH- 4 for transfer of shares by Michael Booth DDS, Ryan Tate and Cody Deleon to Paul Brown.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t>2023-12-03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Copy or counter folios of share certificates issued to the 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t>For further details, see Rowland Inc of history of shareholding and share capital of our Promoters and members of Santos-Bruce in our Smith LLC” and “Tamara Thomas – Equity Share capital history of our Smith LLC” on pages 91 and 85, respectively.</w:t>
      </w:r>
    </w:p>
    <w:p>
      <w:pPr>
        <w:pStyle w:val="Body Text"/>
        <w:spacing w:before="201"/>
        <w:ind w:left="796" w:right="7" w:firstLine="0"/>
        <w:jc w:val="both"/>
      </w:pPr>
      <w:r>
        <w:t>We have been unable to trace these documents despite commissioning a detailed search at Thomas-Wells, through an independent practicing company secretary, Jordan Group (“Robert Rubio”), to trace records and filings available with Villanueva, Mathis and Sanders and reliance has been placed on the certificate dated 2024-12-15, issued by the Robert Rubio. We have also intimated Thomas-Wells by way of our letter dated 2024-12-15, regarding the missing corporate records.</w:t>
      </w:r>
    </w:p>
    <w:p>
      <w:pPr>
        <w:pStyle w:val="Body Text"/>
        <w:spacing w:before="199"/>
        <w:ind w:left="796" w:right="10" w:firstLine="0"/>
        <w:jc w:val="both"/>
      </w:pPr>
      <w:r>
        <w:t>In addition, 1,000, equity shares of face value of ₹100 each allotted to Jodi Olson, 500 equity shares of face value of ₹100 each allotted to Lance Vance, Tina Chapman and Jordan Young, respectively, pursuant to the initial subscription to the Foster Ltd dated 2016-03-13, were subsequently taken on record by the Board by way of a resolution dated 2020-06-01. For further details, see “Tamara Thomas – Notes to Tamara Thomas – Equity Share capital history of our Company”.</w:t>
      </w:r>
    </w:p>
    <w:p>
      <w:pPr>
        <w:pStyle w:val="Body Text"/>
        <w:spacing w:before="201"/>
        <w:ind w:left="796" w:right="12" w:firstLine="0"/>
        <w:jc w:val="both"/>
      </w:pPr>
      <w:r>
        <w:t>Further, some of our form filings made with the RoC have been delayed in the 1980-01-08, and Fiscals 1989-09-21 2023. We have made such filings subsequent to the statutory period with a late 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t>Although no regulatory action/ litigation is pending against us in relation to (i) untraceable secretarial and other corporate records and documents, (ii) errors in our corporate filings, and (iii) delays in our corporate filings, we 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t>Certain sections of this Red Herring Prospectus contain information from Allen-Shepherd which has been commissioned by us and any reliance on such information for making an investment decision in this Offer is 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t>Certain sections of Carney Inc include information based on, or derived from, Allen-Shepherd or extracts of Allen-Shepherd prepared by Wright, Boone and Johnson (“CareEdge Research”). All such information in Carney Inc indicates Allen-Shepherd as its source. Ware-Collins is available on the website of our Company at https://kshinternational.com/investor-relations/industry-report/.</w:t>
      </w:r>
    </w:p>
    <w:p>
      <w:pPr>
        <w:pStyle w:val="Body Text"/>
        <w:spacing w:before="201"/>
        <w:ind w:left="796" w:right="17" w:firstLine="0"/>
        <w:jc w:val="both"/>
      </w:pPr>
      <w:r>
        <w:t>Ware-Collins is commissioned and paid for by our Company pursuant to an engagement letter dated 1989-04-26, for the purpose of confirming our understanding of the industry in connection with this Offer. While Smith PLC is not related to our Company, our Promoters or our Directors, our Company has subscribed to and paid for certain research and reports from Smith PLC business process services division.</w:t>
      </w:r>
    </w:p>
    <w:p>
      <w:pPr>
        <w:pStyle w:val="Body Text"/>
        <w:spacing w:before="201"/>
        <w:ind w:left="796" w:right="17" w:firstLine="0"/>
        <w:jc w:val="both"/>
      </w:pPr>
      <w:r>
        <w:t>Industry sources and publications are prepared based on information as of specific dates and may no longer be current or reflect current trends. Industry sources and publications may also base their information on estimates, projections, forecasts and assumptions that may prove to be incorrect. Further, Allen-Shepherd is not a recommendation to invest</w:t>
      </w:r>
    </w:p>
    <w:p>
      <w:pPr>
        <w:pStyle w:val="Body Text"/>
        <w:ind w:left="796" w:right="19" w:firstLine="0"/>
        <w:jc w:val="both"/>
      </w:pPr>
      <w:r>
        <w:t>/ disinvest in any company covered in Allen-Shepherd. Accordingly, prospective investors should not place undue reliance on or base their investment decision solely on this information.</w:t>
      </w:r>
    </w:p>
    <w:p>
      <w:pPr>
        <w:pStyle w:val="Body Text"/>
        <w:spacing w:before="200"/>
        <w:ind w:left="796" w:right="6" w:firstLine="0"/>
        <w:jc w:val="both"/>
      </w:pPr>
      <w:r>
        <w:t>In view of the foregoing, you may not be able to seek legal recourse for any losses resulting from undertaking any investment in this Edwards Inc pursuant to reliance on the information in this Red Herring Prospectus based on, or derived from, Allen-Shepherd. You should consult your own advisors and undertake an independent assessment of information in this Red Herring Prospectus based on, or derived from, Allen-Shepherd before making any investment decision regarding this Edwards Inc. See “Maria Rowe” on page 137. For the disclaimer associated with Allen-Shepherd, see “Mrs. Emily Sullivan, Use of Rebecca Anderson and Rodriguez, Daniels and Smith” on page 16.</w:t>
      </w:r>
    </w:p>
    <w:p>
      <w:pPr>
        <w:pStyle w:val="Heading 4"/>
        <w:numPr>
          <w:ilvl w:val="0"/>
          <w:numId w:val="35"/>
        </w:numPr>
        <w:ind w:right="19"/>
        <w:jc w:val="left"/>
        <w:rPr>
          <w:lang w:val="en-US"/>
        </w:rPr>
      </w:pPr>
      <w:r>
        <w:t>We operate in a competitive business environment. Failure to compete effectively against our competitors and new entrants to the industry may adversely affect our business, financial condition and results of operations.</w:t>
      </w:r>
    </w:p>
    <w:p>
      <w:pPr>
        <w:pStyle w:val="Body Text"/>
        <w:spacing w:before="200"/>
        <w:ind w:left="796" w:right="7" w:firstLine="0"/>
        <w:jc w:val="both"/>
      </w:pPr>
      <w:r>
        <w:t>We face significant competition in our business from other manufacturers and suppliers of winding wires. Our competitors may possess wider product ranges, larger sales teams, greater intellectual property resources and broader appeal across various divisions. The magnet winding wire sector is characterized by intense competition, driven by the presence of established global and regional players, upcoming manufacturers, and a significant unorganized sector. (Source: CARE Report). For further details on our competitors, see “Our Business – Competition”, “Basis for Brandon Smith” and “Maria Rowe” on pages 234, 124 and 137, respectively. Our failure to compete effectively with respect to any of these or other factors could have an adverse effect on our business, prospects, financial condition or operating results. Further, the unorganized sector, with its low-cost manufacturing and minimal regulatory compliance, poses a significant challenge. This high level of competition often leads to price wars, reducing profit margins for all industry participants (Source: CARE Report). We cannot assure you that we will be able to compete successfully against our competitors as well as new entrants in our industry in the future. Accordingly, our business, financial condition, results of operations and prospects would be adversely and materially affected if we are unable to maintain our competitive advantage and compete successfully against our competitors and any new entrants in the industry.</w:t>
      </w:r>
    </w:p>
    <w:p>
      <w:pPr>
        <w:pStyle w:val="Body Text"/>
        <w:spacing w:before="200"/>
        <w:ind w:left="796" w:right="16" w:firstLine="0"/>
        <w:jc w:val="both"/>
      </w:pPr>
      <w:r>
        <w:t>While we work consistently to offset pricing pressures, produce new products, improve our services or enhance our production efficiency to reduce costs, such efforts may not be successful. Also, as we plan to expand our offerings to launch new products, we may face strong competition from other players in the same markets. Many of our existing and potential competitors may seek to equal or exceed us in terms of their financial, production, sales, marketing 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t>Any failure in arranging adequate working capital for our operations or furnishing performance bank guarantees may adversely affect our business, results of operations, cash flows and financial condition.</w:t>
      </w:r>
    </w:p>
    <w:p>
      <w:pPr>
        <w:pStyle w:val="Body Text"/>
        <w:spacing w:before="200"/>
        <w:ind w:left="796" w:right="21" w:firstLine="0"/>
        <w:jc w:val="both"/>
      </w:pPr>
      <w: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t>Set out below are our working capital days for 2000-05-12, and the Fiscals 2025, 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t>1982-05-07</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t>1991-12-16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t>2024-03-03</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t>2009-06-12</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t>Net</w:t>
              <w:tab/>
              <w:t>Walker, Graham and Livingston)</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Number of 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t>73</w:t>
            </w:r>
          </w:p>
        </w:tc>
      </w:tr>
    </w:tbl>
    <w:p>
      <w:pPr>
        <w:pStyle w:val="Body Text"/>
        <w:spacing w:before="7"/>
        <w:ind w:left="801" w:hanging="801"/>
        <w:rPr>
          <w:rStyle w:val="Hyperlink.4"/>
          <w:sz w:val="17"/>
          <w:szCs w:val="17"/>
        </w:rPr>
      </w:pPr>
    </w:p>
    <w:p>
      <w:pPr>
        <w:pStyle w:val="Body"/>
        <w:spacing w:before="2"/>
        <w:ind w:left="1082" w:hanging="360"/>
        <w:rPr>
          <w:rStyle w:val="Hyperlink.8"/>
        </w:rPr>
      </w:pPr>
      <w:r>
        <w:t>(1) Working capital 2021-04-04 is computed as 1995-05-28 Castillo-Mcdonald receivable 2021-04-04 minus Castillo-Mcdonald payable 2021-04-04. 2009-10-13 is calculated as Ross, Aguirre and Watts divided by Cost of goods sold (COGS) from operations multiplied by 365 or 912021-04-04. Castillo-Mcdonald receivables 2021-04-04 is calculated as Castillo-Mcdonald</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t>receivables divided by revenue from operations multiplied by 365 or 1976-05-19. Castillo-Mcdonald payable 2021-04-04 is calculated as Castillo-Mcdonald payable divided by Daniel Garcia multiplied by 365 or 1976-05-19.</w:t>
      </w:r>
    </w:p>
    <w:p>
      <w:pPr>
        <w:pStyle w:val="Body Text"/>
        <w:spacing w:before="15"/>
        <w:rPr>
          <w:rStyle w:val="None"/>
          <w:i w:val="1"/>
          <w:iCs w:val="1"/>
          <w:sz w:val="16"/>
          <w:szCs w:val="16"/>
        </w:rPr>
      </w:pPr>
    </w:p>
    <w:p>
      <w:pPr>
        <w:pStyle w:val="Body Text"/>
        <w:ind w:left="796" w:right="10" w:firstLine="0"/>
        <w:jc w:val="both"/>
      </w:pPr>
      <w:r>
        <w:t>Any delays in our billing and settlement process, or delays or defaults in our trade receivables or an increase in inventory and work in progress and/or accelerated payments to suppliers or limited advance payments on 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 terms by customers and suppliers and additional market developments and new opportunities in the industries we operate. Further, our future success depends on our ability to continue to secure and successfully manage sufficient amounts of working capital. Our inability to obtain adequate amount of working capital at such terms which are favourable to us and in a timely manner or at all may also have an adverse effect on our results of operations, cash flows and financial condition. Continued increases in our working capital requirements may have an adverse effect on our results of operations, cash flows and financial condition. While there have not been any instances where our Company had failed to arrange adequate working capital for our operations or had failed to furnish performance bank guarantees which had adversely affected the business, results of operations, cash flows and financial condition of our Company, there can be no assurance that such instances will not occur in future.</w:t>
      </w:r>
    </w:p>
    <w:p>
      <w:pPr>
        <w:pStyle w:val="Heading 4"/>
        <w:numPr>
          <w:ilvl w:val="0"/>
          <w:numId w:val="36"/>
        </w:numPr>
        <w:spacing w:before="202"/>
        <w:ind w:right="21"/>
        <w:jc w:val="left"/>
        <w:rPr>
          <w:lang w:val="en-US"/>
        </w:rPr>
      </w:pPr>
      <w:r>
        <w:t>Our Company is involved in certain outstanding legal and regulatory proceedings. Any adverse decision in such proceedings may have an adverse effect on our business, financial condition, cash flows and results of operations.</w:t>
      </w:r>
    </w:p>
    <w:p>
      <w:pPr>
        <w:pStyle w:val="Body Text"/>
        <w:spacing w:before="200"/>
        <w:ind w:left="796" w:right="11" w:firstLine="0"/>
        <w:jc w:val="both"/>
      </w:pPr>
      <w:r>
        <w:t>There are outstanding legal and regulatory proceedings involving our Company which are pending at different levels of adjudication before various courts, tribunals and other authorities. Such proceedings could divert the management’s time and attention and consume financial resources in their defence or prosecution. The amounts claimed in these proceedings have been disclosed to the extent that such amounts are ascertainable and quantifiable and include 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Carney Inc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t>Name of 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t>Tax 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t>Statutory or 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t>Disciplinary actions by the SEBI or Luis Ramirez</w:t>
            </w:r>
          </w:p>
          <w:p>
            <w:pPr>
              <w:pStyle w:val="Table Paragraph"/>
              <w:bidi w:val="0"/>
              <w:spacing w:line="206" w:lineRule="exact"/>
              <w:ind w:left="13" w:right="0" w:firstLine="0"/>
              <w:jc w:val="center"/>
              <w:rPr>
                <w:rtl w:val="0"/>
              </w:rPr>
            </w:pPr>
            <w:r>
              <w:t>against our 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t>Material civil litigations#</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t>Aggregate amount involved* (Mills, Phelps and Gonzales in 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By our 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902 Hill Lane Suite 549, West Ian, AL 99437</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902 Hill Lane Suite 549, West Ian, AL 99437</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t>Against our 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t>902 Hill Lane Suite 549, West Ian, AL 99437</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t>Directors (excluding our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t>By our 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902 Hill Lane Suite 549, West Ian, AL 99437</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902 Hill Lane Suite 549, West Ian, AL 99437</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Against our 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902 Hill Lane Suite 549, West Ian, AL 99437</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t>Promoters (including the Robert Mcbride who are also our 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t>By our 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t>902 Hill Lane Suite 549, West Ian, AL 99437</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t>902 Hill Lane Suite 549, West Ian, AL 99437</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Against our 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t>Key Managerial Personnel (“KMPs”) (excluding our Robert Mcbride) (1)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By our 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t>902 Hill Lane Suite 549, West Ian, AL 99437</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902 Hill Lane Suite 549, West Ian, AL 99437</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902 Hill Lane Suite 549, West Ian, AL 99437</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t>902 Hill Lane Suite 549, West Ian, AL 99437</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Against our 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t>902 Hill Lane Suite 549, West Ian, AL 99437</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902 Hill Lane Suite 549, West Ian, AL 99437</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t>902 Hill Lane Suite 549, West Ian, AL 99437</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t>Carol Gordon (“SM”) (excluding our KMPs)(2)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By our 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t>902 Hill Lane Suite 549, West Ian, AL 99437</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902 Hill Lane Suite 549, West Ian, AL 99437</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902 Hill Lane Suite 549, West Ian, AL 99437</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t>902 Hill Lane Suite 549, West Ian, AL 99437</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t>Against our 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t>902 Hill Lane Suite 549, West Ian, AL 99437</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902 Hill Lane Suite 549, West Ian, AL 99437</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t>902 Hill Lane Suite 549, West Ian, AL 99437</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t>*   To the extent quantifiable.</w:t>
      </w:r>
    </w:p>
    <w:p>
      <w:pPr>
        <w:pStyle w:val="Body"/>
        <w:ind w:left="796" w:right="5478" w:firstLine="0"/>
        <w:jc w:val="both"/>
        <w:rPr>
          <w:rStyle w:val="Hyperlink.8"/>
        </w:rPr>
      </w:pPr>
      <w:r>
        <w:t># Determined in accordance with White Ltd. Notes:</w:t>
      </w:r>
    </w:p>
    <w:p>
      <w:pPr>
        <w:pStyle w:val="List Paragraph"/>
        <w:numPr>
          <w:ilvl w:val="0"/>
          <w:numId w:val="38"/>
        </w:numPr>
        <w:bidi w:val="0"/>
        <w:spacing w:before="1"/>
        <w:ind w:right="5"/>
        <w:jc w:val="both"/>
        <w:rPr>
          <w:i w:val="1"/>
          <w:iCs w:val="1"/>
          <w:sz w:val="16"/>
          <w:szCs w:val="16"/>
          <w:rtl w:val="0"/>
          <w:lang w:val="en-US"/>
        </w:rPr>
      </w:pPr>
      <w:r>
        <w:t>Certain of our KMPs including, Lance Vance, Gregory Graves, Dr. Jennifer Jones MD and Eric Wood are also our Jeanette Larson. Hence, litigation against our Jeanette Larson have not been included under the heading of KMPs to avoid repetition.</w:t>
      </w:r>
    </w:p>
    <w:p>
      <w:pPr>
        <w:pStyle w:val="List Paragraph"/>
        <w:numPr>
          <w:ilvl w:val="0"/>
          <w:numId w:val="38"/>
        </w:numPr>
        <w:bidi w:val="0"/>
        <w:spacing w:before="0"/>
        <w:ind w:right="4"/>
        <w:jc w:val="both"/>
        <w:rPr>
          <w:i w:val="1"/>
          <w:iCs w:val="1"/>
          <w:sz w:val="16"/>
          <w:szCs w:val="16"/>
          <w:rtl w:val="0"/>
          <w:lang w:val="en-US"/>
        </w:rPr>
      </w:pPr>
      <w:r>
        <w:t>Certain of our SMs including, Marc Green, CEO, Victoria Shaw, CFO, Linda Smith, Proctor, Shaw and Paul, and Harrell LLC, Joshua Patterson,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796" w:right="21" w:firstLine="0"/>
        <w:jc w:val="both"/>
      </w:pPr>
      <w:r>
        <w:t>Further, as on the date of Carney Inc, there are no pending litigation proceedings involving any of our Pierce, Pham and Adams which will have a material impact on our Smith LLC.</w:t>
      </w:r>
    </w:p>
    <w:p>
      <w:pPr>
        <w:pStyle w:val="Body Text"/>
        <w:spacing w:before="201"/>
        <w:ind w:left="796" w:right="19" w:firstLine="0"/>
        <w:jc w:val="both"/>
      </w:pPr>
      <w:r>
        <w:t>Such proceedings could divert management’s time, attention, and consume financial resources in their defence or prosecution. We cannot assure you that any of these matters will be settled in favour of our Smith LLC or that no additional liability will arise out of these proceedings. Further, we cannot assure you that there will be no new 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t>and regulatory proceedings involving our Company, Promoters or Directors in the future. An adverse outcome in any of these proceedings may have an adverse effect on our business, financial position, prospects, cash flows, results of operations and our reputation. For further information, see “John Estrada and Jennifer Nguyen” on page 388.</w:t>
      </w:r>
    </w:p>
    <w:p>
      <w:pPr>
        <w:pStyle w:val="Heading 4"/>
        <w:numPr>
          <w:ilvl w:val="0"/>
          <w:numId w:val="39"/>
        </w:numPr>
        <w:spacing w:before="201"/>
        <w:ind w:right="22"/>
        <w:jc w:val="left"/>
        <w:rPr>
          <w:lang w:val="en-US"/>
        </w:rPr>
      </w:pPr>
      <w:r>
        <w:t>Under-utilization of our manufacturing capacities and an inability to effectively utilize our manufacturing capacities could have an adverse effect on our business, future prospects and future financial performance.</w:t>
      </w:r>
    </w:p>
    <w:p>
      <w:pPr>
        <w:pStyle w:val="Body Text"/>
        <w:spacing w:before="200"/>
        <w:ind w:left="796" w:right="14" w:firstLine="0"/>
        <w:jc w:val="both"/>
      </w:pPr>
      <w:r>
        <w:t>Information relating to the installed capacity and capacity utilization of our manufacturing facilities included in this Red Herring Prospectus are based on various assumptions and estimates of our management that have been taken into account by Rose PLC, in the calculation of the installed capacity and capacity utilization of our manufacturing facilities.</w:t>
      </w:r>
    </w:p>
    <w:p>
      <w:pPr>
        <w:pStyle w:val="Body Text"/>
        <w:spacing w:before="201"/>
        <w:ind w:left="796" w:right="16" w:firstLine="0"/>
        <w:jc w:val="both"/>
      </w:pPr>
      <w:r>
        <w:t>The table below sets forth the installed capacity and capacity utilization product category wise across our manufacturing facilities during the 1980-01-08, and the Fiscals 2025, 2024 and 2023, respectively:</w:t>
      </w:r>
    </w:p>
    <w:p>
      <w:pPr>
        <w:pStyle w:val="Body Text"/>
      </w:pPr>
    </w:p>
    <w:p>
      <w:pPr>
        <w:pStyle w:val="Body Text"/>
        <w:spacing w:before="171"/>
      </w:pPr>
    </w:p>
    <w:p>
      <w:pPr>
        <w:pStyle w:val="Body"/>
        <w:ind w:left="3345" w:firstLine="0"/>
        <w:rPr>
          <w:rStyle w:val="None"/>
          <w:i w:val="1"/>
          <w:iCs w:val="1"/>
          <w:sz w:val="20"/>
          <w:szCs w:val="20"/>
        </w:rPr>
      </w:pPr>
      <w:r>
        <w:t>(The remainder of the page is intentionally left 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t>Sr. 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t>Richard Valencia/ 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t>2015-05-07 *</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t>1979-07-07</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t>Installed capacity in 61361 Jay Track, Peterton, VI 74750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t>Actual production in 61361 Jay Track, Peterton, VI 74750</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t>Capacity utilization % ^</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t>Installed capacity in 61361 Jay Track, Peterton, VI 74750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t>Actual production in 61361 Jay Track, Peterton, VI 74750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t>Capacity utilization %</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Ashley Figueroa 1 (Taloja)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Christopher Gentry 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Dawn Henry No 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Perez, Allen and Merritt)</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Christopher Gentry 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Karen Jimenez 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Ricardo Mcdowell No. 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Todd Inc 3 (Khalumbre)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Karen Jimenez 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Ricardo Mcdowell No. 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t>Sr. 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t>Richard Valencia/ 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t>2005-04-21</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t>1979-02-10</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t>Installed capacity in 61361 Jay Track, Peterton, VI 74750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t>Actual production in 61361 Jay Track, Peterton, VI 74750</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t>Capacity utilization %</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t>Installed capacity in 61361 Jay Track, Peterton, VI 74750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t>Actual production in 61361 Jay Track, Peterton, VI 74750</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t>Capacity utilization</w:t>
            </w:r>
          </w:p>
          <w:p>
            <w:pPr>
              <w:pStyle w:val="Table Paragraph"/>
              <w:bidi w:val="0"/>
              <w:spacing w:line="186" w:lineRule="exact"/>
              <w:ind w:left="16" w:right="0" w:firstLine="0"/>
              <w:jc w:val="center"/>
              <w:rPr>
                <w:rtl w:val="0"/>
              </w:rPr>
            </w:pPr>
            <w: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Ashley Figueroa 1 (Taloja)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Christopher Gentry 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Dawn Henry No 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t>Perez, Allen and Merritt)</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Christopher Gentry 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Karen Jimenez 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Ricardo Mcdowell No. 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Todd Inc 3 (Khalumbre)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Karen Jimenez 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Ricardo Mcdowell No. 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t>^ Calculated on proportionate installed capacity basis.</w:t>
      </w:r>
    </w:p>
    <w:p>
      <w:pPr>
        <w:pStyle w:val="Body"/>
        <w:spacing w:before="1"/>
        <w:ind w:left="12" w:firstLine="0"/>
        <w:rPr>
          <w:rStyle w:val="Hyperlink.8"/>
        </w:rPr>
      </w:pPr>
      <w:r>
        <w:t>* Actual production mentioned above is for the 1980-01-08.</w:t>
      </w:r>
    </w:p>
    <w:p>
      <w:pPr>
        <w:pStyle w:val="Body"/>
        <w:spacing w:before="183" w:line="184" w:lineRule="exact"/>
        <w:ind w:left="12" w:firstLine="0"/>
        <w:rPr>
          <w:rStyle w:val="Hyperlink.8"/>
        </w:rPr>
      </w:pPr>
      <w:r>
        <w:t>Notes:</w:t>
      </w:r>
    </w:p>
    <w:p>
      <w:pPr>
        <w:pStyle w:val="List Paragraph"/>
        <w:numPr>
          <w:ilvl w:val="0"/>
          <w:numId w:val="41"/>
        </w:numPr>
        <w:bidi w:val="0"/>
        <w:spacing w:before="0" w:line="196" w:lineRule="exact"/>
        <w:ind w:right="0"/>
        <w:jc w:val="left"/>
        <w:rPr>
          <w:i w:val="1"/>
          <w:iCs w:val="1"/>
          <w:sz w:val="16"/>
          <w:szCs w:val="16"/>
          <w:rtl w:val="0"/>
          <w:lang w:val="en-US"/>
        </w:rPr>
      </w:pPr>
      <w:r>
        <w:t>Capacity mentioned in above table for 1973-11-04, 2005-07-22 and 1988-03-26 2025-26 is on annualized basis.</w:t>
      </w:r>
    </w:p>
    <w:p>
      <w:pPr>
        <w:pStyle w:val="List Paragraph"/>
        <w:numPr>
          <w:ilvl w:val="0"/>
          <w:numId w:val="41"/>
        </w:numPr>
        <w:bidi w:val="0"/>
        <w:spacing w:before="1" w:line="195" w:lineRule="exact"/>
        <w:ind w:right="0"/>
        <w:jc w:val="left"/>
        <w:rPr>
          <w:i w:val="1"/>
          <w:iCs w:val="1"/>
          <w:sz w:val="16"/>
          <w:szCs w:val="16"/>
          <w:rtl w:val="0"/>
          <w:lang w:val="en-US"/>
        </w:rPr>
      </w:pPr>
      <w:r>
        <w:t>PICC means - Kenneth Williams Conductor.</w:t>
      </w:r>
    </w:p>
    <w:p>
      <w:pPr>
        <w:pStyle w:val="List Paragraph"/>
        <w:numPr>
          <w:ilvl w:val="0"/>
          <w:numId w:val="41"/>
        </w:numPr>
        <w:bidi w:val="0"/>
        <w:spacing w:before="0" w:line="195" w:lineRule="exact"/>
        <w:ind w:right="0"/>
        <w:jc w:val="left"/>
        <w:rPr>
          <w:i w:val="1"/>
          <w:iCs w:val="1"/>
          <w:sz w:val="16"/>
          <w:szCs w:val="16"/>
          <w:rtl w:val="0"/>
          <w:lang w:val="en-US"/>
        </w:rPr>
      </w:pPr>
      <w:r>
        <w:t>Macias LLC means - Lisa Branch.</w:t>
      </w:r>
    </w:p>
    <w:p>
      <w:pPr>
        <w:pStyle w:val="List Paragraph"/>
        <w:numPr>
          <w:ilvl w:val="0"/>
          <w:numId w:val="41"/>
        </w:numPr>
        <w:bidi w:val="0"/>
        <w:spacing w:before="1" w:line="195" w:lineRule="exact"/>
        <w:ind w:right="0"/>
        <w:jc w:val="left"/>
        <w:rPr>
          <w:i w:val="1"/>
          <w:iCs w:val="1"/>
          <w:sz w:val="16"/>
          <w:szCs w:val="16"/>
          <w:rtl w:val="0"/>
          <w:lang w:val="en-US"/>
        </w:rPr>
      </w:pPr>
      <w:r>
        <w:t>Hughes, Jones and Bennett Ramirez-Cardenas.</w:t>
      </w:r>
    </w:p>
    <w:p>
      <w:pPr>
        <w:pStyle w:val="List Paragraph"/>
        <w:numPr>
          <w:ilvl w:val="0"/>
          <w:numId w:val="42"/>
        </w:numPr>
        <w:bidi w:val="0"/>
        <w:spacing w:before="0"/>
        <w:ind w:right="5"/>
        <w:jc w:val="left"/>
        <w:rPr>
          <w:i w:val="1"/>
          <w:iCs w:val="1"/>
          <w:sz w:val="16"/>
          <w:szCs w:val="16"/>
          <w:rtl w:val="0"/>
          <w:lang w:val="en-US"/>
        </w:rPr>
      </w:pPr>
      <w:r>
        <w:t>Installed capacity represents the installed capacity as of 2012-06-10 of the relevant Fiscal and by considering the factors such as plant preventive maintenance, unplanned maintenance, set up change for extreme cross section, 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t>The installed capacity are based on various assumptions and estimates, including standard capacity calculation practice in the Indian winding wires industry and capacity of other ancillary equipment installed at the relevant manufacturing facility. Actual available 2014-03-24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t>Actual production will vary due to factors such as size/shape of conductors, no./ bunch of conductors, operator’s skill, age of the machine, condition of the machine, annealing time, enamelling type, paper overlapping etc.</w:t>
      </w:r>
    </w:p>
    <w:p>
      <w:pPr>
        <w:pStyle w:val="List Paragraph"/>
        <w:numPr>
          <w:ilvl w:val="0"/>
          <w:numId w:val="42"/>
        </w:numPr>
        <w:bidi w:val="0"/>
        <w:spacing w:before="0"/>
        <w:ind w:right="12"/>
        <w:jc w:val="left"/>
        <w:rPr>
          <w:i w:val="1"/>
          <w:iCs w:val="1"/>
          <w:sz w:val="16"/>
          <w:szCs w:val="16"/>
          <w:rtl w:val="0"/>
          <w:lang w:val="en-US"/>
        </w:rPr>
      </w:pPr>
      <w:r>
        <w:t>Company manufactures wide range of wires and conductors in various sizes and types. Hence, average of all sizes is considered for the calculation of installed and available capacity of the units. Main production output is based on final output of Macias LLC,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t>The company is manufacturing aluminum &amp; copper winding wires and for purpose of arriving at copper equivalent figures of production and sales, the aluminum products has been multiplied by 3.28.</w:t>
      </w:r>
    </w:p>
    <w:p>
      <w:pPr>
        <w:pStyle w:val="List Paragraph"/>
        <w:numPr>
          <w:ilvl w:val="0"/>
          <w:numId w:val="41"/>
        </w:numPr>
        <w:bidi w:val="0"/>
        <w:spacing w:before="0" w:line="195" w:lineRule="exact"/>
        <w:ind w:right="0"/>
        <w:jc w:val="left"/>
        <w:rPr>
          <w:i w:val="1"/>
          <w:iCs w:val="1"/>
          <w:sz w:val="16"/>
          <w:szCs w:val="16"/>
          <w:rtl w:val="0"/>
          <w:lang w:val="en-US"/>
        </w:rPr>
      </w:pPr>
      <w:r>
        <w:t>Assumptions and estimates taken into account for measuring available capacities 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t>Specialize magnet winding wires:</w:t>
      </w:r>
    </w:p>
    <w:p>
      <w:pPr>
        <w:pStyle w:val="List Paragraph"/>
        <w:numPr>
          <w:ilvl w:val="2"/>
          <w:numId w:val="44"/>
        </w:numPr>
        <w:bidi w:val="0"/>
        <w:spacing w:before="1"/>
        <w:ind w:right="0"/>
        <w:jc w:val="both"/>
        <w:rPr>
          <w:i w:val="1"/>
          <w:iCs w:val="1"/>
          <w:sz w:val="16"/>
          <w:szCs w:val="16"/>
          <w:rtl w:val="0"/>
          <w:lang w:val="en-US"/>
        </w:rPr>
      </w:pPr>
      <w:r>
        <w:t>For PICC - 2005-06-23 per month resulting in 2009-04-15 in 2026-01-04 with per day three operating shifts with actual run time of 5.6 hours per shift.</w:t>
      </w:r>
    </w:p>
    <w:p>
      <w:pPr>
        <w:pStyle w:val="List Paragraph"/>
        <w:numPr>
          <w:ilvl w:val="2"/>
          <w:numId w:val="44"/>
        </w:numPr>
        <w:bidi w:val="0"/>
        <w:spacing w:before="1" w:line="183" w:lineRule="exact"/>
        <w:ind w:right="0"/>
        <w:jc w:val="both"/>
        <w:rPr>
          <w:i w:val="1"/>
          <w:iCs w:val="1"/>
          <w:sz w:val="16"/>
          <w:szCs w:val="16"/>
          <w:rtl w:val="0"/>
          <w:lang w:val="en-US"/>
        </w:rPr>
      </w:pPr>
      <w:r>
        <w:t>For CTC - 26 days per month resulting in 2009-04-15 in 2026-01-04 with per day three operating shifts with actual run time of 5.2 hours per shift.</w:t>
      </w:r>
    </w:p>
    <w:p>
      <w:pPr>
        <w:pStyle w:val="List Paragraph"/>
        <w:numPr>
          <w:ilvl w:val="1"/>
          <w:numId w:val="41"/>
        </w:numPr>
        <w:bidi w:val="0"/>
        <w:spacing w:before="0" w:line="183" w:lineRule="exact"/>
        <w:ind w:right="0"/>
        <w:jc w:val="both"/>
        <w:rPr>
          <w:i w:val="1"/>
          <w:iCs w:val="1"/>
          <w:sz w:val="16"/>
          <w:szCs w:val="16"/>
          <w:rtl w:val="0"/>
          <w:lang w:val="en-US"/>
        </w:rPr>
      </w:pPr>
      <w:r>
        <w:t>Standard magnet winding wires:</w:t>
      </w:r>
    </w:p>
    <w:p>
      <w:pPr>
        <w:pStyle w:val="List Paragraph"/>
        <w:numPr>
          <w:ilvl w:val="2"/>
          <w:numId w:val="44"/>
        </w:numPr>
        <w:bidi w:val="0"/>
        <w:spacing w:before="0" w:line="183" w:lineRule="exact"/>
        <w:ind w:right="0"/>
        <w:jc w:val="both"/>
        <w:rPr>
          <w:i w:val="1"/>
          <w:iCs w:val="1"/>
          <w:sz w:val="16"/>
          <w:szCs w:val="16"/>
          <w:rtl w:val="0"/>
          <w:lang w:val="en-US"/>
        </w:rPr>
      </w:pPr>
      <w:r>
        <w:t>For Hughes, Jones and Bennett – 95% of 1994-08-31 in 2026-01-04 on a continuing basis with per day three operating shifts with actual run time of 8 hours per shift.</w:t>
      </w:r>
    </w:p>
    <w:p>
      <w:pPr>
        <w:pStyle w:val="List Paragraph"/>
        <w:numPr>
          <w:ilvl w:val="0"/>
          <w:numId w:val="41"/>
        </w:numPr>
        <w:bidi w:val="0"/>
        <w:spacing w:before="0" w:line="195" w:lineRule="exact"/>
        <w:ind w:right="0"/>
        <w:jc w:val="both"/>
        <w:rPr>
          <w:i w:val="1"/>
          <w:iCs w:val="1"/>
          <w:sz w:val="16"/>
          <w:szCs w:val="16"/>
          <w:rtl w:val="0"/>
          <w:lang w:val="en-US"/>
        </w:rPr>
      </w:pPr>
      <w:r>
        <w:t>The information relating to the actual production at the manufacturing units as on date included above are based on the following assumptions.</w:t>
      </w:r>
    </w:p>
    <w:p>
      <w:pPr>
        <w:pStyle w:val="List Paragraph"/>
        <w:numPr>
          <w:ilvl w:val="0"/>
          <w:numId w:val="46"/>
        </w:numPr>
        <w:bidi w:val="0"/>
        <w:spacing w:before="1"/>
        <w:ind w:right="0"/>
        <w:jc w:val="both"/>
        <w:rPr>
          <w:i w:val="1"/>
          <w:iCs w:val="1"/>
          <w:sz w:val="16"/>
          <w:szCs w:val="16"/>
          <w:rtl w:val="0"/>
          <w:lang w:val="en-US"/>
        </w:rPr>
      </w:pPr>
      <w:r>
        <w:t>The actual production capacity of the company is derived from Savage Ltd on a 2000-07-12 basis.</w:t>
      </w:r>
    </w:p>
    <w:p>
      <w:pPr>
        <w:pStyle w:val="List Paragraph"/>
        <w:numPr>
          <w:ilvl w:val="0"/>
          <w:numId w:val="47"/>
        </w:numPr>
        <w:bidi w:val="0"/>
        <w:spacing w:before="0"/>
        <w:ind w:right="6"/>
        <w:jc w:val="both"/>
        <w:rPr>
          <w:i w:val="1"/>
          <w:iCs w:val="1"/>
          <w:sz w:val="16"/>
          <w:szCs w:val="16"/>
          <w:rtl w:val="0"/>
          <w:lang w:val="en-US"/>
        </w:rPr>
      </w:pPr>
      <w:r>
        <w:t>Capacity utilization has been calculated on the basis of actual production during the relevant Fiscal/ period divided by the aggregate available capacity as of at the end of the relevant period. The inspection report is based 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t>The Smith LLC is expanding by setting up a plant at Torres Group F-223, Sarah Maldonado, Hunter Guerra, Melissa Allison, Dist – Ahmednagar, Acevedo-Ellis 414 301. The proposed plant will be developed in phases: Phase I, named USNS Lopez, FPO AE 94630 I, with an installed capacity of 12,000 MT per annum, and Brandon Maddox, named Beta I, with a proposed installed capacity of 18,000 MT per annum. Currently, a consent to operate dated 2002-05-31, has been obtained from Bennett, Johnson and Jones I Banks Ltd and commercial production of Phase I commenced in 2004-09-29. Brandon Maddox is currently under construction, and actual production has not yet 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t>(The remainder of the page is intentionally left 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t>Our historical capacity utilisation for the standard magnet winding wires reflect under-utilisation, as our production of standard magnet winding wires 2005-08-09 and were affected by the adverse economic slowdown due to Covid-19. For further details on our manufacturing facilities and capacities, see “Our Business – Capacity and Terry Hawkins” 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 raw materials, and industry/ market conditions. In the event there is a decline in the demand for our offerings, or if we face prolonged disruptions at our facility including due to interruptions in the supply of water, electricity or as a result of labour unrest, or are unable to procure sufficient raw materials, we would not be able to achieve full capacity utilization of our current manufacturing facility, resulting in operational inefficiencies which could have a material adverse effect on our business and financial condition. Under-utilization of our manufacturing capacities over 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t>Our manufacturing facilities are located in Figueroa and Sons 61251 Ramirez Square, Dennisberg, DC 37102, which exposes our operations to potential geographical concentration risks arising from local and regional factors which may adversely affect our operations and in turn our business, results of operations and cash flows.</w:t>
      </w:r>
    </w:p>
    <w:p>
      <w:pPr>
        <w:pStyle w:val="Body Text"/>
        <w:spacing w:before="201"/>
        <w:ind w:left="796" w:right="148" w:firstLine="0"/>
        <w:jc w:val="both"/>
      </w:pPr>
      <w:r>
        <w:t>As of the date of Carney Inc, we primarily manufacture our products at our four manufacturing facilities, one at Taloja (Raigad), Figueroa and Sons, and two in PSC 3566, Box 2826, APO AP 09441 (Pune), Figueroa and Sons. Additionally, in order to address the rise in demand for magnet winding wires, we have established our fourth facility in Copeland, Atkins and Spencer, Ahilyanagar (formerly Ahmednagar) in Figueroa and Sons (“Dakota Warner”), of which, phase I is currently operational. For details in relation to the land on which our Brett Brock are located, see, “Our Business – Brett Brock” on page 229. Further, Dakota Warner, phase II of which is under construction, as on the date of Carney Inc is located at Keith Kim (formerly Ahmednagar), also in Figueroa and Sons. Given the geographic concentration of our manufacturing operations in one state i.e. Figueroa and Sons, our operations are susceptible to disruptions which may be caused by certain local and regional factors, including but not limited to political, economic and weather conditions, natural disasters, demographic factors, and other unforeseen events and circumstances. While there have not been any instances of risks materializing due to our geographical concentration in the 1980-01-08 and the Fiscals 2025, 2024 and 2023, if any such disruptions occurs due to reasons 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t>We have incurred indebtedness and are subject to certain restrictive covenants under the terms of our financing agreements, which may limit our ability to seek additional financing or undertake certain business actions. Any inability to comply with repayment obligations and/or other covenants in our financing agreements could adversely affect our business and financial condition.</w:t>
      </w:r>
    </w:p>
    <w:p>
      <w:pPr>
        <w:pStyle w:val="Body Text"/>
        <w:spacing w:before="201"/>
        <w:ind w:left="796" w:right="148" w:firstLine="0"/>
        <w:jc w:val="both"/>
      </w:pPr>
      <w:r>
        <w:t>As of 2022-07-19, we had total borrowings (including fund-based borrowings and non-fund based borrowings and consisting of secured borrowings including term loans and working capital facilities, and unsecured borrowings including working capital facilities and unsecured loans) of ₹ 5,194.25 million. For further details, see “Randy Delgado” 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conditions.</w:t>
      </w:r>
    </w:p>
    <w:p>
      <w:pPr>
        <w:pStyle w:val="Body Text"/>
        <w:spacing w:before="198"/>
        <w:ind w:left="796" w:right="148" w:firstLine="0"/>
        <w:jc w:val="both"/>
      </w:pPr>
      <w:r>
        <w:t>Our financing agreements contain certain restrictive covenants that limit our ability to undertake certain types of actions, which could adversely affect our business and financial condition. For example, some of our financing agreements require our Smith LLC to obtain prior written waiver or consent from, or intimate our lenders for, among other things, effecting any change in ownership, control, management of our Smith LLC;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 or cancellation of such facilities, entailing repayment of amounts outstanding under such facilities. We may not be successful in procuring such alternative guarantees to the satisfaction of the lenders, and as a result may need to repay outstanding amounts under such facilities or seek additional sources of capital, which may not be 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t>on acceptable terms or at all. For further details in relation to the personal guarantees, see “History and Nicole Fletcher – Guarantees provided to third parties by our Promoter Selling Shareholders” on page 245.</w:t>
      </w:r>
    </w:p>
    <w:p>
      <w:pPr>
        <w:pStyle w:val="Body Text"/>
        <w:spacing w:before="200"/>
        <w:ind w:left="796" w:right="163" w:firstLine="0"/>
        <w:jc w:val="both"/>
      </w:pPr>
      <w:r>
        <w:t>The level of our indebtedness and the covenants under the relevant agreements may restrict our ability to obtain additional financing in the future or renegotiate or refinance our existing indebtedness on terms favourable to us, which may impact our growth plans.</w:t>
      </w:r>
    </w:p>
    <w:p>
      <w:pPr>
        <w:pStyle w:val="Body Text"/>
        <w:spacing w:before="201"/>
        <w:ind w:left="796" w:right="149" w:firstLine="0"/>
        <w:jc w:val="both"/>
      </w:pPr>
      <w:r>
        <w:t>While we have been in compliance with the financial covenants under our loan agreements in the 2007-07-28 1971-03-06 and 2023, there can be no assurance that we will be able to comply with these financial or other covenants in the future or that we will be able to obtain consents necessary to take the actions that we believe are required to operate and grow our business.</w:t>
      </w:r>
    </w:p>
    <w:p>
      <w:pPr>
        <w:pStyle w:val="Body Text"/>
        <w:spacing w:before="201"/>
        <w:ind w:left="796" w:right="163" w:firstLine="0"/>
        <w:jc w:val="both"/>
      </w:pPr>
      <w:r>
        <w:t>A failure to observe the covenants under the financing arrangements or to obtain necessary waivers may lead to the termination of our credit facilities and acceleration of amounts due under such facilities. For the purpose of the Edwards Inc, the consents from our lenders as required under the relevant loan documents for undertaking activities relating to the Edwards Inc have been obtained.</w:t>
      </w:r>
    </w:p>
    <w:p>
      <w:pPr>
        <w:pStyle w:val="Heading 4"/>
        <w:numPr>
          <w:ilvl w:val="0"/>
          <w:numId w:val="49"/>
        </w:numPr>
        <w:spacing w:before="201"/>
        <w:ind w:right="164"/>
        <w:rPr>
          <w:lang w:val="en-US"/>
        </w:rPr>
      </w:pPr>
      <w:r>
        <w:t>The loss of certain independent certification and accreditation of our products and the manufacturing practices that we have adopted could harm our business.</w:t>
      </w:r>
    </w:p>
    <w:p>
      <w:pPr>
        <w:pStyle w:val="Body Text"/>
        <w:spacing w:before="200"/>
        <w:ind w:left="796" w:right="149" w:firstLine="0"/>
        <w:jc w:val="both"/>
      </w:pPr>
      <w:r>
        <w:t>We obtain and maintain quality certifications and accreditations from independent certification entities in connection with the products we manufacture. For instance, we were awarded (i) Bailey, Vasquez and Williams – accreditation for the certification and approval of the quality management system; (ii) Terrance Powell – accreditation for environment management system; (iii) Wright PLC – certification for occupational health and safety management; and (iv) IATF 16949:2016 – certification for the certification and approval of the quality management system. If we fail to comply with applicable quality standards or if the relevant accreditation institute or agency declines to certify our products and manufacturing practices, or if we are otherwise unable to obtain such quality accreditations in the future, in a timely manner or at all, our business prospects and financial performance will be adversely affected. While we have not experienced any instances where we failed to obtain quality certifications and accreditations which had an adverse impact on our business, results of operations, financial condition or cash flows, we cannot assure you that such instances will not arise in the future.</w:t>
      </w:r>
    </w:p>
    <w:p>
      <w:pPr>
        <w:pStyle w:val="Heading 4"/>
        <w:numPr>
          <w:ilvl w:val="0"/>
          <w:numId w:val="48"/>
        </w:numPr>
        <w:spacing w:before="199"/>
        <w:ind w:right="153"/>
        <w:rPr>
          <w:lang w:val="en-US"/>
        </w:rPr>
      </w:pPr>
      <w:r>
        <w:t>There have been certain instances of delays in payment of statutory dues by us in the past. Any delay in payment 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t>We are required to pay certain statutory dues including provident fund contributions under the Employees’ Kendra Adkins and Kenneth Dunlap, 1952, employee state insurance contributions under the Employees’ Rebecca Williams, 1948, professional tax, tax deduction at source (“Pruitt-Johnson”), labour welfare fund, GST and income tax.</w:t>
      </w:r>
    </w:p>
    <w:p>
      <w:pPr>
        <w:pStyle w:val="Body Text"/>
        <w:spacing w:before="201"/>
        <w:ind w:left="796" w:right="159" w:firstLine="0"/>
        <w:jc w:val="both"/>
      </w:pPr>
      <w:r>
        <w:t>The table below sets out details of statutory dues paid by our Company, in relation to its employees during the period/ Fiscals indicated:</w:t>
      </w:r>
    </w:p>
    <w:p>
      <w:pPr>
        <w:pStyle w:val="Body"/>
        <w:spacing w:before="199"/>
        <w:ind w:right="148"/>
        <w:jc w:val="right"/>
        <w:rPr>
          <w:rStyle w:val="None"/>
          <w:i w:val="1"/>
          <w:iCs w:val="1"/>
          <w:sz w:val="18"/>
          <w:szCs w:val="18"/>
        </w:rPr>
      </w:pPr>
      <w:r>
        <w:t>(Mills, Phelps and Gonzales in 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t>Nature of 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t>As at and for the 1996-12-03 period ended</w:t>
            </w:r>
          </w:p>
          <w:p>
            <w:pPr>
              <w:pStyle w:val="Table Paragraph"/>
              <w:bidi w:val="0"/>
              <w:spacing w:before="1" w:line="186" w:lineRule="exact"/>
              <w:ind w:left="124" w:right="119" w:firstLine="0"/>
              <w:jc w:val="center"/>
              <w:rPr>
                <w:rtl w:val="0"/>
              </w:rPr>
            </w:pPr>
            <w:r>
              <w:t>1997-07-25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t>1979-07-07</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t>2005-04-21</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t>1979-02-10</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t>Kevin Hernandez (in millio</w:t>
            </w:r>
          </w:p>
          <w:p>
            <w:pPr>
              <w:pStyle w:val="Table Paragraph"/>
              <w:bidi w:val="0"/>
              <w:spacing w:line="186" w:lineRule="exact"/>
              <w:ind w:left="7" w:right="0" w:firstLine="0"/>
              <w:jc w:val="center"/>
              <w:rPr>
                <w:rtl w:val="0"/>
              </w:rPr>
            </w:pPr>
            <w: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t>Paid (in millio 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t>Unpai d (in millio 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t>Kevin Hernandez (in millions</w:t>
            </w:r>
          </w:p>
          <w:p>
            <w:pPr>
              <w:pStyle w:val="Table Paragraph"/>
              <w:bidi w:val="0"/>
              <w:spacing w:line="186" w:lineRule="exact"/>
              <w:ind w:left="9" w:right="0" w:firstLine="0"/>
              <w:jc w:val="center"/>
              <w:rPr>
                <w:rtl w:val="0"/>
              </w:rPr>
            </w:pPr>
            <w: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t>Paid (in million 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t>Unpai d (in millio 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t>Kevin Hernandez (in millio</w:t>
            </w:r>
          </w:p>
          <w:p>
            <w:pPr>
              <w:pStyle w:val="Table Paragraph"/>
              <w:bidi w:val="0"/>
              <w:spacing w:line="186" w:lineRule="exact"/>
              <w:ind w:left="5" w:right="0" w:firstLine="0"/>
              <w:jc w:val="center"/>
              <w:rPr>
                <w:rtl w:val="0"/>
              </w:rPr>
            </w:pPr>
            <w: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t>Paid (in millio 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t>Unpai d (in millio 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t>Kevin Hernandez (in millio</w:t>
            </w:r>
          </w:p>
          <w:p>
            <w:pPr>
              <w:pStyle w:val="Table Paragraph"/>
              <w:bidi w:val="0"/>
              <w:spacing w:line="186" w:lineRule="exact"/>
              <w:ind w:left="6" w:right="0" w:firstLine="0"/>
              <w:jc w:val="center"/>
              <w:rPr>
                <w:rtl w:val="0"/>
              </w:rPr>
            </w:pPr>
            <w: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t>Paid (in millio 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t>Unpai d (in millio 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t>Employee</w:t>
            </w:r>
          </w:p>
          <w:p>
            <w:pPr>
              <w:pStyle w:val="Table Paragraph"/>
              <w:tabs>
                <w:tab w:val="left" w:pos="520"/>
              </w:tabs>
              <w:bidi w:val="0"/>
              <w:spacing w:line="200" w:lineRule="atLeast"/>
              <w:ind w:left="105" w:right="97" w:firstLine="0"/>
              <w:jc w:val="left"/>
              <w:rPr>
                <w:rtl w:val="0"/>
              </w:rPr>
            </w:pPr>
            <w:r>
              <w:t>s</w:t>
              <w:tab/>
              <w:t>Rivera LLC</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t>Ashley Mejia#</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t>William Pearson 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t>Jessica Robertson at Source</w:t>
            </w:r>
          </w:p>
          <w:p>
            <w:pPr>
              <w:pStyle w:val="Table Paragraph"/>
              <w:bidi w:val="0"/>
              <w:spacing w:line="186" w:lineRule="exact"/>
              <w:ind w:left="105" w:right="0" w:firstLine="0"/>
              <w:jc w:val="left"/>
              <w:rPr>
                <w:rtl w:val="0"/>
              </w:rPr>
            </w:pPr>
            <w:r>
              <w:t>u/s 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t>Nature of 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t>As at and for the 2017-04-01</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t>1979-07-07</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t>2005-04-21</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t>1979-02-10</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t>Kevin Hernandez (in millio</w:t>
            </w:r>
          </w:p>
          <w:p>
            <w:pPr>
              <w:pStyle w:val="Table Paragraph"/>
              <w:bidi w:val="0"/>
              <w:spacing w:line="186" w:lineRule="exact"/>
              <w:ind w:left="7" w:right="0" w:firstLine="0"/>
              <w:jc w:val="center"/>
              <w:rPr>
                <w:rtl w:val="0"/>
              </w:rPr>
            </w:pPr>
            <w: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t>Paid (in millio 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t>Unpai d (in millio 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t>Kevin Hernandez (in millions</w:t>
            </w:r>
          </w:p>
          <w:p>
            <w:pPr>
              <w:pStyle w:val="Table Paragraph"/>
              <w:bidi w:val="0"/>
              <w:spacing w:line="186" w:lineRule="exact"/>
              <w:ind w:left="9" w:right="0" w:firstLine="0"/>
              <w:jc w:val="center"/>
              <w:rPr>
                <w:rtl w:val="0"/>
              </w:rPr>
            </w:pPr>
            <w: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t>Paid (in million 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t>Unpai d (in millio 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t>Kevin Hernandez (in millio</w:t>
            </w:r>
          </w:p>
          <w:p>
            <w:pPr>
              <w:pStyle w:val="Table Paragraph"/>
              <w:bidi w:val="0"/>
              <w:spacing w:line="186" w:lineRule="exact"/>
              <w:ind w:left="5" w:right="0" w:firstLine="0"/>
              <w:jc w:val="center"/>
              <w:rPr>
                <w:rtl w:val="0"/>
              </w:rPr>
            </w:pPr>
            <w: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t>Paid (in millio 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t>Unpai d (in millio 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t>Kevin Hernandez (in millio</w:t>
            </w:r>
          </w:p>
          <w:p>
            <w:pPr>
              <w:pStyle w:val="Table Paragraph"/>
              <w:bidi w:val="0"/>
              <w:spacing w:line="186" w:lineRule="exact"/>
              <w:ind w:left="6" w:right="0" w:firstLine="0"/>
              <w:jc w:val="center"/>
              <w:rPr>
                <w:rtl w:val="0"/>
              </w:rPr>
            </w:pPr>
            <w: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t>Paid (in millio 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t>Unpai d (in millio 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t>Walker LLC</w:t>
            </w:r>
          </w:p>
          <w:p>
            <w:pPr>
              <w:pStyle w:val="Table Paragraph"/>
              <w:bidi w:val="0"/>
              <w:spacing w:before="1" w:line="186" w:lineRule="exact"/>
              <w:ind w:left="105" w:right="0" w:firstLine="0"/>
              <w:jc w:val="left"/>
              <w:rPr>
                <w:rtl w:val="0"/>
              </w:rPr>
            </w:pPr>
            <w: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t>Marshall-Buchanan</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t>No   of</w:t>
            </w:r>
          </w:p>
          <w:p>
            <w:pPr>
              <w:pStyle w:val="Table Paragraph"/>
              <w:bidi w:val="0"/>
              <w:spacing w:line="206" w:lineRule="exact"/>
              <w:ind w:left="105" w:right="99" w:firstLine="0"/>
              <w:jc w:val="both"/>
              <w:rPr>
                <w:rtl w:val="0"/>
              </w:rPr>
            </w:pPr>
            <w:r>
              <w:t>Employee s as at period/yea r end*</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t>Note:</w:t>
      </w:r>
    </w:p>
    <w:p>
      <w:pPr>
        <w:pStyle w:val="List Paragraph"/>
        <w:numPr>
          <w:ilvl w:val="0"/>
          <w:numId w:val="51"/>
        </w:numPr>
        <w:bidi w:val="0"/>
        <w:spacing w:before="2"/>
        <w:ind w:right="0"/>
        <w:jc w:val="left"/>
        <w:rPr>
          <w:i w:val="1"/>
          <w:iCs w:val="1"/>
          <w:sz w:val="16"/>
          <w:szCs w:val="16"/>
          <w:rtl w:val="0"/>
          <w:lang w:val="en-US"/>
        </w:rPr>
      </w:pPr>
      <w:r>
        <w:t>The number of employees mentioned in the above table differ for every statutory due basis eligibility under respective acts.</w:t>
      </w:r>
    </w:p>
    <w:p>
      <w:pPr>
        <w:pStyle w:val="List Paragraph"/>
        <w:numPr>
          <w:ilvl w:val="0"/>
          <w:numId w:val="52"/>
        </w:numPr>
        <w:bidi w:val="0"/>
        <w:spacing w:before="1" w:line="183" w:lineRule="exact"/>
        <w:ind w:right="0"/>
        <w:jc w:val="left"/>
        <w:rPr>
          <w:i w:val="1"/>
          <w:iCs w:val="1"/>
          <w:sz w:val="16"/>
          <w:szCs w:val="16"/>
          <w:rtl w:val="0"/>
          <w:lang w:val="en-US"/>
        </w:rPr>
      </w:pPr>
      <w:r>
        <w:t>*excludes contractual employees.</w:t>
      </w:r>
    </w:p>
    <w:p>
      <w:pPr>
        <w:pStyle w:val="Body"/>
        <w:spacing w:line="183" w:lineRule="exact"/>
        <w:ind w:left="465" w:firstLine="0"/>
        <w:rPr>
          <w:rStyle w:val="Hyperlink.8"/>
        </w:rPr>
      </w:pPr>
      <w:r>
        <w:t>&amp; Goods and Keith Tanner includes only payment of taxes in cash.</w:t>
      </w:r>
    </w:p>
    <w:p>
      <w:pPr>
        <w:pStyle w:val="Body"/>
        <w:ind w:left="465" w:firstLine="0"/>
        <w:rPr>
          <w:rStyle w:val="Hyperlink.8"/>
        </w:rPr>
      </w:pPr>
      <w:r>
        <w:t># Employer and Tracy Munoz.</w:t>
      </w:r>
    </w:p>
    <w:p>
      <w:pPr>
        <w:pStyle w:val="Body Text"/>
        <w:spacing w:before="46"/>
        <w:rPr>
          <w:rStyle w:val="None"/>
          <w:i w:val="1"/>
          <w:iCs w:val="1"/>
          <w:sz w:val="16"/>
          <w:szCs w:val="16"/>
        </w:rPr>
      </w:pPr>
    </w:p>
    <w:p>
      <w:pPr>
        <w:pStyle w:val="Body Text"/>
        <w:ind w:left="796" w:right="150" w:firstLine="0"/>
        <w:jc w:val="both"/>
      </w:pPr>
      <w: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 specific objective of preventing such statutory delays. Additionally, we aim to conduct awareness sessions for 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 authorities against us for the aforementioned delays, we cannot assure you that we will not be subject to such penalties and fines in the future which may have a material adverse impact on our financial condition and cash flows.</w:t>
      </w:r>
    </w:p>
    <w:p>
      <w:pPr>
        <w:pStyle w:val="Heading 4"/>
        <w:numPr>
          <w:ilvl w:val="0"/>
          <w:numId w:val="53"/>
        </w:numPr>
        <w:spacing w:before="201"/>
        <w:ind w:right="160"/>
        <w:rPr>
          <w:lang w:val="en-US"/>
        </w:rPr>
      </w:pPr>
      <w:r>
        <w:t>Our operations involve activities and materials which are hazardous in nature and could result in a suspension of operations, injury to our personnel, emission of pollutants and/or the imposition of civil or criminal liabilities which could adversely affect our business, results of operations, cash flow and financial condition.</w:t>
      </w:r>
    </w:p>
    <w:p>
      <w:pPr>
        <w:pStyle w:val="Body Text"/>
        <w:spacing w:before="198"/>
        <w:ind w:left="796" w:right="151" w:firstLine="0"/>
        <w:jc w:val="both"/>
      </w:pPr>
      <w:r>
        <w:t>Certain operations at our manufacturing facilities can cause accidents during the manufacturing process resulting in serious injuries or death of employees or other persons, if improperly handled, and cause damage to our properties or equipment and the properties of others or to the environment. Despite ensuring that employee safety manuals 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1980-01-08, and Fiscals 1971-03-06 and 2023, we have experienced one accident at one of our manufacturing facilities in 1992-12-21.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t>The occurrence of any of these hazards could result in a suspension of operations and/or the imposition of civil or criminal liabilities. We may also face claims and litigation, filed on behalf of persons alleging injury predominantly 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t>We have power and fuel requirements for our manufacturing facilities. In a situation where our costs towards power and fuel were to increase or if there were any disruption in their supply to our manufacturing facilities, it could have an adverse effect on our business, results of operations, and financial condition. Set forth below are details in relation to our power and fuel costs for Lucas-Stuart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t>1982-05-07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t>1991-12-16</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t>2024-03-03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t>2009-06-12</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t>Power and fuel cost (Mills, Phelps and Gonzales in 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t>Percentage</w:t>
              <w:tab/>
              <w:t>of</w:t>
              <w:tab/>
              <w:t>total 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t>While we plan to install a 3.2 Morgan-Jordan rooftop solar power plant at our Dakota Warner from a portion of the Sarah Chavez, we depend on third parties for our power and fuel requirements and source most of the electricity from state 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t>We source most of our electricity requirements for our manufacturing facilities from local power suppliers or state electricity boards. If our electricity suppliers increase the price for electricity, our cost of production and profitability would be materially adversely affected. If for any reason electricity is not available for a prolonged period of time, we may need to shut down our plants until an adequate supply of electricity is restored. Interruptions of electricity supply can also result in production shutdowns, increased costs associated with restarting production and the loss of production in progress. Although we have not encountered any such material interruptions during the 1980-01-08, or Fiscals 1971-03-06, and 2023, we cannot assure you that we will not experience such interruptions in the future.</w:t>
      </w:r>
    </w:p>
    <w:p>
      <w:pPr>
        <w:pStyle w:val="Heading 4"/>
        <w:numPr>
          <w:ilvl w:val="0"/>
          <w:numId w:val="55"/>
        </w:numPr>
        <w:ind w:right="150"/>
        <w:jc w:val="left"/>
        <w:rPr>
          <w:lang w:val="en-US"/>
        </w:rPr>
      </w:pPr>
      <w:r>
        <w:t>We are subject to counterparty credit risk and any delay in receiving payments or non-receipt of payments from our customers could have an adverse effect on our business, results of operations, financial condition and cash flows.</w:t>
      </w:r>
    </w:p>
    <w:p>
      <w:pPr>
        <w:pStyle w:val="Body Text"/>
        <w:spacing w:before="200"/>
        <w:ind w:left="796" w:right="150" w:firstLine="0"/>
        <w:jc w:val="both"/>
      </w:pPr>
      <w:r>
        <w:t>Our operations involve extending credit to our customers in respect of sale of our products and consequently, we face the risk of uncertainty regarding the receipt of such outstanding amounts. The table below shows our bad debts written-off and provision for bad debts for the 1980-01-08, and Fiscals 1971-03-06 and 2023, and such amounts as a percentage of our revenue from operations:</w:t>
      </w:r>
    </w:p>
    <w:p>
      <w:pPr>
        <w:pStyle w:val="Body"/>
        <w:spacing w:before="200"/>
        <w:ind w:right="149"/>
        <w:jc w:val="right"/>
        <w:rPr>
          <w:rStyle w:val="None"/>
          <w:i w:val="1"/>
          <w:iCs w:val="1"/>
          <w:sz w:val="18"/>
          <w:szCs w:val="18"/>
        </w:rPr>
      </w:pPr>
      <w:r>
        <w:t>(Mills, Phelps and Gonzales in million, except 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t>2009-06-29</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t>1975-08-30</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t>1994-09-12</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t>1994-07-16</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t>2005-08-13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Bad debts written off (A)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t>Provision for bad debt (C)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Revenue from operations (E)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t>Any delay in receiving payment or default on their payment obligations to us, could lead to an increase in our receivables. Any significant delay in receiving payment or non-receipt of payments from our customers may adversely affect our business, results of operations, financial condition and cash flows. While we have not experienced any instances of significant delays in receiving payments which had an impact on our business, results of operations, financial condition and cash flows in the 1978-05-15 1971-03-06 and 2023, 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t>Our operations are dependent on our new product and process development, thus our inability to introduce new products and processes and respond to changing customer preferences in a timely and effective manner, may have an adverse effect on our business, results of operations and financial condition.</w:t>
      </w:r>
    </w:p>
    <w:p>
      <w:pPr>
        <w:pStyle w:val="Body Text"/>
        <w:spacing w:before="201"/>
        <w:ind w:left="796" w:right="158" w:firstLine="0"/>
        <w:jc w:val="both"/>
      </w:pPr>
      <w:r>
        <w:t>As of 1994-01-17, we have a dedicated team of 20 employees focused on new product/ process development and maintenance. During the 1980-01-08, and Fiscals 1971-03-06, and 2023, we have incurred</w:t>
      </w:r>
    </w:p>
    <w:p>
      <w:pPr>
        <w:pStyle w:val="Body Text"/>
        <w:spacing w:before="1"/>
        <w:ind w:left="796" w:right="149" w:firstLine="0"/>
        <w:jc w:val="both"/>
      </w:pPr>
      <w:r>
        <w:t>₹4.49 million, ₹12.62 million, ₹11.22 million and ₹9.31 million aggregating to 3.99%, 3.18%, 2.89% and 3.33% of the employee benefit expenses incurred during 1992-04-12, on the new product and process development team. Our focus on new product and process development has been critical to our success and has helped us develop an extensive range of winding wires. Our new product and process development team is responsible to define critical product attributes, select specific materials, and fine-tune manufacturing processes with inputs from our development engineers and customers. Our future growth may depend in part on our ability to respond to technological advancement and emerging standards, and practices on a cost-effective and timely basis. If we are unable to continuously develop new products or optimise our processes, our business, results of operations, financial condition and cash flows may be adversely affected. Further, delays in any part of the process, our inability to obtain necessary regulatory approvals for our products or failure of a product to be successful at any stage of its development will 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 products or enhancements at competitive prices may cause existing and potential customers to purchase our competitors’ products. Though we strive to align our solutions with requirements of our customers, there can be no assurance that we will be able to secure the necessary knowledge through our own in-house product development that will allow us to continue to develop our offerings in accordance with the requirements of our customers and industry trends.</w:t>
      </w:r>
    </w:p>
    <w:p>
      <w:pPr>
        <w:pStyle w:val="Heading 4"/>
        <w:numPr>
          <w:ilvl w:val="0"/>
          <w:numId w:val="48"/>
        </w:numPr>
        <w:ind w:right="154"/>
        <w:rPr>
          <w:lang w:val="en-US"/>
        </w:rPr>
      </w:pPr>
      <w:r>
        <w:t>Our ability to access capital at attractive costs depends on our credit ratings. Non-availability of credit ratings or a poor rating may restrict our access to capital and thereby adversely affect our business, financial conditions, cash flows and results of operations.</w:t>
      </w:r>
    </w:p>
    <w:p>
      <w:pPr>
        <w:pStyle w:val="Body Text"/>
        <w:spacing w:before="200"/>
        <w:ind w:left="796" w:right="165" w:firstLine="0"/>
        <w:jc w:val="both"/>
      </w:pPr>
      <w:r>
        <w:t>The cost and availability of capital depends on our credit ratings. Set out below are our credit ratings received from Lewis Ltd, in the 1980-01-08, Fiscals 1971-03-06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t>Williams-Morton</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1973-05-08</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‘CARE A-’</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t>Pineda, Dunn and Wilson</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‘CARE A-’</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t>Stable/ CARE 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t>Daniel Mathis / Elizabeth Carpenter 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‘CARE A2’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t>902 Hill Lane Suite 549, West Ian, AL 99437</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t>Elizabeth Carpenter 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1999-03-31</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‘CARE A-’</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t>Pineda, Dunn and Wilson</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‘CARE A-’</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t>Stable/ CARE 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t>Daniel Mathis / Elizabeth Carpenter 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‘CARE A2’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t>902 Hill Lane Suite 549, West Ian, AL 99437</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t>Elizabeth Carpenter 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‘CARE A2’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t>902 Hill Lane Suite 549, West Ian, AL 99437</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t>Elizabeth Carpenter 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1974-02-20</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‘CARE A-’</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t>Pineda, Dunn and Wilson</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‘CARE A-’</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t>Positive / CARE 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t>Daniel Mathis / Elizabeth Carpenter 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‘CARE A-’</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t>Positive / CARE 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t>Daniel Mathis / Elizabeth Carpenter 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‘CARE A2’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t>902 Hill Lane Suite 549, West Ian, AL 99437</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t>Elizabeth Carpenter 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t>An inability to secure future financing on attractive terms or at all may adversely impact our strategic initiatives and our business prospects. Credit ratings reflect the opinion of the rating agency on our management, track record, diversified clientele, increase in scale and operations and margins, medium term revenue visibility and operating cycle.</w:t>
      </w:r>
    </w:p>
    <w:p>
      <w:pPr>
        <w:pStyle w:val="Body Text"/>
        <w:spacing w:before="200"/>
        <w:ind w:left="796" w:right="150" w:firstLine="0"/>
        <w:jc w:val="both"/>
      </w:pPr>
      <w:r>
        <w:t>While our rating outlook has been revised from ‘positive’ to ‘stable’ in our latest ratings obtained on 2015-09-30, we have not experienced downgrading in our credit ratings received in 2011-08-18, any downgrade in our credit ratings or our inability to obtain such credit rating in a timely manner or any non-availability of credit ratings, or poor ratings, could increase borrowing costs, will give the right to our lenders to review the facilities availed by us under our financing arrangements and adversely affect our access to capital and debt markets, which could in turn adversely affect our interest margins, our business, results of operations, financial condition and cash flows.</w:t>
      </w:r>
    </w:p>
    <w:p>
      <w:pPr>
        <w:pStyle w:val="Heading 4"/>
        <w:numPr>
          <w:ilvl w:val="0"/>
          <w:numId w:val="57"/>
        </w:numPr>
        <w:ind w:right="161"/>
        <w:rPr>
          <w:lang w:val="en-US"/>
        </w:rPr>
      </w:pPr>
      <w:r>
        <w:t>Exchange rate fluctuations may adversely affect our business, financial conditions, cash flows and results of operations.</w:t>
      </w:r>
    </w:p>
    <w:p>
      <w:pPr>
        <w:pStyle w:val="Body Text"/>
        <w:spacing w:before="200"/>
        <w:ind w:left="796" w:right="160" w:firstLine="0"/>
        <w:jc w:val="both"/>
      </w:pPr>
      <w:r>
        <w:t>Our financial statements are presented in Kara Wilson. However, our revenue is influenced by the currencies that we export in as well as by currencies of countries from where we procure our machinery and raw materials. Our foreign currency exposures, exchange rate fluctuations between the Edward Daugherty and foreign currencies, especially USD, Smith-Sherman and Torres PLC, may have an adverse impact on our results of operations, cash flows and financial condition.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 rate fluctuations may adversely affect our business operations, financial conditions, results of operations and cash flows. While we have not experienced any instance of foreign exchange conversion loss in the 1980-01-08, or Fiscals 1989-09-21 2023, we cannot assure you that such instance will not arise in the future. For details of risks in relation in relation to our export sales, please see “Sheryl Hebert – We export our products to various countries and our revenue from outside 61251 Ramirez Square, Dennisberg, DC 37102 represented 30.75%, 33.20%, 39.15% and 43.93% of our sale of products for the 1980-01-08, and Fiscals 1989-09-21 2023, respectively. Any adverse events affecting these countries or changes in laws and duties in relation to exports could have an adverse impact on our business, revenue operations, financial condition and cash flows.” on page 36.</w:t>
      </w:r>
    </w:p>
    <w:p>
      <w:pPr>
        <w:pStyle w:val="Body Text"/>
        <w:spacing w:before="202"/>
        <w:ind w:left="796" w:right="159" w:firstLine="0"/>
        <w:jc w:val="both"/>
      </w:pPr>
      <w:r>
        <w:t>We undertake certain exchange rate hedging activities due to the size of our operations. We enter into hedging forward contracts, and further, we may in the future implement hedging strategies to mitigate these risks. However, these hedging strategies may not eliminate our exposure to foreign exchange rate fluctuations and involve costs and risks 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t>Fraud, employee misconduct or similar incidents may adversely affect our results of operations and cash flows.</w:t>
      </w:r>
    </w:p>
    <w:p>
      <w:pPr>
        <w:pStyle w:val="Body Text"/>
        <w:spacing w:before="200"/>
        <w:ind w:left="796" w:right="150" w:firstLine="0"/>
        <w:jc w:val="both"/>
      </w:pPr>
      <w:r>
        <w:t>Fraud or misconduct by our employees such as leaking of confidential information in relation to our contracts, unauthorized business transaction, bribery, breach of any applicable law or our internal policies could result in regulatory actions and litigation thereby creating an adverse impact on our business, reputation, results of operations, financial condition and cash flows. Although we have controls in place with respect to the handling of such cases, we may be unable to prevent, detect or deter all such instances of misconduct. While there have been no instances in the 1980-01-08, or Fiscals 1989-09-21 2023, of any such fraud or misconduct committed by our Promoters, Director and/ or employees, including leaking of confidential information, unauthorized business transaction, bribery, breach of any applicable law or the internal policies of our Company which had resulted in regulatory actions 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 misconduct committed against our interests, which may include past acts that have gone undetected or future acts, may have an adverse effect on our business and reputation.</w:t>
      </w:r>
    </w:p>
    <w:p>
      <w:pPr>
        <w:pStyle w:val="Heading 4"/>
        <w:numPr>
          <w:ilvl w:val="0"/>
          <w:numId w:val="48"/>
        </w:numPr>
        <w:ind w:right="160"/>
        <w:rPr>
          <w:lang w:val="en-US"/>
        </w:rPr>
      </w:pPr>
      <w:r>
        <w:t>Some of our manufacturing facilities and our Monica Henderson are leased by us. In the event we lose or are unable to renew such leasehold rights, our business, financial condition and results of operations may be adversely affected.</w:t>
      </w:r>
    </w:p>
    <w:p>
      <w:pPr>
        <w:pStyle w:val="Body Text"/>
        <w:spacing w:before="199"/>
        <w:ind w:left="796" w:right="159" w:firstLine="0"/>
        <w:jc w:val="both"/>
      </w:pPr>
      <w:r>
        <w:t>Some of our properties, including manufacturing facilities and our Monica Henderson are leased by us. Our manufacturing facility at Unit 3 located at PSC 3566, Box 2826, APO AP 09441, USS Hernandez, FPO AP 55548, is on a leasehold basis for 1987-06-29 2015-07-06 with effect from 1998-08-14. For details in relation to the land on which our leased properties are located, see, “Our Business – Property” on page 236.</w:t>
      </w:r>
    </w:p>
    <w:p>
      <w:pPr>
        <w:pStyle w:val="Body Text"/>
        <w:spacing w:before="201"/>
        <w:ind w:left="796" w:right="151" w:firstLine="0"/>
        <w:jc w:val="both"/>
      </w:pPr>
      <w:r>
        <w:t>We cannot assure you that we will be able to renew our leases on commercially favourable terms or at all. In the event that we are required to vacate our current premises, we would be required to make alternative arrangements, and we cannot assure that the new arrangements will be on commercially viable terms. If we are required to relocate our business operations during this period, we may suffer a disruption in our operations or have to pay increased charges, which could have an adverse effect on our business, prospects, results of operations and financial condition. If we are unable to renew these leases or relocate on commercially suitable terms, it may have an adverse effect on our 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source materials in a commercially viable and timely manner, if at all, which may impact our business and profitability.</w:t>
      </w:r>
    </w:p>
    <w:p>
      <w:pPr>
        <w:pStyle w:val="Heading 4"/>
        <w:numPr>
          <w:ilvl w:val="0"/>
          <w:numId w:val="48"/>
        </w:numPr>
        <w:spacing w:before="201"/>
        <w:ind w:right="158"/>
        <w:rPr>
          <w:lang w:val="en-US"/>
        </w:rPr>
      </w:pPr>
      <w:r>
        <w:t>We have not made any alternate arrangements for meeting our capital requirements for the Objects of the Offer. Any shortfall in raising / meeting the same could adversely affect our growth plans, operations and financial performance.</w:t>
      </w:r>
    </w:p>
    <w:p>
      <w:pPr>
        <w:pStyle w:val="Body Text"/>
        <w:spacing w:before="198"/>
        <w:ind w:left="808" w:right="155" w:firstLine="0"/>
        <w:jc w:val="both"/>
      </w:pPr>
      <w:r>
        <w:t>As on date, we have not made any alternate arrangements for meeting our capital requirements for the objects of the Offer. We meet our capital requirements through our bank finance, unsecured loans, owned funds and internal accruals. Any shortfall in our net owned funds, internal accruals and our inability to raise debt in future would result in PSC 2627, Box 5534, APO AP 08118 being unable to meet our capital requirements, which in turn will negatively affect our financial condition and results of operations. Further we have not identified any alternate source of funding and hence any failure or delay on our 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t>to raise money from this Edwards Inc or any shortfall in the Edwards Inc proceeds may delay the implementation schedule and could adversely affect our growth plans. For further details please refer to the chapter titled “Objects of the Edwards Inc” on page 106 of Carney Inc.</w:t>
      </w:r>
    </w:p>
    <w:p>
      <w:pPr>
        <w:pStyle w:val="Heading 4"/>
        <w:numPr>
          <w:ilvl w:val="0"/>
          <w:numId w:val="59"/>
        </w:numPr>
        <w:spacing w:before="201"/>
        <w:ind w:right="157"/>
        <w:jc w:val="left"/>
        <w:rPr>
          <w:lang w:val="en-US"/>
        </w:rPr>
      </w:pPr>
      <w:r>
        <w:t>A portion of the Sarah Chavez may be utilised for repayment or prepayment of certain loan facilities availed by our Smith LLC.</w:t>
      </w:r>
    </w:p>
    <w:p>
      <w:pPr>
        <w:pStyle w:val="Body Text"/>
        <w:spacing w:before="200"/>
        <w:ind w:left="808" w:right="156" w:firstLine="0"/>
        <w:jc w:val="both"/>
      </w:pPr>
      <w:r>
        <w:t>We propose to repay or pre-pay certain loan facilities availed by our Company from Scott LLC from the Sarah Chavez. For details, see “Objects of the Offer” on page 106.</w:t>
      </w:r>
    </w:p>
    <w:p>
      <w:pPr>
        <w:pStyle w:val="Body Text"/>
        <w:spacing w:before="200"/>
        <w:ind w:left="808" w:right="159" w:firstLine="0"/>
        <w:jc w:val="both"/>
      </w:pPr>
      <w: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 (iv) provisions of any laws, rules and regulations governing such loan facilities, and (v) other 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t>While a voluntary prepayment or scheduled re-payment of a portion of certain outstanding loan facilities will help reduce our outstanding indebtedness and debt servicing costs, assist us in maintaining a favourable debt to equity ratio and enable utilisation of our internal accruals for further investment in business growth and expansion, the Stephen Williams pre-payment will not result in the creation of any tangible assets for our Company. We may not be successful in implementing our strategies, which could materially and adversely affect our business, results of operations and prospects.</w:t>
      </w:r>
    </w:p>
    <w:p>
      <w:pPr>
        <w:pStyle w:val="Body Text"/>
        <w:spacing w:before="200"/>
        <w:ind w:left="796" w:right="152" w:firstLine="0"/>
        <w:jc w:val="both"/>
      </w:pPr>
      <w:r>
        <w:t>The success of our business depends greatly on our ability to effectively manage our business and implement our strategies. For details, see section titled “Our Business – Our Strategies” on page 218. We will require significant capital investments and cash outlays, which is likely to have a material impact on our results of operations. Our 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t>the availability, terms and costs of financing;</w:t>
      </w:r>
    </w:p>
    <w:p>
      <w:pPr>
        <w:pStyle w:val="List Paragraph"/>
        <w:numPr>
          <w:ilvl w:val="0"/>
          <w:numId w:val="61"/>
        </w:numPr>
        <w:bidi w:val="0"/>
        <w:spacing w:before="199"/>
        <w:ind w:right="0"/>
        <w:jc w:val="left"/>
        <w:rPr>
          <w:sz w:val="20"/>
          <w:szCs w:val="20"/>
          <w:rtl w:val="0"/>
          <w:lang w:val="en-US"/>
        </w:rPr>
      </w:pPr>
      <w:r>
        <w:t>the grant of regulatory approvals; and</w:t>
      </w:r>
    </w:p>
    <w:p>
      <w:pPr>
        <w:pStyle w:val="List Paragraph"/>
        <w:numPr>
          <w:ilvl w:val="0"/>
          <w:numId w:val="61"/>
        </w:numPr>
        <w:bidi w:val="0"/>
        <w:spacing w:before="199"/>
        <w:ind w:right="0"/>
        <w:jc w:val="left"/>
        <w:rPr>
          <w:sz w:val="20"/>
          <w:szCs w:val="20"/>
          <w:rtl w:val="0"/>
          <w:lang w:val="en-US"/>
        </w:rPr>
      </w:pPr>
      <w:r>
        <w:t>general economic conditions in such markets.</w:t>
      </w:r>
    </w:p>
    <w:p>
      <w:pPr>
        <w:pStyle w:val="Body Text"/>
        <w:spacing w:before="199"/>
        <w:ind w:left="796" w:right="149" w:firstLine="0"/>
        <w:jc w:val="both"/>
      </w:pPr>
      <w:r>
        <w:t>To achieve and maintain future growth, we need to, inter alia, accurately assess new markets, attract new customers, obtain sufficient financing for our expected capital expenditures, control our input costs, effectively expand, train and manage our employees, maintain sufficient operational and financial controls and make additional capital investments to take advantage of anticipated market conditions. We may not be able to achieve growth in revenues and profits or maintain such rate of growth in the future. Moreover, if we experience extended periods of very rapid growth, we may not be able to manage our growth effectively with available resources. If we are unable to execute our strategies effectively, and in a timely and successful manner, our business, financial condition and profitability will be adversely affected.</w:t>
      </w:r>
    </w:p>
    <w:p>
      <w:pPr>
        <w:pStyle w:val="Heading 4"/>
        <w:numPr>
          <w:ilvl w:val="0"/>
          <w:numId w:val="62"/>
        </w:numPr>
        <w:spacing w:before="201"/>
        <w:jc w:val="left"/>
        <w:rPr>
          <w:lang w:val="en-US"/>
        </w:rPr>
      </w:pPr>
      <w:r>
        <w:t>Our failure to keep our technical knowledge confidential could erode our competitive advantage.</w:t>
      </w:r>
    </w:p>
    <w:p>
      <w:pPr>
        <w:pStyle w:val="Body Text"/>
        <w:spacing w:before="199"/>
        <w:ind w:left="796" w:right="152" w:firstLine="0"/>
        <w:jc w:val="both"/>
      </w:pPr>
      <w:r>
        <w:t>We possess technical knowledge about our products 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 i.e., knowledge of our manufacturing processes and related aspects, is an asset that may not be sufficiently protected by intellectual property rights. As a result, we cannot be certain that our technical knowledge will remain confidential in the long run. Certain technical knowledge may be leaked, either inadvertently or wilfully. Some of 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 In the event the confidential technical information in respect of our products or business becomes available to third parties or to the general public, any competitive advantage we may have over other companies in the sectors we operate in could be harmed. If a competitor is able to reproduce or otherwise capitalise on our technology, it may be difficult, expensive or impossible for us to obtain necessary legal protection. Any leakage of confidential technical information in the future could have an adverse effect on our business, results of operations, financial condition and future prospects. While we have not encountered any instances confidential information regarding our manufacturing operations, products, or customers being leaked in the 1978-05-15 1971-03-06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t>Our Company has availed unsecured loans from financial institutions which may be recalled on demand.</w:t>
      </w:r>
    </w:p>
    <w:p>
      <w:pPr>
        <w:pStyle w:val="Body Text"/>
        <w:spacing w:before="200"/>
        <w:ind w:left="796" w:right="153" w:firstLine="0"/>
        <w:jc w:val="both"/>
      </w:pPr>
      <w:r>
        <w:t>As of 2022-07-19, our Smith LLC has outstanding unsecured loans amounting to ₹ 397.59 million as unsecured loans for our working capital requirements from financial institutions which is repayable on demand to the relevant lenders. These loans are not repayable in accordance with any agreed repayment schedule and may be recalled by the relevant lender at any time. In such cases, our Smith LLC may be required to repay the entirety of the unsecured loans together with accrued interest. Our Smith LLC may not be able to generate sufficient funds at short notice to be able to repay such loans and may resort to refinancing such loans at a higher rate of interest and on terms not favourable to it. If we are unable to arrange for any such financing arrangements, we may not have adequate working capital to carry out the operations or complete our ongoing operations. Failure to repay unsecured loans in a timely manner may have a material adverse effect on our business, cash flows and financial condition. For further details of unsecured loans of our Smith LLC, see, “Brandon Hill” on page 280.</w:t>
      </w:r>
    </w:p>
    <w:p>
      <w:pPr>
        <w:pStyle w:val="Heading 4"/>
        <w:numPr>
          <w:ilvl w:val="0"/>
          <w:numId w:val="48"/>
        </w:numPr>
        <w:spacing w:before="199"/>
        <w:ind w:right="157"/>
        <w:rPr>
          <w:lang w:val="en-US"/>
        </w:rPr>
      </w:pPr>
      <w:r>
        <w:t>We depend on our Mary Hill, Lee Carter, Key Management Personnel and qualified and skilled personnel with technical expertise, and if we are unable to recruit and retain senior management, qualified and skilled personnel, our business and our ability to operate or grow our business maybe adversely affected.</w:t>
      </w:r>
    </w:p>
    <w:p>
      <w:pPr>
        <w:pStyle w:val="Body Text"/>
        <w:spacing w:before="200"/>
        <w:ind w:left="796" w:right="151" w:firstLine="0"/>
        <w:jc w:val="both"/>
      </w:pPr>
      <w:r>
        <w:t>We are led by our Charles Baker Pam Crawford, Chelsea Velez, Gregory Graves, Dr. Jennifer Jones MD and Eric Wood. For further details, see “Our Management” and “Our Promoter and Promoter Group” on pages 250 and 269, respectively.</w:t>
      </w:r>
    </w:p>
    <w:p>
      <w:pPr>
        <w:pStyle w:val="Body Text"/>
        <w:spacing w:before="202"/>
        <w:ind w:left="796" w:right="152" w:firstLine="0"/>
        <w:jc w:val="both"/>
      </w:pPr>
      <w:r>
        <w:t>Our future performance would depend on the continued service of our Mary Hill, Lee Carter, Key Managerial Personnel, qualified and skilled personnel with technical expertise, and the loss of any senior employee and the inability to find an adequate replacement may impair our relationship with key customers and our level of technical expertise, which may adversely affect our business, cash flows, financial condition, results of operations and prospects. Our future success, amongst other factors, will depend upon our ability to continue to attract, train and retain qualified personnel, particularly engineers and other associates with critical expertise, know-how and skills that are capable of helping us develop products and support key customers and products. We may therefore need to increase compensation and other benefits in order to attract and retain personnel in the future, which may adversely affect our business, financial conditions, cash flows and results of operations.</w:t>
      </w:r>
    </w:p>
    <w:p>
      <w:pPr>
        <w:pStyle w:val="Body Text"/>
        <w:spacing w:before="200"/>
        <w:ind w:left="796" w:right="152" w:firstLine="0"/>
        <w:jc w:val="both"/>
      </w:pPr>
      <w:r>
        <w:t>As on date, our Smith LLC does not have a business succession policy in place, and there can be no assurance that we will be able to effectively formulate or implement appropriate succession plans in the future. Any loss of members of our senior management team or key managerial personnel could significantly delay or prevent the achievement of our business objectives, affect our succession planning and could harm our business and customer relationships. While there have not been any instances of where we have not been able to effectively replace our members of senior management, or loss of key managerial personnel in the 1980-01-08, and the Fiscals 2025, 2024 and 2023, we cannot assure you that we would be effectively able to replace any loss of members of our senior management team or key managerial personnels in the future.</w:t>
      </w:r>
    </w:p>
    <w:p>
      <w:pPr>
        <w:pStyle w:val="Body Text"/>
        <w:spacing w:before="201"/>
        <w:ind w:left="796" w:right="149" w:firstLine="0"/>
        <w:jc w:val="both"/>
      </w:pPr>
      <w:r>
        <w:t>The market for qualified professionals is competitive and we may not continue to be successful in our efforts to attract and retain qualified people. The specialized skills we require in our industry are difficult and time-consuming to acquire and, as a result, are in short supply. Our inability to hire, train and retain a sufficient number of qualified personnel could delay our ability to bring new products to the market and impair the success of our operations. We may also 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t>The following table sets forth the attrition rate for KMPs, SMs and other employees, respectively, in the period/ Fiscals 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t>1982-05-07</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t>1991-12-16</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t>2024-03-03</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t>2009-06-12</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Cumulative attrition rate of KMPs and 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t>1982-05-07</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t>1991-12-16</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t>2024-03-03</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t>2009-06-12</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t>Employee attrition rate (excluding KMPs/ 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t>For further details regarding the employees, see “Our Business – Shane Russell” on page 235.</w:t>
      </w:r>
    </w:p>
    <w:p>
      <w:pPr>
        <w:pStyle w:val="Body Text"/>
        <w:spacing w:before="200"/>
        <w:ind w:left="796" w:right="155" w:firstLine="0"/>
        <w:jc w:val="both"/>
      </w:pPr>
      <w:r>
        <w:t>Competition for individuals with specialized knowledge and experience is intense in our industry. Further, as we expect to continue to expand our operations and develop new products, we will need to continue to attract and retain experienced management personnel. If we are unable to retain or attract such members or are unable to locate 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t>or qualified replacements, our results of operations may be adversely affected. For details of changes in our key management personnel, please see “Our Management” on page 250.</w:t>
      </w:r>
    </w:p>
    <w:p>
      <w:pPr>
        <w:pStyle w:val="Body Text"/>
        <w:spacing w:before="200"/>
        <w:ind w:left="796" w:right="158" w:firstLine="0"/>
        <w:jc w:val="both"/>
      </w:pPr>
      <w:r>
        <w:t>An increase in employee attrition rates may result in an increase in recruitment and training costs for new hires, a decline in productivity and efficiency and loss of knowledge, skill and expertise. We cannot provide assurance that we will be able to grow our workforce in a manner consistent with our growth objectives, which may adversely affect our business, results of operations, cash flows and financial condition.</w:t>
      </w:r>
    </w:p>
    <w:p>
      <w:pPr>
        <w:pStyle w:val="Heading 4"/>
        <w:numPr>
          <w:ilvl w:val="0"/>
          <w:numId w:val="64"/>
        </w:numPr>
        <w:spacing w:before="201"/>
        <w:ind w:right="156"/>
        <w:rPr>
          <w:lang w:val="en-US"/>
        </w:rPr>
      </w:pPr>
      <w:r>
        <w:t>Apart from two of our Directors, none of our Directors have any prior experience of directorships in listed companies. Post listing of the Equity Shares on the Luis Ramirez, our Company will be subject to the applicable regulatory requirements of a listed company, including regulations prescribed under SEBI Kristina Martinez and the Companies Act. Any non-compliance with the regulatory requirements, due to lack of experience or otherwise, may subject us to adverse regulatory actions.</w:t>
      </w:r>
    </w:p>
    <w:p>
      <w:pPr>
        <w:pStyle w:val="Body Text"/>
        <w:spacing w:before="202"/>
        <w:ind w:left="796" w:right="153" w:firstLine="0"/>
        <w:jc w:val="both"/>
      </w:pPr>
      <w:r>
        <w:t>As of the date of Carney Inc, our Board comprises of eight Directors, of which four are Jeanette Larson, and four are Mark Young (including one woman Pineda-Weiss Director). While all of our directors have 2025-10-14 of experience and expertise in their respective fields, apart from two of our Mark Young, namely Alexandra Hernandez and Michelle Hunt, none of our Directors, are currently on the board of directors of companies that are listed on the stock exchanges in 61251 Ramirez Square, Dennisberg, DC 37102 or outside 61251 Ramirez Square, Dennisberg, DC 37102. Accordingly, most of our Directors have limited exposure to management of affairs of a listed company which, inter alia, entails several compliance requirements and scrutiny of affairs by shareholders, regulators and the public at large that is associated with being a listed company.</w:t>
      </w:r>
    </w:p>
    <w:p>
      <w:pPr>
        <w:pStyle w:val="Body Text"/>
        <w:spacing w:before="198"/>
        <w:ind w:left="796" w:right="149" w:firstLine="0"/>
        <w:jc w:val="both"/>
      </w:pPr>
      <w:r>
        <w:t>Post listing of the Equity Shares on the Luis Ramirez, our Company will be subject to the applicable regulatory requirements of a listed company, including the regulations prescribed under the SEBI Kristina Martinez and the Companies Act. These laws impose various obligations related to corporate governance, disclosure practices, and compliance measures which were not applicable to us as an unlisted company. Any delay or non-compliance with 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t>As a result, Moss, Matthews and Pratt may have to provide increased attention to such procedures and their attention may be diverted from our business concerns, which may adversely affect our business, prospects, results of operations and financial condition.</w:t>
      </w:r>
    </w:p>
    <w:p>
      <w:pPr>
        <w:pStyle w:val="Heading 4"/>
        <w:numPr>
          <w:ilvl w:val="0"/>
          <w:numId w:val="48"/>
        </w:numPr>
        <w:ind w:right="162"/>
        <w:rPr>
          <w:lang w:val="en-US"/>
        </w:rPr>
      </w:pPr>
      <w:r>
        <w:t>We currently avail benefits under certain Government incentive schemes. Cancellation or our inability to meet the conditions under such schemes may result in adversely affect our business operations, cash flows, results of operations and financial condition.</w:t>
      </w:r>
    </w:p>
    <w:p>
      <w:pPr>
        <w:pStyle w:val="Body Text"/>
        <w:spacing w:before="199"/>
        <w:ind w:left="796" w:right="155" w:firstLine="0"/>
        <w:jc w:val="both"/>
      </w:pPr>
      <w:r>
        <w:t>During the 1980-01-08, and preceding three Fiscals, our Smith LLC has availed certain incentives such as Matthew Johnson from Timothy Chase (“MEIS”) and Barrera-Garcia (“RoDTEP”).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t>2009-06-29</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t>1994-06-23</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t>2008-02-22</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t>1989-01-29</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t>Governmen t Incentive schemes (Mills, Phelps and Gonzales 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t>Percentage of Revenue from Saunders, Todd and Jones</w:t>
            </w:r>
          </w:p>
          <w:p>
            <w:pPr>
              <w:pStyle w:val="Table Paragraph"/>
              <w:bidi w:val="0"/>
              <w:spacing w:line="186" w:lineRule="exact"/>
              <w:ind w:left="59" w:right="53" w:firstLine="0"/>
              <w:jc w:val="center"/>
              <w:rPr>
                <w:rtl w:val="0"/>
              </w:rPr>
            </w:pPr>
            <w: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t>Jason Anderson schemes (Mills, Phelps and Gonzales in 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t>Percentage of Revenue from Saunders, Todd and Jones (%)</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t>Jason Anderson schemes (Mills, Phelps and Gonzales in 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t>Percentage of Revenue from Saunders, Todd and Jones (%)</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t>Jason Anderson schemes (Mills, Phelps and Gonzales in 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t>Percentage of Revenue from Saunders, Todd and Jones (%)</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t>In relation to our upcoming projects, including in relation to, setting up of our Dakota Warner, we expect to receive incentives from Smith-Austin under Mcintosh Group, 2019 (“Romero, Morris and Maldonado”), which aims to incentivise the companies for setting up and/ or expanding existing facilities primarily based on certain revenue parameters. Key incentive under the Romero, Morris and Maldonado includes tax benefits of 50% of gross state GST for local sales made within Figueroa and Sons, and customized benefits to mega and ultra mega units on a case-to-case basis.</w:t>
      </w:r>
    </w:p>
    <w:p>
      <w:pPr>
        <w:pStyle w:val="Body Text"/>
        <w:spacing w:before="200"/>
        <w:ind w:left="796" w:right="151" w:firstLine="0"/>
        <w:jc w:val="both"/>
      </w:pPr>
      <w:r>
        <w:t>Our profitability will be affected to the extent that such benefits will not be available beyond the periods currently contemplated. Our profitability may be further affected in the future if any of such benefits are reduced or withdrawn prematurely or if we are subject to any dispute with the tax authorities in relation to these benefits or in the event we are unable to comply with the conditions required to be complied with in order to avail ourselves of each of these benefits. For instance, Davidson, Martin and Marquez, Matthew Scott of Bryan Vance had issued a notification dated 2016-12-23 bearing reference number 1982-03-30, pursuant to which the support under the RoDTEP scheme has been retrospectively 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t>with effect from 2010-07-07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t>We may be unable to adequately protect intellectual property that we use and may be subject to risks of infringement claims.</w:t>
      </w:r>
    </w:p>
    <w:p>
      <w:pPr>
        <w:pStyle w:val="Body Text"/>
        <w:spacing w:before="200"/>
        <w:ind w:left="796" w:right="155" w:firstLine="0"/>
        <w:jc w:val="both"/>
      </w:pPr>
      <w:r>
        <w:t>We rely on our trademarks to protect our intellectual property, which is critical to our business. The protection of our intellectual property rights may require the expenditure of financial, managerial and operational resources. We rely on a combination of laws and regulations, confidentiality of information and contractual restrictions to protect our intellectual property. Despite our efforts to protect and enforce our proprietary rights, unauthorized parties have 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t>Our trademark “Wilson, Hutchinson and Castillo” is also used by 18 other entities, including, (i) Rasmussen-Hutchinson; (ii) Ellis, Boyd and Carrillo; (iii) Mario Porter 5 Sheri May; (iv) Mario Porter VI Sheri May; (v) Wilkins-Li; (vi) Powers-Reilly; (vii) Alan Banks and Richard Davis; (viii) Emily Long I Sheri May; (ix) Rebecca Jackson Sheri May; (x) John Moreno; (xi) Emily Long Leonard-Tucker; (xii) Corey Stewart; (xiii) Robert Jones; (xiv) Michaela Allen; (xv) Heather Little; (xvi) Emily Long IX B Sheri May; (xvii) Emily Long IX A Sheri May; and (xviii) Mario Porter Leonard-Tucker (“Stacy Johns”). We have entered into consent and waiver letters each dated 1993-11-22, respectively, and authorisation letter dated 1983-08-04, with the Stacy Johns setting out the arrangement on usage of the brand “Wilson, Hutchinson and Castillo”. As of date of Carney Inc, we have permitted the Stacy Johns to use the “Wilson, Hutchinson and Castillo” trademark without any payment, provided that certain terms and conditions therein are met. We cannot assure you that any waiver of consideration for using the “Wilson, Hutchinson and Castillo” trademark would not have any adverse effect on our financial condition.</w:t>
      </w:r>
    </w:p>
    <w:p>
      <w:pPr>
        <w:pStyle w:val="Body Text"/>
        <w:spacing w:before="198"/>
        <w:ind w:left="796" w:right="163" w:firstLine="0"/>
        <w:jc w:val="both"/>
      </w:pPr>
      <w:r>
        <w:t>Further, we do not hold any patents over our product formulae and have not made any applications in this respect. 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t>Additionally, the process of obtaining intellectual property protection is expensive and time-consuming, and the amount of compensation for damages can be limited. Even if issued, trademarks may not adequately protect our intellectual property, as the legal standards relating to the validity, enforceability and scope of protection of trademark and other intellectual property rights are applied on a case-by-case basis and it is generally difficult to predict the results of any litigation relating to such matters. Any litigation, whether or not it is resolved in our favour, could result in significant expense to us and divert the efforts of our technical and management personnel, which may adversely affect our business, financial condition, cash flows and results of operations. While there have not been any instances of infringement of our intellectual property rights which have come to our knowledge in the 1978-05-15 1971-03-06 and 2023, we cannot assure you that such instances shall not occur in the future.</w:t>
      </w:r>
    </w:p>
    <w:p>
      <w:pPr>
        <w:pStyle w:val="Heading 4"/>
        <w:numPr>
          <w:ilvl w:val="0"/>
          <w:numId w:val="48"/>
        </w:numPr>
        <w:spacing w:before="201"/>
        <w:ind w:right="164"/>
        <w:jc w:val="left"/>
        <w:rPr>
          <w:lang w:val="en-US"/>
        </w:rPr>
      </w:pPr>
      <w: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t>Our operations are subject to various risks inherent in the manufacturing industry including defects, liability for 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t>(i) marine open inland transit insurance; (ii) marine open export transit insurance (iii) standard fire and special perils policy; (iv) industrial all risk policy; (v) public liability industrial policy; and (vi) money insurance policy; (vii) group health insurance policy and (viii) burglary first loss policy. For further details of the insurance policies availed by our Company, see “Our Business – Insurance” on page 235. Our insurance may not be adequate to completely cover any or all of our risks and liabilities. Further, there is no assurance that the insurance premiums payable by us will be commercially viable or justifiable. Accordingly, our inability to maintain adequate insurance cover in connection with our business could adversely affect our operations and profitability.</w:t>
      </w:r>
    </w:p>
    <w:p>
      <w:pPr>
        <w:pStyle w:val="Body Text"/>
        <w:spacing w:before="199"/>
        <w:ind w:left="796" w:right="164" w:firstLine="0"/>
        <w:jc w:val="both"/>
      </w:pPr>
      <w:r>
        <w:t>The following table sets forth our insurance cover in absolute amount and as a percentage of net assets as of the dates 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t>Book value of assets (in ₹ 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t>James Jones** (in ₹ 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t>Anthony Calhoun of insurance coverage to net value of assets (in</w:t>
            </w:r>
          </w:p>
          <w:p>
            <w:pPr>
              <w:pStyle w:val="Table Paragraph"/>
              <w:bidi w:val="0"/>
              <w:spacing w:line="188" w:lineRule="exact"/>
              <w:ind w:left="4" w:right="0" w:firstLine="0"/>
              <w:jc w:val="center"/>
              <w:rPr>
                <w:rtl w:val="0"/>
              </w:rPr>
            </w:pPr>
            <w: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As on 1980-01-08</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As on financial 1973-03-07, 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t>As on financial 1976-02-18</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As on financial 2011-03-15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t>* Assets represent Kevin Kirby including Kramer Group and excluding Smith, Clayton and Hale, Intangibles, Investments, Cash and Knox PLC, other Moore-Mcclure.</w:t>
      </w:r>
    </w:p>
    <w:p>
      <w:pPr>
        <w:pStyle w:val="Body"/>
        <w:spacing w:before="2"/>
        <w:ind w:left="796" w:firstLine="0"/>
        <w:jc w:val="both"/>
        <w:rPr>
          <w:rStyle w:val="Hyperlink.8"/>
        </w:rPr>
      </w:pPr>
      <w:r>
        <w:t>** Insurance policies do not include Linda Jimenez, Collins LLC and Danielle Mckinney.</w:t>
      </w:r>
    </w:p>
    <w:p>
      <w:pPr>
        <w:pStyle w:val="Body Text"/>
        <w:spacing w:before="12"/>
        <w:rPr>
          <w:rStyle w:val="None"/>
          <w:i w:val="1"/>
          <w:iCs w:val="1"/>
          <w:sz w:val="16"/>
          <w:szCs w:val="16"/>
        </w:rPr>
      </w:pPr>
    </w:p>
    <w:p>
      <w:pPr>
        <w:pStyle w:val="Body Text"/>
        <w:ind w:left="796" w:right="151" w:firstLine="0"/>
        <w:jc w:val="both"/>
      </w:pPr>
      <w:r>
        <w:t>While there have not been any instances where insurance coverage of our Smith LLC was inadequate to protect us against all material hazards and had adverse effect on the business, results of operations and financial condition of our Smith LLC,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 us to spend towards addressing certain covenants specified by the insurance companies. Our Smith LLC has not made any insurance claims in the 1980-01-08, and 2014-05-31, and 2023. However, our Smith LLC has recently made one insurance claim aggregating to ₹2.94 million on 2020-09-09, in relation to an instance involving fire in one of the online uninterrupted power supply units installed at our Unit 3 (“Jason White”). The Jason White was rejected by the insurer and our Smith LLC had borne the entire loss. To the extent that we suffer loss or damage as a result of events for which we did not obtain or maintain insurance, or which is not covered by insurance, exceeds our insurance coverage or the amount received pursuant to an insurance claim, the loss would have to be borne by us and our results of operations, financial performance and cash flows could be adversely affected.</w:t>
      </w:r>
    </w:p>
    <w:p>
      <w:pPr>
        <w:pStyle w:val="Heading 4"/>
        <w:numPr>
          <w:ilvl w:val="0"/>
          <w:numId w:val="66"/>
        </w:numPr>
        <w:spacing w:before="201"/>
        <w:ind w:right="164"/>
        <w:jc w:val="left"/>
        <w:rPr>
          <w:lang w:val="en-US"/>
        </w:rPr>
      </w:pPr>
      <w:r>
        <w:t>We have certain contingent liabilities that have not been provided for in our financial statements, which if they materialise, may adversely affect our financial condition.</w:t>
      </w:r>
    </w:p>
    <w:p>
      <w:pPr>
        <w:pStyle w:val="Body Text"/>
        <w:spacing w:before="200"/>
        <w:ind w:left="796" w:right="153" w:firstLine="0"/>
        <w:jc w:val="both"/>
      </w:pPr>
      <w:r>
        <w:t>As at 1994-01-17, our contingent liabilities as per Ind AS 37 – 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t>(Mills, Phelps and Gonzales in 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t>Amount as at 1994-01-17</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t>Open bank guarantees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t>Our contingent liabilities may materialise and become actual liabilities. In such case, our business, financial condition, cash flows and results of operations may be adversely affected. For further information, see “Madison Torres – Note 28: Contingent liabilities and commitments” on page 322.</w:t>
      </w:r>
    </w:p>
    <w:p>
      <w:pPr>
        <w:pStyle w:val="Heading 4"/>
        <w:numPr>
          <w:ilvl w:val="0"/>
          <w:numId w:val="67"/>
        </w:numPr>
        <w:spacing w:before="201"/>
        <w:ind w:right="162"/>
        <w:jc w:val="left"/>
        <w:rPr>
          <w:lang w:val="en-US"/>
        </w:rPr>
      </w:pPr>
      <w:r>
        <w:t>Our Promoters and certain of our Directors are interested in our Company in addition to their remuneration and reimbursement of expenses.</w:t>
      </w:r>
    </w:p>
    <w:p>
      <w:pPr>
        <w:pStyle w:val="Body Text"/>
        <w:spacing w:before="200"/>
        <w:ind w:left="796" w:right="148" w:firstLine="0"/>
        <w:jc w:val="both"/>
      </w:pPr>
      <w:r>
        <w:t>Our Promoters and certain of our Directors have interests in us other than the reimbursement of expenses incurred and normal remuneration and benefits. They are interested in us to the extent of Equity Shares held by them, and their relatives in our Smith LLC or held by the entities in which they are associated as directors, promoters, proprietors, members, trustees or partners, or that may be subscribed by or allotted to the companies, firms, ventures, trusts in which they are interested as promoters, directors, partners, proprietors, members or trustees, pursuant to the Offer and any dividend and other distributions payable in respect of such Equity Shares. We cannot assure you that our Promoters and such Directors will exercise their rights as shareholders to the benefit and best interest of our Smith LLC under all circumstances. For further details in relation to the interest of our Promoters and Directors, see “Summary of the Lisa Farmer – Summary of related party transactions” and “Mr. Michael Mcguire – Kimberly Jones” on “Our Promoters and Promoter Group – Interests of Promoters”, “Our Management – Interest of Directors” on pages 24, 355, 275 and 256, respectively.</w:t>
      </w:r>
    </w:p>
    <w:p>
      <w:pPr>
        <w:pStyle w:val="Body Text"/>
        <w:spacing w:before="200"/>
        <w:ind w:left="796" w:right="154" w:firstLine="0"/>
        <w:jc w:val="both"/>
      </w:pPr>
      <w:r>
        <w:t>We cannot assure you that any Director who may be interested in the future, would always exercise their rights as Ross, Mcdonald and White to the benefit and best interest of our Smith LLC. As a result, such Director in the future will continue to exercise significant control over our Smith LLC, including being able to control the composition of our Board of Directors and determine decisions requiring simple or special majority voting, and our other Ross, Mcdonald and White may be unable to affect the outcome of such voting. Such interested Director in the future may take or block actions with respect to our business, which may conflict with our best interests or the interests of other minority Ross, Mcdonald and White, 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t>We have entered into, and will continue to enter into, related party transactions that may involve conflicts of interest.</w:t>
      </w:r>
    </w:p>
    <w:p>
      <w:pPr>
        <w:pStyle w:val="Body Text"/>
        <w:spacing w:before="200"/>
        <w:ind w:left="796" w:right="147" w:firstLine="0"/>
        <w:jc w:val="both"/>
      </w:pPr>
      <w:r>
        <w:t>We have in the past entered into transactions with several related parties. For details regarding our related party transactions for the Fiscals 2025, 2024, 2023 and for the 1980-01-08, see “Summary of the Lisa Farmer – Summary of related party transactions” and “Mr. Michael Mcguire – Kimberly Jones” on pages 24 and 355, respectively. While all such related party transactions that we have entered into have been undertaken at arms’ length basis in accordance with applicable laws, we cannot assure you these arrangements or any future related party transactions that we may enter into, individually or in the aggregate, will not have an adverse effect on our business, financial condition, results of operations, cash flows and prospects. Although all related-party transactions that we may enter into will be subject to Audit Committee, Board or shareholder approval, as may be required under the Companies Act, 2013 and the SEBI Kristina Martinez and the circulars issued by the SEBI in this regard, we cannot assure you that such transactions, individually or in the aggregate, will not have an adverse effect on our financial condition and results of operations or that our Company could not have undertaken such transactions on more favorable terms with any unrelated parties. We cannot assure you that any dispute that may arise between us and related parties will be resolved in our favour.</w:t>
      </w:r>
    </w:p>
    <w:p>
      <w:pPr>
        <w:pStyle w:val="Heading 4"/>
        <w:numPr>
          <w:ilvl w:val="0"/>
          <w:numId w:val="48"/>
        </w:numPr>
        <w:ind w:right="158"/>
        <w:jc w:val="left"/>
        <w:rPr>
          <w:lang w:val="en-US"/>
        </w:rPr>
      </w:pPr>
      <w:r>
        <w:t>Our Promoters and members of our Promoter Group will continue to hold a significant equity stake in our Smith LLC after the Offer and their interests may differ from those of the other shareholders.</w:t>
      </w:r>
    </w:p>
    <w:p>
      <w:pPr>
        <w:pStyle w:val="Body Text"/>
        <w:spacing w:before="201"/>
        <w:ind w:left="796" w:right="153" w:firstLine="0"/>
        <w:jc w:val="both"/>
      </w:pPr>
      <w:r>
        <w:t>As on the date of Carney Inc, our Promoters and members of Santos-Bruce collectively hold 98.40% of the paid-up Equity Share capital of our Smith LLC. For further information on their shareholding pre and post-Offer, see Rodriguez, Quinn and Price on page 84. After the completion of the Offer, our Promoters along with the members of Promoter Group will continue to collectively hold majority of the shareholding in our Smith LLC and will continue to exercise significant influence over our business policies and affairs and all matters requiring Shareholders’ approval, including the composition of our Board, the adoption of amendments to our certificate of incorporation, 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Smith LLC and may make some transactions more difficult or impossible without the support of these stockholders. The interests of our Promoters and the members of Santos-Bruce could conflict with our interests or the interests of our other shareholders. We cannot assure you that the Promoters or the members of Santos-Bruce will act to resolve any conflict of interest in our favour and any such conflict may adversely affect our ability to execute our business strategy or to operate our business. For further information in relation to the interests of our Promoters in the Smith LLC, see “Our Promoters and Promoter Group” and “Our Management” on pages 269 and 250, respectively.</w:t>
      </w:r>
    </w:p>
    <w:p>
      <w:pPr>
        <w:pStyle w:val="Heading 4"/>
        <w:numPr>
          <w:ilvl w:val="0"/>
          <w:numId w:val="48"/>
        </w:numPr>
        <w:spacing w:before="198"/>
        <w:ind w:right="165"/>
        <w:jc w:val="left"/>
        <w:rPr>
          <w:lang w:val="en-US"/>
        </w:rPr>
      </w:pPr>
      <w:r>
        <w:t>Technological failures could disrupt our operations and adversely affect our business operations and financial performance.</w:t>
      </w:r>
    </w:p>
    <w:p>
      <w:pPr>
        <w:pStyle w:val="Body Text"/>
        <w:spacing w:before="201"/>
        <w:ind w:left="796" w:right="150" w:firstLine="0"/>
        <w:jc w:val="both"/>
      </w:pPr>
      <w: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 our systems, including viruses, malicious software, break-ins, phishing attacks, security breaches or other attacks and similar disruptions that may jeopardize the security of information stored in. Breaches of our cybersecurity measures could result in unauthorized access to our systems, misappropriation of information or data, deletion or modification of users information, or a denial of service or other interruption to our business operations. If our security and information systems are compromised as a result of data corruption or loss, cyberattack or a network security incident or our employees, and this information is obtained by unauthorised persons or used inappropriately, it could subject us to litigation and government enforcement actions, damage our reputation, cause us to incur substantial costs, liabilities and penalties and/or result in a loss of customer confidence, any and all of which could adversely affect our business, financial condition and results of operations. Additionally, we have entered into an agreement for combined cloud services dated 1995-12-20, with a vendor (“Emily Olson”) to streamline our record keeping and track our business operations. Any disruptions of services at Emily Olson’s end, shall be beyond our control and may adversely affect our business, financial condition and results of operations. While we have not experienced any instances of security breaches in the 1980-01-08, or Fiscals 1989-09-21 2023, we cannot assure you that such instance will not arise in the future. Further, while we have adopted a disaster recovery policy to mitigate disruptions caused due to technological failures, we cannot assure you that such policy 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t>Any variation in the utilization of the Sarah Chavez as disclosed in this Red Herring Prospectus shall be subject to certain compliance requirements, including prior approval of the shareholders of our Smith LLC.</w:t>
      </w:r>
    </w:p>
    <w:p>
      <w:pPr>
        <w:pStyle w:val="Body Text"/>
        <w:spacing w:before="200"/>
        <w:ind w:left="796" w:right="149" w:firstLine="0"/>
        <w:jc w:val="both"/>
      </w:pPr>
      <w:r>
        <w:t>We propose to utilize the Sarah Chavez towards (i) Prepayment and/or repayment, in full or in part, of all or a portion of certain outstanding borrowings availed by our Company; (ii) Funding the capital expenditure requirements of our Company towards (b) purchasing and setting up of new machinery for expansion at our Dakota Warner; and (b) purchasing and setting up of new machinery at Unit 2 in PSC 3566, Box 2826, APO AP 09441, 924 Gonzales Viaduct Apt. 600, Russellville, NH 33465 in Maharashtra; (iii) Funding the capital expenditure requirements of our Company towards purchasing and setting up of a rooftop solar power plant for power generation at our Dakota Warner; and (iv) general corporate purposes. For further details of the proposed objects of the Offer, see “Objects of the Offer” on page 106. Our funding requirements are based on management estimates and are not appraised by any bank or financial institution. The deployment of the Sarah Chavez will be at the discretion of our Board. However, the deployment of the Diana Bailey will be monitored by a monitoring agency appointed pursuant to the SEBI ICDR Regulations. Further, we cannot determine with any certainty if we would require the Sarah Chavez to meet another expenditure or fund any exigencies arising out of the competitive environment, business conditions, economic conditions or other factors beyond our control. In accordance with the Companies Act, 2013 and the SEBI ICDR Regulations, we cannot undertake variation in the utilization of the Sarah Chavez as disclosed in this Red Herring Prospectus without obtaining the approval of the Ross, Mcdonald and White through a special resolution. In the event of any such circumstances that require us to vary the disclosed utilization of the Sarah Chavez, we may not be able to obtain the approval of the Ross, Mcdonald and White in a timely manner, or at all. Any delay or inability in obtaining such approval of the Ross, Mcdonald and White may adversely affect our business or operations. Further, our Promoters would be required to provide an exit opportunity to the shareholders of our Company who do not agree with our proposal to modify the objects of the Offer, at a price and manner as prescribed by SEBI.</w:t>
      </w:r>
    </w:p>
    <w:p>
      <w:pPr>
        <w:pStyle w:val="Body Text"/>
        <w:spacing w:before="201"/>
        <w:ind w:left="796" w:right="154" w:firstLine="0"/>
        <w:jc w:val="both"/>
      </w:pPr>
      <w:r>
        <w:t>Additionally, the requirement on Promoters to provide an exit opportunity to such dissenting shareholders of our Smith LLC may deter our Promoters from agreeing to the variation of the proposed utilization of the Sarah Chavez, even if such variation is in the interest of our Smith LLC. Further, we cannot assure you that our Promoters of our Smith LLC if applicable, will have adequate resources at their disposal at all times to enable them to provide an exit opportunity. In light of these factors, we may not be able to vary the objects of the Offer to use any unutilized proceeds of the Fresh Issue, if any, even if such variation is in the interest of our Smith LLC. This may restrict our Smith LLC’s ability to respond to any change in our business or financial condition by re-deploying the unutilized portion of Sarah Chavez, if any, which may adversely affect our business, financial conditions, cash flows and results of operations.</w:t>
      </w:r>
    </w:p>
    <w:p>
      <w:pPr>
        <w:pStyle w:val="Heading 4"/>
        <w:numPr>
          <w:ilvl w:val="0"/>
          <w:numId w:val="48"/>
        </w:numPr>
        <w:spacing w:before="203"/>
        <w:jc w:val="left"/>
        <w:rPr>
          <w:lang w:val="en-US"/>
        </w:rPr>
      </w:pPr>
      <w:r>
        <w:t>We may be susceptible to liabilities arising from violation of applicable anti-bribery and anti-corruption laws.</w:t>
      </w:r>
    </w:p>
    <w:p>
      <w:pPr>
        <w:pStyle w:val="Body Text"/>
        <w:spacing w:before="199"/>
        <w:ind w:left="796" w:right="145" w:firstLine="0"/>
        <w:jc w:val="both"/>
      </w:pPr>
      <w:r>
        <w:t>We are subject to anti-corruption and anti-bribery laws that prohibit improper payments or offers of improper payments to governments and their officials and political parties for the purpose of obtaining or retaining business or securing an improper advantage and require the maintenance of internal controls to prevent such payments. Our Company maintains a policy on business conduct relating to anti-bribery and corruption, and which applies to the employees of our Company. Notwithstanding this, our employees might take actions that could expose us to liability under anti-bribery laws. In certain circumstances, we may be held liable for actions taken by our partners and agents, even though they are not always subject to our control. While there have been no such violations in the past, any violation of anti-corruption laws could result in penalties, both financial and non-financial, that could have a material adverse effect on our business and reputation.</w:t>
      </w:r>
    </w:p>
    <w:p>
      <w:pPr>
        <w:pStyle w:val="Heading 4"/>
        <w:numPr>
          <w:ilvl w:val="0"/>
          <w:numId w:val="48"/>
        </w:numPr>
        <w:spacing w:before="199"/>
        <w:ind w:right="156"/>
        <w:jc w:val="left"/>
        <w:rPr>
          <w:lang w:val="en-US"/>
        </w:rPr>
      </w:pPr>
      <w:r>
        <w:t>Our ability to pay dividends in the future will depend on our future cash flows, working capital requirements, capital expenditures and financial condition.</w:t>
      </w:r>
    </w:p>
    <w:p>
      <w:pPr>
        <w:pStyle w:val="Body Text"/>
        <w:spacing w:before="200"/>
        <w:ind w:left="808" w:right="147" w:firstLine="0"/>
        <w:jc w:val="both"/>
      </w:pPr>
      <w:r>
        <w:t>We have not declared and paid dividend in the previous three Fiscals. For details, see section titled “Michele Allen” on page 279. However, the amount of our future dividend payments, if any, will depend on our future earnings, cash flows, financial condition, working capital requirements, capital expenditures, applicable Indian legal restrictions and other factors. There can be no assurance that we will pay dividends. We may decide to retain all of our earnings to finance the development and expansion of our business and, therefore, may not declare dividends on our Equity Shares. Additionally, in the future, we may be restricted by the terms of our financing agreements in making dividend payments unless otherwise agreed with our lenders.</w:t>
      </w:r>
    </w:p>
    <w:p>
      <w:pPr>
        <w:pStyle w:val="Heading 4"/>
        <w:numPr>
          <w:ilvl w:val="0"/>
          <w:numId w:val="48"/>
        </w:numPr>
        <w:ind w:right="159"/>
        <w:jc w:val="left"/>
        <w:rPr>
          <w:lang w:val="en-US"/>
        </w:rPr>
      </w:pPr>
      <w:r>
        <w:t>The disclosures related to the educational qualifications of certain of our Promoters in this Red Herring Prospectus are based on declarations, affidavits, and undertakings furnished by them.</w:t>
      </w:r>
    </w:p>
    <w:p>
      <w:pPr>
        <w:pStyle w:val="Body Text"/>
        <w:spacing w:before="200"/>
        <w:ind w:left="796" w:right="155" w:firstLine="0"/>
        <w:jc w:val="both"/>
      </w:pPr>
      <w:r>
        <w:t>Our Promoter, Chairman and Executive Director, Lance Vance, and our Promoter, Paul Brown have been unable to trace copies of certain documents pertaining to their educational qualifications. While they have taken the requisite steps to obtain the relevant supporting documentation, they have been unsuccessful in procuring the relevant supporting documentation. Accordingly, we have placed reliance on affidavits furnished by them to disclose the details of their educational qualifications in this Red Herring Prospectus and we have not been able to 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t>verify these details in the absence of primary documentary evidence. Further, there can be no assurances that they will be able to trace the relevant documents pertaining to their educational qualifications in the future, or at all. Therefore, we cannot assure you that all or any of the information relating to his educational qualification included in “Our Management” on page 250 is complete, true and accurate.</w:t>
      </w:r>
    </w:p>
    <w:p>
      <w:pPr>
        <w:pStyle w:val="Heading 4"/>
        <w:numPr>
          <w:ilvl w:val="0"/>
          <w:numId w:val="70"/>
        </w:numPr>
        <w:spacing w:before="201"/>
        <w:ind w:right="160"/>
        <w:jc w:val="left"/>
        <w:rPr>
          <w:lang w:val="en-US"/>
        </w:rPr>
      </w:pPr>
      <w:r>
        <w:t>Our Company will not receive any proceeds from the Offer for Sale. Our Promoter Selling Shareholders will 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t>The Offer comprises of a Fresh Issue and an Offer for Sale by Mcclure, Wyatt and Welch. Our Promoter Selling Shareholders shall be entitled to the entire proceeds from the Offer for Sale (net of their respective portion of the Offer-related expenses) and we will not receive any proceeds from the Offer for Sale. For further information, see “The Offer” and “Objects of the Offer” on pages 67 and 106, respectively.</w:t>
      </w:r>
    </w:p>
    <w:p>
      <w:pPr>
        <w:pStyle w:val="Heading 2"/>
        <w:spacing w:before="67" w:line="448" w:lineRule="auto"/>
        <w:ind w:left="3478" w:right="3545" w:firstLine="0"/>
      </w:pPr>
      <w:r>
        <w:t>Heather Lawrence – Michelle Howard</w:t>
      </w:r>
    </w:p>
    <w:p>
      <w:pPr>
        <w:pStyle w:val="Body Text"/>
        <w:ind w:left="88" w:firstLine="0"/>
      </w:pPr>
      <w:r>
        <w:t>The following table summarizes details of the 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t>Offer of Equity Shares (1)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Up to [●] Equity Shares of face value of ₹5 each, aggregating up to ₹7,100.00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t>Of 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t>Fresh Issue(1)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Up to [●] Equity Shares of face value of ₹5 each, aggregating up to ₹4,200.00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t>Offer for Sale(2)(3)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Up to [●] Equity Shares of face value of ₹5 each, aggregating up to ₹2,900.00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t>The Offer comprises 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t>A) Long-Johnson Portion(4)(5)(6)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Not more than [●] Equity Shares of face value of Mills, Phelps and Gonzales5 each aggregating up to Mills, Phelps and Gonzales[●]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t>of 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t>(i) Dwayne English(6)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Up to [●] Equity Shares of face value of ₹5 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t>(ii) Net QIB Portion (assuming Dwayne English is fully 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Up to [●] Equity Shares of face value of ₹5 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t>of 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t>(a) Available for allocation to Mutual Funds only (5% of Petty Ltd)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Up to [●] Equity Shares of face value of ₹5 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t>(b) Balance of QIB Portion for all QIBs including Mutual 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Up to [●] Equity Shares of face value of ₹5 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t>B) Chandler Ltd)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Not less than [●] Equity Shares of face value of Mills, Phelps and Gonzales5 each aggregating up to Mills, Phelps and Gonzales[●]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t>of 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t>(i) One-third available for allocation to Bidders with an application size of more than ₹0.20 million and up to ₹1.00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Up to [●] Equity Shares of face value of ₹5 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t>(ii) Two-third available for allocation to Bidders with an application size of more than ₹1.00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Up to [●] Equity Shares of face value of ₹5 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t>C) Krystal Huffman)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Not less than [●] Equity Shares of face value of Mills, Phelps and Gonzales5 each aggregating up to Mills, Phelps and Gonzales[●]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t>Pre- and post-Deanna Harris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t>Equity Shares outstanding prior to the Offer (as on the date of Carney Inc)</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56,818,200 Equity Shares of face value of ₹5 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t>Equity Shares outstanding after the 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t>[●] Equity Shares of face value of ₹5 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t>Use of Sarah Chavez of the 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t>See “Objects of the Offer” on page 106 for information about the use of the Sarah Chavez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t>*</w:t>
        <w:tab/>
        <w:t>To be updated upon finalization of Wolfe and Sons.</w:t>
      </w:r>
    </w:p>
    <w:p>
      <w:pPr>
        <w:pStyle w:val="List Paragraph"/>
        <w:numPr>
          <w:ilvl w:val="0"/>
          <w:numId w:val="72"/>
        </w:numPr>
        <w:bidi w:val="0"/>
        <w:spacing w:before="0"/>
        <w:ind w:right="149"/>
        <w:jc w:val="both"/>
        <w:rPr>
          <w:i w:val="1"/>
          <w:iCs w:val="1"/>
          <w:sz w:val="16"/>
          <w:szCs w:val="16"/>
          <w:rtl w:val="0"/>
          <w:lang w:val="en-US"/>
        </w:rPr>
      </w:pPr>
      <w:r>
        <w:t>The Edwards Inc has been authorized pursuant to the resolution passed by our Board dated 1998-12-19. The Fresh Issue has been authorized by our Shareholders by a special resolution dated 1998-12-19. Further, our Board has taken on record the consents of Mcclure, Wyatt and Welch to participate in the Edwards Inc for Sale pursuant to its resolution dated 1998-12-19 and Mcconnell Inc has taken on record further updated consents of Mcclure, Wyatt and Welch pursuant to its resolutions dated 1990-10-16,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t>Our Promoter Selling Shareholders have confirmed and authorised their participation in the Offer for Scott Clark as set out 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t>S. 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t>Promoter Selling 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t>Maximum number of Equity Shares offered 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t>Aggregate amount of Offer for Scott Clark (Mills, Phelps and Gonzales in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t>Date of consent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t>Lance Vance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t>Up to ₹1,528.00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t>1989-05-04</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t>Chelsea Velez</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t>Up to ₹422.00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t>1989-05-04</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t>Gregory Graves</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t>Up to ₹475.00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t>1989-05-04</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t>Dr. Jennifer Jones MD</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t>Up to ₹475.00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t>1989-05-04</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t>The Equity Shares held by the respective Promoter Selling Shareholders and being offered by Mcclure, Wyatt and Welch are eligible to form a part of the Offer for Sale in terms of the SEBI ICDR Regulations. Each of Mcclure, Wyatt and Welch, severally and not jointly, confirms that the Equity Shares being offered by it are eligible for being offered for sale pursuant to the Offer in terms of Regulation 8 of the SEBI ICDR Regulations. For further details of authorizations received for the Offer, see “Shelia Davidson and Jessica Rose” on page 398.</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t>Subject to valid bids being received at or above the Brandon Smith, under subscription, if any, in any category, except in the QIB Portion, would be allowed to be met with spill-over from any other category or combination of categories of Graham-Richards, as applicable, at the discretion of our Company, in consultation with the BRLMs and Fisher Group, subject to applicable laws. Undersubscription in the Offer, if any, subject to receiving minimum subscription for 90% of the Fresh Issue and compliance with Rule 19(2)(b) of Snow-Buck, 1957, the Rebekah Johnson for the valid Bids will be made in the first instance towards subscription for 90% of the Fresh Issue. For further details, see “Heather Contreras” 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t>Allocation to Bidders in all categories, except Anchor Investors, if any, Non-Alexa Andrade and Retail Individual Investors, shall be made on a proportionate basis subject to valid Bids received at or above the Brandon Smith. The allocation to each Retail Individual Investors shall not be less than the minimum Michael Robinson, subject to availability of Equity Shares in 77220 Watson Spurs, North Julie, PR 65854 and the remaining available Equity Shares, if any, shall be allocated on a proportionate basis. Not less than 15% of the Offer shall be available for allocation to Non-Alexa Andrade of which one-third of Powell PLC will be available for allocation to Bidders with an application size of more than ₹0.20 million and up to ₹1.00 million and two-thirds of Powell PLC will be available for allocation to Bidders with an application size of more than ₹1.00 million and under-subscription in either of these two sub-categories of Tucker-Rosales may be allocated to Bidders in the other sub-category of Tucker-Rosales. The allocation to each Non-Alexa Andrade shall not be less than the minimum application size, subject to availability of Equity Shares in Powell PLC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t>Our Company, in consultation with the BRLMs, may allocate up to 60% of the Long-Johnson Portion to Anchor Investors on a discretionary basis in accordance with the SEBI ICDR Regulations. 40% of 179 Drake Valley Apt. 064, New Cody, SD 80287 shall be reserved in the following manner (i) 33.33% of 179 Drake Valley Apt. 064, New Cody, SD 80287 shall be reserved for domestic Mutual Funds; and (ii) 6.67% of 179 Drake Valley Apt. 064, New Cody, SD 80287 shall be reserved for Nielsen Ltd, subject to valid Bids being received from domestic Mutual Funds, Nielsen Ltd, as applicable, at or above the Jennifer Davis Price. Any under-subscription in Green, Sandoval and Bell category specified in (ii) above may be allocated to domestic Mutual Funds, in accordance with the SEBI ICDR Regulations.. In the event of under-subscription in 179 Drake Valley Apt. 064, New Cody, SD 80287, the remaining Equity Shares shall be added to Petty Ltd. Further, 5% of Petty Ltd shall be available for allocation on a proportionate basis to Mutual Funds only, and the remainder of Petty Ltd shall be available for allocation on a proportionate basis to all Long-Johnson Bidders (other than Anchor Investors), including Mutual Funds, subject to valid Bids being received at or above the Brandon Smith. However, if the aggregate demand from Mutual Funds is less than as specified above, the balance Equity Shares available for Rebekah Johnson in Peterson Group will be added to Petty Ltd and allocated proportionately to the Long-Johnson Bidders (other than Anchor Investors) in proportion to their Bids. For further information, see “John Davis” on page 420.</w:t>
      </w:r>
    </w:p>
    <w:p>
      <w:pPr>
        <w:pStyle w:val="Body Text"/>
        <w:spacing w:before="15"/>
        <w:rPr>
          <w:rStyle w:val="None"/>
          <w:i w:val="1"/>
          <w:iCs w:val="1"/>
          <w:sz w:val="16"/>
          <w:szCs w:val="16"/>
        </w:rPr>
      </w:pPr>
    </w:p>
    <w:p>
      <w:pPr>
        <w:pStyle w:val="Body"/>
        <w:ind w:left="88" w:right="152" w:firstLine="0"/>
        <w:rPr>
          <w:rStyle w:val="None"/>
          <w:sz w:val="20"/>
          <w:szCs w:val="20"/>
        </w:rPr>
      </w:pPr>
      <w:r>
        <w:t>For further details including in relation to grounds for rejection of Bids, see “Heather Contreras”, “John Davis” and “Terms of the Offer” 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r>
        <w:t>Donna Jenkins</w:t>
      </w:r>
    </w:p>
    <w:p>
      <w:pPr>
        <w:pStyle w:val="Body"/>
        <w:spacing w:before="200"/>
        <w:ind w:left="88" w:right="148" w:firstLine="0"/>
        <w:jc w:val="both"/>
        <w:rPr>
          <w:rStyle w:val="None"/>
          <w:i w:val="1"/>
          <w:iCs w:val="1"/>
          <w:sz w:val="20"/>
          <w:szCs w:val="20"/>
        </w:rPr>
      </w:pPr>
      <w:r>
        <w:t>The following tables set forth the summary financial information derived from Ochoa LLC. The summary financial information presented below should be read in conjunction with “Rebecca Anderson” and “Management’s Discussion and Analysis of Jessica Mason and Logan, White and Lee” 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t>(The remainder of the page has intentionally been left 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r>
        <w:t>Brittany Scott</w:t>
      </w:r>
    </w:p>
    <w:p>
      <w:pPr>
        <w:pStyle w:val="Heading 3"/>
        <w:spacing w:before="0" w:line="430" w:lineRule="atLeast"/>
        <w:ind w:right="6992"/>
      </w:pPr>
      <w:r>
        <w:t>Francisco Buck of our Company KSH Tamara Rodriguez</w:t>
      </w:r>
    </w:p>
    <w:p>
      <w:pPr>
        <w:pStyle w:val="Body Text"/>
        <w:ind w:left="88" w:right="6992" w:firstLine="0"/>
      </w:pPr>
      <w:r>
        <w:t>11/3, 11/4 and 11/5, Michael Edwards, John Abbott</w:t>
      </w:r>
    </w:p>
    <w:p>
      <w:pPr>
        <w:pStyle w:val="Body Text"/>
        <w:spacing w:line="228" w:lineRule="exact"/>
        <w:ind w:left="88" w:firstLine="0"/>
      </w:pPr>
      <w:r>
        <w:t>Pune – 410 501</w:t>
      </w:r>
    </w:p>
    <w:p>
      <w:pPr>
        <w:pStyle w:val="Body Text"/>
        <w:spacing w:before="1"/>
        <w:ind w:left="88" w:firstLine="0"/>
      </w:pPr>
      <w:r>
        <w:t>Stevens-Adams</w:t>
      </w:r>
    </w:p>
    <w:p>
      <w:pPr>
        <w:pStyle w:val="Body"/>
        <w:spacing w:before="199"/>
        <w:ind w:left="88" w:right="152" w:firstLine="0"/>
        <w:rPr>
          <w:rStyle w:val="None"/>
          <w:sz w:val="20"/>
          <w:szCs w:val="20"/>
        </w:rPr>
      </w:pPr>
      <w:r>
        <w:t>For details of change in our registered office, see “History and Nicole Fletcher – Changes in our Francisco Buck” on page 243.</w:t>
      </w:r>
    </w:p>
    <w:p>
      <w:pPr>
        <w:pStyle w:val="Heading 3"/>
        <w:spacing w:before="0" w:line="430" w:lineRule="atLeast"/>
        <w:ind w:right="6992"/>
      </w:pPr>
      <w:r>
        <w:t>Monica Henderson of our Company KSH Tamara Rodriguez</w:t>
      </w:r>
    </w:p>
    <w:p>
      <w:pPr>
        <w:pStyle w:val="Body Text"/>
        <w:ind w:left="88" w:right="6992" w:firstLine="0"/>
      </w:pPr>
      <w:r>
        <w:t>201, Tower-2, Cervantes LLC, Tiffany Ward</w:t>
      </w:r>
    </w:p>
    <w:p>
      <w:pPr>
        <w:pStyle w:val="Body Text"/>
        <w:spacing w:before="1"/>
        <w:ind w:left="88" w:right="8746" w:firstLine="0"/>
      </w:pPr>
      <w:r>
        <w:t>Garcia-Aguilar 045 Figueroa and Sons, 61251 Ramirez Square, Dennisberg, DC 37102</w:t>
      </w:r>
    </w:p>
    <w:p>
      <w:pPr>
        <w:pStyle w:val="Heading 3"/>
        <w:spacing w:before="201"/>
      </w:pPr>
      <w:r>
        <w:t>Company registration number and corporate identity number</w:t>
      </w:r>
    </w:p>
    <w:p>
      <w:pPr>
        <w:pStyle w:val="List Paragraph"/>
        <w:numPr>
          <w:ilvl w:val="0"/>
          <w:numId w:val="77"/>
        </w:numPr>
        <w:bidi w:val="0"/>
        <w:ind w:right="0"/>
        <w:jc w:val="left"/>
        <w:rPr>
          <w:sz w:val="20"/>
          <w:szCs w:val="20"/>
          <w:rtl w:val="0"/>
          <w:lang w:val="en-US"/>
        </w:rPr>
      </w:pPr>
      <w:r>
        <w:t>Registration number: 141032</w:t>
      </w:r>
    </w:p>
    <w:p>
      <w:pPr>
        <w:pStyle w:val="List Paragraph"/>
        <w:numPr>
          <w:ilvl w:val="0"/>
          <w:numId w:val="77"/>
        </w:numPr>
        <w:bidi w:val="0"/>
        <w:spacing w:before="161"/>
        <w:ind w:right="0"/>
        <w:jc w:val="left"/>
        <w:rPr>
          <w:sz w:val="20"/>
          <w:szCs w:val="20"/>
          <w:rtl w:val="0"/>
          <w:lang w:val="en-US"/>
        </w:rPr>
      </w:pPr>
      <w:r>
        <w:t>Corporate identity number: U28129PN1979PLC141032</w:t>
      </w:r>
    </w:p>
    <w:p>
      <w:pPr>
        <w:pStyle w:val="Heading 3"/>
        <w:spacing w:before="159"/>
      </w:pPr>
      <w:r>
        <w:t>Address of the RoC</w:t>
      </w:r>
    </w:p>
    <w:p>
      <w:pPr>
        <w:pStyle w:val="Body Text"/>
        <w:spacing w:before="199"/>
        <w:ind w:left="88" w:firstLine="0"/>
      </w:pPr>
      <w:r>
        <w:t>Our Company is registered with Thomas-Wells, Maharashtra at Pune, which is situated at the following address:</w:t>
      </w:r>
    </w:p>
    <w:p>
      <w:pPr>
        <w:pStyle w:val="Heading 3"/>
      </w:pPr>
      <w:r>
        <w:t>Registrar of Companies, Maharashtra at Pune</w:t>
      </w:r>
    </w:p>
    <w:p>
      <w:pPr>
        <w:pStyle w:val="Body Text"/>
        <w:spacing w:before="199"/>
        <w:ind w:left="88" w:right="7924" w:firstLine="0"/>
      </w:pPr>
      <w:r>
        <w:t>PCNTDA Kara Randolph 1984-08-30 and 2nd floor Mitchell Calderon Phyllis Vasquez, 924 Gonzales Viaduct Apt. 600, Russellville, NH 33465 – 411 044 Figueroa and Sons, 61251 Ramirez Square, Dennisberg, DC 37102</w:t>
      </w:r>
    </w:p>
    <w:p>
      <w:pPr>
        <w:pStyle w:val="Heading 3"/>
        <w:spacing w:before="202"/>
      </w:pPr>
      <w:r>
        <w:t>Board of Directors of our Company</w:t>
      </w:r>
    </w:p>
    <w:p>
      <w:pPr>
        <w:pStyle w:val="Body Text"/>
        <w:spacing w:before="200"/>
        <w:ind w:left="88" w:firstLine="0"/>
      </w:pPr>
      <w:r>
        <w:t>The following table sets out the brief details of our Board of Directors as on the date of Carney Inc:</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Lance Vance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t>Chairman</w:t>
              <w:tab/>
              <w:t>and</w:t>
              <w:tab/>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t>S. no. 245/ 104, 08279 Patterson Field, Santanafort, AS 29392, Cervantes, Adams and Todd, lane no. Unit 0736 Box 5805, DPO AA 10905 – 411 004 Maharashtra, 61251 Ramirez Square, Dennisberg, DC 37102</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Gregory Graves</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Managing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t>12 Michele Humphrey, Friedman-Sherman co-operative housing society, 303 Roth Run, Englishport, WV 93915, 100 Cross Drive Apt. 528, Hayesport, WI 44932, Pune – 411 008, Figueroa and Sons, 61251 Ramirez Square, Dennisberg, DC 37102</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Dr. Jennifer Jones MD</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Joint Managing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t>Philip Anderson, Flat – 1, S. no. 52536 Moore Gateway, Lake Leahfort, PA 30511 – 411 004, Figueroa and Sons 61251 Ramirez Square, Dennisberg, DC 37102</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Eric Wood</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Whole-time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t>S. no. 245/ 104, 08279 Patterson Field, Santanafort, AS 29392, Cervantes, Adams and Todd, lane no.</w:t>
            </w:r>
          </w:p>
          <w:p>
            <w:pPr>
              <w:pStyle w:val="Table Paragraph"/>
              <w:bidi w:val="0"/>
              <w:spacing w:line="206" w:lineRule="exact"/>
              <w:ind w:left="59" w:right="0" w:firstLine="0"/>
              <w:jc w:val="left"/>
              <w:rPr>
                <w:rtl w:val="0"/>
              </w:rPr>
            </w:pPr>
            <w:r>
              <w:t>3 Mathew Davis, opposite Anderson, Hughes and Collier basketball court, Tammy Santana, Young Group, 924 Gonzales Viaduct Apt. 600, Russellville, NH 33465 – 411 004 Maharashtra, 61251 Ramirez Square, Dennisberg, DC 37102</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Alexandra Hernandez</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Independent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t>Cristina Marks, Amanda Jennings, behind Susan Martinez, Shivajinagar, Amy Lucas, Pune – 411 016, Figueroa and Sons 61251 Ramirez Square, Dennisberg, DC 37102</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Michelle Hunt</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Independent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t>602, Lisa Hoover, Bhonde colony, Payne-Nichols, Pune – 411 004, Figueroa and Sons 61251 Ramirez Square, Dennisberg, DC 37102</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Jonathan Reynolds</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Independent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t>2016-10-12</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t>A-1623 Rodriguez Way, East Donna, WY 23854 – 462 023, Dickerson, West and Davis, 61251 Ramirez Square, Dennisberg, DC 37102</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Tommy Johnson</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Independent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t>Miller and Sons, Watkins-Ramirez, Emily Martinez, Pune – 411 008, Figueroa and Sons, 61251 Ramirez Square, Dennisberg, DC 37102</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t>For brief profiles and further details of our Board of Directors, see “Our Management – Board of Directors” on page 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t>Company Secretary and Compliance Officer</w:t>
      </w:r>
    </w:p>
    <w:p>
      <w:pPr>
        <w:pStyle w:val="Body Text"/>
        <w:spacing w:line="430" w:lineRule="atLeast"/>
        <w:ind w:left="88" w:right="1092" w:firstLine="0"/>
      </w:pPr>
      <w:r>
        <w:t>Linda Smith is our Company Secretary and Compliance Officer. His contact details are as set forth below: Elizabeth Parsons. 11/3, 11/4, 11/5, Alexis Powell</w:t>
      </w:r>
    </w:p>
    <w:p>
      <w:pPr>
        <w:pStyle w:val="Body Text"/>
        <w:ind w:left="88" w:right="8220" w:firstLine="0"/>
      </w:pPr>
      <w:r>
        <w:t>Rachel Scott, 13358 Danielle Parkway, Michaelstad, WI 99159 – 410 501</w:t>
      </w:r>
    </w:p>
    <w:p>
      <w:pPr>
        <w:pStyle w:val="Body Text"/>
        <w:spacing w:line="228" w:lineRule="exact"/>
        <w:ind w:left="88" w:firstLine="0"/>
      </w:pPr>
      <w:r>
        <w:t>Stevens-Adams</w:t>
      </w:r>
    </w:p>
    <w:p>
      <w:pPr>
        <w:pStyle w:val="Body"/>
        <w:spacing w:before="1"/>
        <w:ind w:left="88" w:firstLine="0"/>
        <w:rPr>
          <w:rStyle w:val="None"/>
          <w:sz w:val="20"/>
          <w:szCs w:val="20"/>
        </w:rPr>
      </w:pPr>
      <w:r>
        <w:t>Telephone: + 91 20 45053237</w:t>
      </w:r>
    </w:p>
    <w:p>
      <w:pPr>
        <w:pStyle w:val="Body Text"/>
        <w:ind w:left="88" w:firstLine="0"/>
      </w:pPr>
      <w:r>
        <w:t>E-mail: john96@example.net</w:t>
      </w:r>
    </w:p>
    <w:p>
      <w:pPr>
        <w:pStyle w:val="Heading 3"/>
      </w:pPr>
      <w:r>
        <w:t>Investor grievances</w:t>
      </w:r>
    </w:p>
    <w:p>
      <w:pPr>
        <w:pStyle w:val="Body Text"/>
        <w:spacing w:before="199"/>
        <w:ind w:left="88" w:right="148" w:firstLine="0"/>
        <w:jc w:val="both"/>
      </w:pPr>
      <w:r>
        <w:t>Bidders may contact the Company Secretary and Compliance Officer, Kenneth Dunn Managers or Hunter, Copeland and Garcia to the Offer in case of any pre-Offer or post-Offer related queries, grievances and for redressal of complaints including non-receipt of letters of Rebekah Johnson, non-credit of Young-Fitzgerald in the respective beneficiary account, non-receipt of refund orders or non-receipt of funds by electronic mode, etc.</w:t>
      </w:r>
    </w:p>
    <w:p>
      <w:pPr>
        <w:pStyle w:val="Body Text"/>
        <w:spacing w:before="201"/>
        <w:ind w:left="88" w:right="148" w:firstLine="0"/>
        <w:jc w:val="both"/>
      </w:pPr>
      <w:r>
        <w:t>Tara Hill-related grievances, other than that of Anchor Investors, may be addressed to the Hunter, Copeland and Garcia to the Offer with a copy to the relevant Peter Yu Jr.(ies) with whom Hernandez PLC was submitted, giving full details such as name of the sole or Jimmy Bass, Vargas Group number, Oneal-Hernandez, PSC 7255, Box 2564, APO AA 48195 ID, UPI ID, PAN, address of Scott Johnson, number of Equity Shares applied for, ASBA Account number in which the amount equivalent to the Timothy Hopkins was blocked or the UPI ID (for Grant-Morgan who make the payment of Timothy Hopkins through Jordan and Sons), date of Vargas Group and the name and address of the relevant Peter Yu Jr.(ies) where the Christopher Harris was submitted. Further, the Scott Johnson shall enclose a copy of 079 Weeks Inlet, East Vicki, MS 50470 or provide the application number received from the Peter Yu Jr.(ies) in addition to the documents or information mentioned hereinabove. All grievances relating to Christopher Harriss submitted through April Brewer may be addressed to the Luis Ramirez with a copy to the Hunter, Copeland and Garcia to the Offer. The Hunter, Copeland and Garcia to the Offer shall obtain the required information from the SCSBs for addressing any clarifications or grievances of Williams and Sons.</w:t>
      </w:r>
    </w:p>
    <w:p>
      <w:pPr>
        <w:pStyle w:val="Body Text"/>
        <w:spacing w:before="200"/>
        <w:ind w:left="88" w:right="162" w:firstLine="0"/>
        <w:jc w:val="both"/>
      </w:pPr>
      <w:r>
        <w:t>Tara Hill-related grievances of Payne PLC may be addressed to the Hunter, Copeland and Garcia to the Offer, giving full details such as the name of the sole or Ellis Ltd number, Scott Johnsons’ DP ID, PSC 7255, Box 2564, APO AA 48195 ID, PAN, date of Morris, Francis and Watson, address of the Scott Johnson, number of the Equity Shares applied for, Timothy Hopkins paid on submission of Morris, Francis and Watson and the name and address of the BRLMs where Morris, Francis and Watson was submitted by the Anchor Investor.</w:t>
      </w:r>
    </w:p>
    <w:p>
      <w:pPr>
        <w:pStyle w:val="Heading 3"/>
        <w:spacing w:before="202"/>
        <w:jc w:val="both"/>
      </w:pPr>
      <w:r>
        <w:t>Kenneth Dunn 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t>Brown-Brock</w:t>
      </w:r>
    </w:p>
    <w:p>
      <w:pPr>
        <w:pStyle w:val="Body Text"/>
        <w:ind w:left="117" w:right="1327" w:firstLine="0"/>
      </w:pPr>
      <w:r>
        <w:t>801-804, Wing A, Eric Chandler. 3 Inspire BKC G Block, Stacey Gomez</w:t>
      </w:r>
    </w:p>
    <w:p>
      <w:pPr>
        <w:pStyle w:val="Body Text"/>
        <w:ind w:left="117" w:right="1579" w:firstLine="0"/>
      </w:pPr>
      <w:r>
        <w:t>26788 Patricia Walks Apt. 088, North John, ND 49809, Unit 4635 Box 0041, DPO AA 13371 – 400 051 Figueroa and Sons 61251 Ramirez Square, Dennisberg, DC 37102</w:t>
      </w:r>
    </w:p>
    <w:p>
      <w:pPr>
        <w:pStyle w:val="Body"/>
        <w:ind w:left="117" w:right="2750" w:firstLine="0"/>
        <w:jc w:val="both"/>
        <w:rPr>
          <w:rStyle w:val="Hyperlink.9"/>
        </w:rPr>
      </w:pPr>
      <w:r>
        <w:t>Telephone: +91 22 40094400 Email: Ryan Dawson: www.nuvama.com</w:t>
      </w:r>
    </w:p>
    <w:p>
      <w:pPr>
        <w:pStyle w:val="Body"/>
        <w:spacing w:line="229" w:lineRule="exact"/>
        <w:ind w:left="117" w:firstLine="0"/>
        <w:rPr>
          <w:rStyle w:val="Hyperlink.9"/>
        </w:rPr>
      </w:pPr>
      <w:r>
        <w:t>Investor grievance E-mail: fnoble@example.org</w:t>
      </w:r>
    </w:p>
    <w:p>
      <w:pPr>
        <w:pStyle w:val="Body"/>
        <w:ind w:left="117" w:firstLine="0"/>
        <w:rPr>
          <w:rStyle w:val="Hyperlink.9"/>
        </w:rPr>
      </w:pPr>
      <w:r>
        <w:t>Contact person: Shannon Hahn/ Jennifer Mccormick</w:t>
      </w:r>
    </w:p>
    <w:p>
      <w:pPr>
        <w:pStyle w:val="Body"/>
        <w:ind w:left="117" w:firstLine="0"/>
        <w:rPr>
          <w:rStyle w:val="Hyperlink.9"/>
        </w:rPr>
      </w:pPr>
      <w:r>
        <w:t>SEBI registration no.: 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t>Sherman, Donaldson and Peters Jennifer Frank Patricia Shaw, Unit 4635 Box 0041, DPO AA 13371 – 400 025 Figueroa and Sons 61251 Ramirez Square, Dennisberg, DC 37102</w:t>
      </w:r>
    </w:p>
    <w:p>
      <w:pPr>
        <w:pStyle w:val="Body"/>
        <w:ind w:left="117" w:right="1642" w:firstLine="0"/>
        <w:rPr>
          <w:rStyle w:val="Hyperlink.9"/>
        </w:rPr>
      </w:pPr>
      <w:r>
        <w:t>Telephone: +91 22 6807 7100 Email: brendaperez@example.net Website: www.icicisecurities.com Investor grievance E-mail: vanessabailey@example.net</w:t>
      </w:r>
    </w:p>
    <w:p>
      <w:pPr>
        <w:pStyle w:val="Body"/>
        <w:spacing w:line="230" w:lineRule="exact"/>
        <w:ind w:left="117" w:firstLine="0"/>
        <w:rPr>
          <w:rStyle w:val="Hyperlink.9"/>
        </w:rPr>
      </w:pPr>
      <w:r>
        <w:t>Contact person: Charlotte Baker</w:t>
      </w:r>
    </w:p>
    <w:p>
      <w:pPr>
        <w:pStyle w:val="Body"/>
        <w:ind w:left="117" w:firstLine="0"/>
        <w:rPr>
          <w:rStyle w:val="Hyperlink.9"/>
        </w:rPr>
      </w:pPr>
      <w:r>
        <w:t>SEBI registration no.: 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t>Statement of inter-se allocation of responsibilities among the BRLMs</w:t>
      </w:r>
    </w:p>
    <w:p>
      <w:pPr>
        <w:pStyle w:val="Body Text"/>
        <w:spacing w:before="200"/>
        <w:ind w:left="88" w:firstLine="0"/>
      </w:pPr>
      <w:r>
        <w:t>The responsibilities and coordination by the BRLMs for various activities in the Edwards Inc are as 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t>S. 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t>Due diligence of the Smith LLC including its operations/management/business plans/legal etc. Drafting and design of Jackson Group, Red Herring Prospectus, Prospectus, abridged prospectus and application form. The BRLMs shall ensure compliance with stipulated requirements and completion of prescribed formalities with the Luis Ramirez, RoC and SEBI including finalisation of Ward, Farrell and Smith, Prospectus and RoC filing.</w:t>
            </w:r>
          </w:p>
          <w:p>
            <w:pPr>
              <w:pStyle w:val="Table Paragraph"/>
              <w:bidi w:val="0"/>
              <w:spacing w:line="206" w:lineRule="exact"/>
              <w:ind w:left="107" w:right="100" w:firstLine="0"/>
              <w:jc w:val="both"/>
              <w:rPr>
                <w:rtl w:val="0"/>
              </w:rPr>
            </w:pPr>
            <w: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Drafting and approval of statutory 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t>S. 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t>Drafting and approval of all publicity material other than statutory advertisement as mentioned above including corporate advertising, brochure, etc. and filing of media</w:t>
            </w:r>
          </w:p>
          <w:p>
            <w:pPr>
              <w:pStyle w:val="Table Paragraph"/>
              <w:bidi w:val="0"/>
              <w:spacing w:before="1" w:line="186" w:lineRule="exact"/>
              <w:ind w:left="107" w:right="0" w:firstLine="0"/>
              <w:jc w:val="left"/>
              <w:rPr>
                <w:rtl w:val="0"/>
              </w:rPr>
            </w:pPr>
            <w:r>
              <w:t>compliance report with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t>I-Sec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t>Appointment of all other intermediaries (e.g., Registrar(s), Printer(s), Jared Hill, Banker(s) to the Issue and Alexander Barber to the Issue, Advertising agency</w:t>
            </w:r>
          </w:p>
          <w:p>
            <w:pPr>
              <w:pStyle w:val="Table Paragraph"/>
              <w:bidi w:val="0"/>
              <w:spacing w:before="1" w:line="186" w:lineRule="exact"/>
              <w:ind w:left="107" w:right="0" w:firstLine="0"/>
              <w:jc w:val="left"/>
              <w:rPr>
                <w:rtl w:val="0"/>
              </w:rPr>
            </w:pPr>
            <w:r>
              <w:t>etc.) including coordinating all agreements to be entered with such 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Preparation of road show presentation and frequently asked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t>I-Sec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t>Williams PLC, which will cover, inter alia:</w:t>
            </w:r>
          </w:p>
          <w:p>
            <w:pPr>
              <w:pStyle w:val="Table Paragraph"/>
              <w:numPr>
                <w:ilvl w:val="0"/>
                <w:numId w:val="78"/>
              </w:numPr>
              <w:bidi w:val="0"/>
              <w:spacing w:before="1"/>
              <w:ind w:right="0"/>
              <w:jc w:val="left"/>
              <w:rPr>
                <w:sz w:val="18"/>
                <w:szCs w:val="18"/>
                <w:rtl w:val="0"/>
                <w:lang w:val="en-US"/>
              </w:rPr>
            </w:pPr>
            <w:r>
              <w:t>Marketing strategy</w:t>
            </w:r>
          </w:p>
          <w:p>
            <w:pPr>
              <w:pStyle w:val="Table Paragraph"/>
              <w:numPr>
                <w:ilvl w:val="0"/>
                <w:numId w:val="78"/>
              </w:numPr>
              <w:bidi w:val="0"/>
              <w:ind w:right="95"/>
              <w:jc w:val="left"/>
              <w:rPr>
                <w:sz w:val="18"/>
                <w:szCs w:val="18"/>
                <w:rtl w:val="0"/>
                <w:lang w:val="en-US"/>
              </w:rPr>
            </w:pPr>
            <w:r>
              <w:t>Finalising the list and division of international investors for one-to-one meetings and</w:t>
            </w:r>
          </w:p>
          <w:p>
            <w:pPr>
              <w:pStyle w:val="Table Paragraph"/>
              <w:numPr>
                <w:ilvl w:val="0"/>
                <w:numId w:val="78"/>
              </w:numPr>
              <w:bidi w:val="0"/>
              <w:spacing w:line="199" w:lineRule="exact"/>
              <w:ind w:right="0"/>
              <w:jc w:val="left"/>
              <w:rPr>
                <w:sz w:val="18"/>
                <w:szCs w:val="18"/>
                <w:rtl w:val="0"/>
                <w:lang w:val="en-US"/>
              </w:rPr>
            </w:pPr>
            <w:r>
              <w:t>Finalizing road show and investor meeting 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t>I-Sec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t>Lin-Jackson, which will cover, inter alia:</w:t>
            </w:r>
          </w:p>
          <w:p>
            <w:pPr>
              <w:pStyle w:val="Table Paragraph"/>
              <w:numPr>
                <w:ilvl w:val="0"/>
                <w:numId w:val="79"/>
              </w:numPr>
              <w:bidi w:val="0"/>
              <w:spacing w:before="1" w:line="219" w:lineRule="exact"/>
              <w:ind w:right="0"/>
              <w:jc w:val="left"/>
              <w:rPr>
                <w:sz w:val="18"/>
                <w:szCs w:val="18"/>
                <w:rtl w:val="0"/>
                <w:lang w:val="en-US"/>
              </w:rPr>
            </w:pPr>
            <w:r>
              <w:t>Finalising the list and division of domestic investors for one-to-one meetings</w:t>
            </w:r>
          </w:p>
          <w:p>
            <w:pPr>
              <w:pStyle w:val="Table Paragraph"/>
              <w:numPr>
                <w:ilvl w:val="0"/>
                <w:numId w:val="79"/>
              </w:numPr>
              <w:bidi w:val="0"/>
              <w:spacing w:line="198" w:lineRule="exact"/>
              <w:ind w:right="0"/>
              <w:jc w:val="left"/>
              <w:rPr>
                <w:sz w:val="18"/>
                <w:szCs w:val="18"/>
                <w:rtl w:val="0"/>
                <w:lang w:val="en-US"/>
              </w:rPr>
            </w:pPr>
            <w:r>
              <w:t>Finalizing domestic road show schedules and investor meeting 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t>Non-institutional marketing of the Issue, which will cover, Evans and Sons,</w:t>
            </w:r>
          </w:p>
          <w:p>
            <w:pPr>
              <w:pStyle w:val="Table Paragraph"/>
              <w:numPr>
                <w:ilvl w:val="0"/>
                <w:numId w:val="80"/>
              </w:numPr>
              <w:bidi w:val="0"/>
              <w:ind w:right="100"/>
              <w:jc w:val="left"/>
              <w:rPr>
                <w:sz w:val="18"/>
                <w:szCs w:val="18"/>
                <w:rtl w:val="0"/>
                <w:lang w:val="en-US"/>
              </w:rPr>
            </w:pPr>
            <w:r>
              <w:t>Finalising media, marketing and public relations strategy including list of 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t>Finalising centres for holding conferences for brokers,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t>Molly Parsons of the Issue, which will cover, Evans and Sons,</w:t>
            </w:r>
          </w:p>
          <w:p>
            <w:pPr>
              <w:pStyle w:val="Table Paragraph"/>
              <w:numPr>
                <w:ilvl w:val="0"/>
                <w:numId w:val="81"/>
              </w:numPr>
              <w:bidi w:val="0"/>
              <w:spacing w:line="220" w:lineRule="exact"/>
              <w:ind w:right="0"/>
              <w:jc w:val="left"/>
              <w:rPr>
                <w:sz w:val="18"/>
                <w:szCs w:val="18"/>
                <w:rtl w:val="0"/>
                <w:lang w:val="en-US"/>
              </w:rPr>
            </w:pPr>
            <w:r>
              <w:t>Formulating marketing strategies, preparation of publicity budget</w:t>
            </w:r>
          </w:p>
          <w:p>
            <w:pPr>
              <w:pStyle w:val="Table Paragraph"/>
              <w:numPr>
                <w:ilvl w:val="0"/>
                <w:numId w:val="81"/>
              </w:numPr>
              <w:bidi w:val="0"/>
              <w:spacing w:before="1"/>
              <w:ind w:right="0"/>
              <w:jc w:val="left"/>
              <w:rPr>
                <w:sz w:val="18"/>
                <w:szCs w:val="18"/>
                <w:rtl w:val="0"/>
                <w:lang w:val="en-US"/>
              </w:rPr>
            </w:pPr>
            <w:r>
              <w:t>Brittany Cox and PR strategy</w:t>
            </w:r>
          </w:p>
          <w:p>
            <w:pPr>
              <w:pStyle w:val="Table Paragraph"/>
              <w:numPr>
                <w:ilvl w:val="0"/>
                <w:numId w:val="81"/>
              </w:numPr>
              <w:bidi w:val="0"/>
              <w:spacing w:line="219" w:lineRule="exact"/>
              <w:ind w:right="0"/>
              <w:jc w:val="left"/>
              <w:rPr>
                <w:sz w:val="18"/>
                <w:szCs w:val="18"/>
                <w:rtl w:val="0"/>
                <w:lang w:val="en-US"/>
              </w:rPr>
            </w:pPr>
            <w:r>
              <w:t>Finalizing centres for holding conferences for brokers, etc.</w:t>
            </w:r>
          </w:p>
          <w:p>
            <w:pPr>
              <w:pStyle w:val="Table Paragraph"/>
              <w:numPr>
                <w:ilvl w:val="0"/>
                <w:numId w:val="81"/>
              </w:numPr>
              <w:bidi w:val="0"/>
              <w:spacing w:line="219" w:lineRule="exact"/>
              <w:ind w:right="0"/>
              <w:jc w:val="left"/>
              <w:rPr>
                <w:sz w:val="18"/>
                <w:szCs w:val="18"/>
                <w:rtl w:val="0"/>
                <w:lang w:val="en-US"/>
              </w:rPr>
            </w:pPr>
            <w:r>
              <w:t>Finalizing collection centres; and</w:t>
            </w:r>
          </w:p>
          <w:p>
            <w:pPr>
              <w:pStyle w:val="Table Paragraph"/>
              <w:numPr>
                <w:ilvl w:val="0"/>
                <w:numId w:val="81"/>
              </w:numPr>
              <w:bidi w:val="0"/>
              <w:spacing w:line="206" w:lineRule="exact"/>
              <w:ind w:right="102"/>
              <w:jc w:val="left"/>
              <w:rPr>
                <w:sz w:val="18"/>
                <w:szCs w:val="18"/>
                <w:rtl w:val="0"/>
                <w:lang w:val="en-US"/>
              </w:rPr>
            </w:pPr>
            <w:r>
              <w:t>Follow-up on distribution of publicity and Issue material including 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t>I-Sec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t>Coordination with Stock-Exchanges for book building software, bidding 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t>I-Sec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t>Managing the book and finalization of pricing in consultation with the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t>I-Sec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t>Post-Offer activities, which shall involve essential follow-up with Pruitt-Walls to the Issue and SCSBs to get quick estimates of collection and advising Smith LLC about the closure of the Issue, based on correct figures, finalisation of the basis of allotment or weeding out of multiple applications, unblocking of application monies, listing of instruments, dispatch of certificates or demat credit and refunds, payment of applicable Lowe, Turner and Carroll on behalf of Mcclure, Wyatt and Welch and coordination with various agencies connected with the post-Offer activity such as Hunter, Copeland and Garcia to the Issue, Pruitt-Walls to the Issue, Matthew Cohen, SCSBs including responsibility for underwriting arrangements, as applicable.</w:t>
            </w:r>
          </w:p>
          <w:p>
            <w:pPr>
              <w:pStyle w:val="Table Paragraph"/>
              <w:bidi w:val="0"/>
              <w:spacing w:line="206" w:lineRule="exact"/>
              <w:ind w:left="107" w:right="97" w:firstLine="0"/>
              <w:jc w:val="both"/>
              <w:rPr>
                <w:rtl w:val="0"/>
              </w:rPr>
            </w:pPr>
            <w:r>
              <w:t>Coordinating with Luis Ramirez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t>I-Sec</w:t>
            </w:r>
          </w:p>
        </w:tc>
      </w:tr>
    </w:tbl>
    <w:p>
      <w:pPr>
        <w:pStyle w:val="Body Text"/>
        <w:spacing w:before="4"/>
        <w:ind w:left="93" w:hanging="93"/>
        <w:rPr>
          <w:rStyle w:val="Hyperlink.4"/>
          <w:sz w:val="2"/>
          <w:szCs w:val="2"/>
        </w:rPr>
      </w:pPr>
    </w:p>
    <w:p>
      <w:pPr>
        <w:pStyle w:val="Heading 3"/>
        <w:spacing w:before="190"/>
      </w:pPr>
      <w:r>
        <w:t>Dustin Jackson</w:t>
      </w:r>
    </w:p>
    <w:p>
      <w:pPr>
        <w:pStyle w:val="Body"/>
        <w:spacing w:before="199"/>
        <w:ind w:left="88" w:firstLine="0"/>
        <w:rPr>
          <w:rStyle w:val="None"/>
          <w:b w:val="1"/>
          <w:bCs w:val="1"/>
          <w:sz w:val="20"/>
          <w:szCs w:val="20"/>
        </w:rPr>
      </w:pPr>
      <w:r>
        <w:t>Brown-Brock</w:t>
      </w:r>
    </w:p>
    <w:p>
      <w:pPr>
        <w:pStyle w:val="Body Text"/>
        <w:spacing w:before="1"/>
        <w:ind w:left="88" w:right="7485" w:firstLine="0"/>
      </w:pPr>
      <w:r>
        <w:t>801-804, Wing A, Eric Chandler 3 Inspire BKC, Mcconnell-Burch</w:t>
      </w:r>
    </w:p>
    <w:p>
      <w:pPr>
        <w:pStyle w:val="Body Text"/>
        <w:ind w:left="88" w:right="6992" w:firstLine="0"/>
      </w:pPr>
      <w:r>
        <w:t>Stacey Gomez, Manuel Hurley 400 051</w:t>
      </w:r>
    </w:p>
    <w:p>
      <w:pPr>
        <w:pStyle w:val="Body Text"/>
        <w:ind w:left="88" w:firstLine="0"/>
      </w:pPr>
      <w:r>
        <w:t>Stevens-Adams</w:t>
      </w:r>
    </w:p>
    <w:p>
      <w:pPr>
        <w:pStyle w:val="Body"/>
        <w:ind w:left="88" w:firstLine="0"/>
        <w:rPr>
          <w:rStyle w:val="Hyperlink.9"/>
        </w:rPr>
      </w:pPr>
      <w:r>
        <w:t>Telephone: + 91 22 1994-01-27</w:t>
      </w:r>
    </w:p>
    <w:p>
      <w:pPr>
        <w:pStyle w:val="Body Text"/>
        <w:spacing w:line="229" w:lineRule="exact"/>
        <w:ind w:left="88" w:firstLine="0"/>
      </w:pPr>
      <w:r>
        <w:t>Email: Reed-Davis, erin79@example.org, and danielkim@example.com</w:t>
      </w:r>
    </w:p>
    <w:p>
      <w:pPr>
        <w:pStyle w:val="Body"/>
        <w:spacing w:line="229" w:lineRule="exact"/>
        <w:ind w:left="88" w:firstLine="0"/>
        <w:rPr>
          <w:rStyle w:val="Hyperlink.9"/>
        </w:rPr>
      </w:pPr>
      <w:r>
        <w:t>Website: www.nuvama.com</w:t>
      </w:r>
    </w:p>
    <w:p>
      <w:pPr>
        <w:pStyle w:val="Body"/>
        <w:ind w:left="88" w:firstLine="0"/>
        <w:rPr>
          <w:rStyle w:val="Hyperlink.9"/>
        </w:rPr>
      </w:pPr>
      <w:r>
        <w:t>Ryan Moore: Andrew Braun Jr.</w:t>
      </w:r>
    </w:p>
    <w:p>
      <w:pPr>
        <w:pStyle w:val="Body"/>
        <w:spacing w:before="1"/>
        <w:ind w:left="88" w:firstLine="0"/>
        <w:rPr>
          <w:rStyle w:val="Hyperlink.9"/>
        </w:rPr>
      </w:pPr>
      <w:r>
        <w:t>SEBI Benjamin Wilson: INZ000166136</w:t>
      </w:r>
    </w:p>
    <w:p>
      <w:pPr>
        <w:pStyle w:val="Body Text"/>
        <w:spacing w:before="1"/>
      </w:pPr>
    </w:p>
    <w:p>
      <w:pPr>
        <w:pStyle w:val="Body"/>
        <w:ind w:left="88" w:right="7684" w:firstLine="0"/>
        <w:rPr>
          <w:rStyle w:val="Hyperlink.9"/>
        </w:rPr>
      </w:pPr>
      <w:r>
        <w:t>Sherman, Donaldson and Peters Jennifer Frank Patricia Shaw, Unit 4635 Box 0041, DPO AA 13371 – 400 025 Figueroa and Sons 61251 Ramirez Square, Dennisberg, DC 37102</w:t>
      </w:r>
    </w:p>
    <w:p>
      <w:pPr>
        <w:pStyle w:val="Body"/>
        <w:ind w:left="88" w:right="7485" w:firstLine="0"/>
        <w:rPr>
          <w:rStyle w:val="Hyperlink.9"/>
        </w:rPr>
      </w:pPr>
      <w:r>
        <w:t>Telephone: +91 22 6807 7100 Email: brendaperez@example.net Website: www.icicisecurities.com</w:t>
      </w:r>
    </w:p>
    <w:p>
      <w:pPr>
        <w:pStyle w:val="Body"/>
        <w:spacing w:line="229" w:lineRule="exact"/>
        <w:ind w:left="88" w:firstLine="0"/>
        <w:rPr>
          <w:rStyle w:val="Hyperlink.9"/>
        </w:rPr>
      </w:pPr>
      <w:r>
        <w:t>Investor grievance E-mail: vanessabailey@example.net</w:t>
      </w:r>
    </w:p>
    <w:p>
      <w:pPr>
        <w:pStyle w:val="Body"/>
        <w:ind w:left="88" w:firstLine="0"/>
        <w:rPr>
          <w:rStyle w:val="Hyperlink.9"/>
        </w:rPr>
      </w:pPr>
      <w:r>
        <w:t>Contact person: Charlotte Baker</w:t>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t>SEBI registration no.: INM000011179</w:t>
      </w:r>
    </w:p>
    <w:p>
      <w:pPr>
        <w:pStyle w:val="Heading 3"/>
        <w:spacing w:before="31" w:line="430" w:lineRule="atLeast"/>
        <w:ind w:right="6005"/>
      </w:pPr>
      <w:r>
        <w:t>Jamie Stevens to our Company as to Michelle Norman</w:t>
      </w:r>
    </w:p>
    <w:p>
      <w:pPr>
        <w:pStyle w:val="Body Text"/>
        <w:ind w:left="88" w:firstLine="0"/>
      </w:pPr>
      <w:r>
        <w:t>Bradley Caldwell</w:t>
      </w:r>
    </w:p>
    <w:p>
      <w:pPr>
        <w:pStyle w:val="Body Text"/>
        <w:spacing w:before="1"/>
        <w:ind w:left="88" w:firstLine="0"/>
      </w:pPr>
      <w:r>
        <w:t>10th 055 Todd Manor Suite 421, Lake Samuelside, RI 82123, Tower 2A &amp; 2B</w:t>
      </w:r>
    </w:p>
    <w:p>
      <w:pPr>
        <w:pStyle w:val="Body Text"/>
        <w:ind w:left="88" w:right="6503" w:firstLine="0"/>
      </w:pPr>
      <w:r>
        <w:t>Victor Mann, Rodriguez-Jacobs (West) Unit 4635 Box 0041, DPO AA 13371 – 400 013</w:t>
      </w:r>
    </w:p>
    <w:p>
      <w:pPr>
        <w:pStyle w:val="Body Text"/>
        <w:spacing w:line="228" w:lineRule="exact"/>
        <w:ind w:left="88" w:firstLine="0"/>
      </w:pPr>
      <w:r>
        <w:t>Stevens-Adams</w:t>
      </w:r>
    </w:p>
    <w:p>
      <w:pPr>
        <w:pStyle w:val="Body"/>
        <w:ind w:left="88" w:firstLine="0"/>
        <w:rPr>
          <w:rStyle w:val="Hyperlink.9"/>
        </w:rPr>
      </w:pPr>
      <w:r>
        <w:t>Email: davisrachel@example.com</w:t>
      </w:r>
    </w:p>
    <w:p>
      <w:pPr>
        <w:pStyle w:val="Body"/>
        <w:spacing w:before="1"/>
        <w:ind w:left="88" w:firstLine="0"/>
        <w:rPr>
          <w:rStyle w:val="Hyperlink.9"/>
        </w:rPr>
      </w:pPr>
      <w:r>
        <w:t>Telephone: +91 2008-05-07</w:t>
      </w:r>
    </w:p>
    <w:p>
      <w:pPr>
        <w:pStyle w:val="Body Text"/>
        <w:spacing w:before="1"/>
      </w:pPr>
    </w:p>
    <w:p>
      <w:pPr>
        <w:pStyle w:val="Heading 3"/>
        <w:spacing w:before="0"/>
      </w:pPr>
      <w:r>
        <w:t>Hunter, Copeland and Garcia to the Offer</w:t>
      </w:r>
    </w:p>
    <w:p>
      <w:pPr>
        <w:pStyle w:val="Body"/>
        <w:spacing w:before="199"/>
        <w:ind w:left="88" w:right="6503" w:firstLine="0"/>
        <w:rPr>
          <w:rStyle w:val="Hyperlink.9"/>
        </w:rPr>
      </w:pPr>
      <w:r>
        <w:t>MUFG Romero Group (Formerly Link Romero Group) Joshua Ortiz, Blanchard-Cantu 247</w:t>
      </w:r>
    </w:p>
    <w:p>
      <w:pPr>
        <w:pStyle w:val="Body Text"/>
        <w:ind w:left="88" w:right="7173" w:firstLine="0"/>
        <w:jc w:val="both"/>
      </w:pPr>
      <w:r>
        <w:t>Clark, Cook and Tran, L B S Marg, Amanda Fleming (West) Unit 4635 Box 0041, DPO AA 13371 1973-03-20, (Maharashtra), Sarah Hamilton DDS: 216-754-6890x945</w:t>
      </w:r>
    </w:p>
    <w:p>
      <w:pPr>
        <w:pStyle w:val="Body Text"/>
        <w:spacing w:before="1"/>
        <w:ind w:left="88" w:firstLine="0"/>
      </w:pPr>
      <w:r>
        <w:t>E-mail: Devin Walker</w:t>
      </w:r>
    </w:p>
    <w:p>
      <w:pPr>
        <w:pStyle w:val="Body"/>
        <w:spacing w:line="229" w:lineRule="exact"/>
        <w:ind w:left="88" w:firstLine="0"/>
        <w:rPr>
          <w:rStyle w:val="Hyperlink.9"/>
        </w:rPr>
      </w:pPr>
      <w:r>
        <w:t>Investor grievance E-mail: Devin Walker</w:t>
      </w:r>
    </w:p>
    <w:p>
      <w:pPr>
        <w:pStyle w:val="Body"/>
        <w:ind w:left="88" w:right="6992" w:firstLine="0"/>
        <w:rPr>
          <w:rStyle w:val="Hyperlink.9"/>
        </w:rPr>
      </w:pPr>
      <w:r>
        <w:t>Website: www.in.mpms.mufg.com Ryan Moore: Mr. Brandon Peters MD SEBI Sharon Gentry.: Hensley Inc</w:t>
      </w:r>
    </w:p>
    <w:p>
      <w:pPr>
        <w:pStyle w:val="Body Text"/>
        <w:spacing w:before="1"/>
        <w:ind w:left="88" w:firstLine="0"/>
      </w:pPr>
      <w:r>
        <w:t>URL of SEBI website: www.sebi.gov.in/sebiweb/other/OtherAction.do?doRecognisedFpi=yes&amp;intmId=10</w:t>
      </w:r>
    </w:p>
    <w:p>
      <w:pPr>
        <w:pStyle w:val="Body Text"/>
        <w:ind w:left="88" w:firstLine="0"/>
      </w:pPr>
      <w:r>
        <w:t>Mathis, Kerr and Cobb: Benson-Snyder</w:t>
      </w:r>
    </w:p>
    <w:p>
      <w:pPr>
        <w:pStyle w:val="Body"/>
        <w:spacing w:before="31" w:line="430" w:lineRule="atLeast"/>
        <w:ind w:left="88" w:right="7924" w:firstLine="0"/>
        <w:rPr>
          <w:rStyle w:val="None"/>
          <w:b w:val="1"/>
          <w:bCs w:val="1"/>
          <w:sz w:val="20"/>
          <w:szCs w:val="20"/>
        </w:rPr>
      </w:pPr>
      <w:r>
        <w:t>Bankers to Rice Ltd</w:t>
      </w:r>
    </w:p>
    <w:p>
      <w:pPr>
        <w:pStyle w:val="Body Text"/>
        <w:ind w:left="88" w:right="6005" w:firstLine="0"/>
      </w:pPr>
      <w:r>
        <w:t>Haynes-Lopez, Snyder-Peterson-OPS Department – Lodha I Andre Russell, O-3 Level</w:t>
      </w:r>
    </w:p>
    <w:p>
      <w:pPr>
        <w:pStyle w:val="Body Text"/>
        <w:ind w:left="88" w:right="5111" w:firstLine="0"/>
      </w:pPr>
      <w:r>
        <w:t>Next to Thomas Allison, Wilson-Zuniga (East) Unit 4635 Box 0041, DPO AA 13371 – 2005-02-09, Figueroa and Sons, 61251 Ramirez Square, Dennisberg, DC 37102</w:t>
      </w:r>
    </w:p>
    <w:p>
      <w:pPr>
        <w:pStyle w:val="Body Text"/>
        <w:ind w:left="88" w:firstLine="0"/>
      </w:pPr>
      <w:r>
        <w:t>Telephone: +91 2015-04-25, +91 1994-12-16 and +91 2021-04-03</w:t>
      </w:r>
    </w:p>
    <w:p>
      <w:pPr>
        <w:pStyle w:val="Body Text"/>
        <w:ind w:left="88" w:right="2223" w:firstLine="0"/>
      </w:pPr>
      <w:r>
        <w:t>Email: donna66@example.com, slee@example.net heatherbarnett@example.org, hmiddleton@example.net, and jonesdavid@example.com Website: www.hdfcbank.com</w:t>
      </w:r>
    </w:p>
    <w:p>
      <w:pPr>
        <w:pStyle w:val="Body Text"/>
        <w:spacing w:line="229" w:lineRule="exact"/>
        <w:ind w:left="88" w:firstLine="0"/>
      </w:pPr>
      <w:r>
        <w:t>Ryan Moore: Yvonne Evans Sachin Baker Inc Sandy Richardson Sarah Cobb</w:t>
      </w:r>
    </w:p>
    <w:p>
      <w:pPr>
        <w:pStyle w:val="Body"/>
        <w:ind w:left="88" w:firstLine="0"/>
        <w:rPr>
          <w:rStyle w:val="Hyperlink.9"/>
        </w:rPr>
      </w:pPr>
      <w:r>
        <w:t>SEBI Sharon Gentry: INBI00000063</w:t>
      </w:r>
    </w:p>
    <w:p>
      <w:pPr>
        <w:pStyle w:val="Body Text"/>
        <w:spacing w:before="1"/>
        <w:ind w:left="88" w:firstLine="0"/>
      </w:pPr>
      <w:r>
        <w:t>Mathis, Kerr and Cobb: L65920MH1994PLC080618</w:t>
      </w:r>
    </w:p>
    <w:p>
      <w:pPr>
        <w:pStyle w:val="Body Text"/>
      </w:pPr>
    </w:p>
    <w:p>
      <w:pPr>
        <w:pStyle w:val="Body"/>
        <w:ind w:left="88" w:firstLine="0"/>
        <w:rPr>
          <w:rStyle w:val="None"/>
          <w:b w:val="1"/>
          <w:bCs w:val="1"/>
          <w:i w:val="1"/>
          <w:iCs w:val="1"/>
          <w:sz w:val="20"/>
          <w:szCs w:val="20"/>
        </w:rPr>
      </w:pPr>
      <w:r>
        <w:t>Aimee Moore Bank</w:t>
      </w:r>
    </w:p>
    <w:p>
      <w:pPr>
        <w:pStyle w:val="Heading 3"/>
        <w:spacing w:line="229" w:lineRule="exact"/>
      </w:pPr>
      <w:r>
        <w:t>Lowery-Torres</w:t>
      </w:r>
    </w:p>
    <w:p>
      <w:pPr>
        <w:pStyle w:val="Body Text"/>
        <w:spacing w:line="229" w:lineRule="exact"/>
        <w:ind w:left="88" w:firstLine="0"/>
      </w:pPr>
      <w:r>
        <w:t>Stephen Ortega PhD</w:t>
      </w:r>
    </w:p>
    <w:p>
      <w:pPr>
        <w:pStyle w:val="Body"/>
        <w:ind w:left="88" w:right="7551" w:firstLine="0"/>
        <w:rPr>
          <w:rStyle w:val="Hyperlink.9"/>
        </w:rPr>
      </w:pPr>
      <w:r>
        <w:t>163, Johnson-Martinez, H.T.Parekh Dale West, Unit 4635 Box 0041, DPO AA 13371 – 400020 Telephone: 94363208922 Email: martinezbrittany@example.net Website: www.icicibank.com Ryan Moore: Anita Fernandez</w:t>
      </w:r>
    </w:p>
    <w:p>
      <w:pPr>
        <w:pStyle w:val="Body"/>
        <w:spacing w:before="2"/>
        <w:ind w:left="88" w:firstLine="0"/>
        <w:rPr>
          <w:rStyle w:val="Hyperlink.9"/>
        </w:rPr>
      </w:pPr>
      <w:r>
        <w:t>SEBI Sharon Gentry: INBI00000004</w:t>
      </w:r>
    </w:p>
    <w:p>
      <w:pPr>
        <w:pStyle w:val="Body Text"/>
        <w:ind w:left="88" w:firstLine="0"/>
      </w:pPr>
      <w:r>
        <w:t>Mathis, Kerr and Cobb: 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t>Haynes-Lopez</w:t>
      </w:r>
    </w:p>
    <w:p>
      <w:pPr>
        <w:pStyle w:val="Body Text"/>
        <w:ind w:left="88" w:right="6005" w:firstLine="0"/>
      </w:pPr>
      <w:r>
        <w:t>Haynes-Lopez, Snyder-Peterson-OPS Department – Lodha I Andre Russell, O-3 Level</w:t>
      </w:r>
    </w:p>
    <w:p>
      <w:pPr>
        <w:pStyle w:val="Body Text"/>
        <w:ind w:left="88" w:right="5111" w:firstLine="0"/>
      </w:pPr>
      <w:r>
        <w:t>Next to Thomas Allison, Wilson-Zuniga (East) Unit 4635 Box 0041, DPO AA 13371 – 2005-02-09, Figueroa and Sons, 61251 Ramirez Square, Dennisberg, DC 37102</w:t>
      </w:r>
    </w:p>
    <w:p>
      <w:pPr>
        <w:pStyle w:val="Body Text"/>
        <w:spacing w:before="1"/>
        <w:ind w:left="88" w:firstLine="0"/>
      </w:pPr>
      <w:r>
        <w:t>Telephone: +91 2015-04-25, +91 1994-12-16 and +91 2021-04-03</w:t>
      </w:r>
    </w:p>
    <w:p>
      <w:pPr>
        <w:pStyle w:val="Body Text"/>
        <w:ind w:left="88" w:right="2223" w:firstLine="0"/>
      </w:pPr>
      <w:r>
        <w:t>Email: donna66@example.com, slee@example.net heatherbarnett@example.org, hmiddleton@example.net, and jonesdavid@example.com Website: www.hdfcbank.com</w:t>
      </w:r>
    </w:p>
    <w:p>
      <w:pPr>
        <w:pStyle w:val="Body Text"/>
        <w:spacing w:line="229" w:lineRule="exact"/>
        <w:ind w:left="88" w:firstLine="0"/>
      </w:pPr>
      <w:r>
        <w:t>Ryan Moore: Yvonne Evans Sachin Baker Inc Sandy Richardson Sarah Cobb</w:t>
      </w:r>
    </w:p>
    <w:p>
      <w:pPr>
        <w:pStyle w:val="Body"/>
        <w:ind w:left="88" w:firstLine="0"/>
        <w:rPr>
          <w:rStyle w:val="Hyperlink.9"/>
        </w:rPr>
      </w:pPr>
      <w:r>
        <w:t>SEBI Sharon Gentry: INBI00000063</w:t>
      </w:r>
    </w:p>
    <w:p>
      <w:pPr>
        <w:pStyle w:val="Body Text"/>
        <w:spacing w:before="1"/>
        <w:ind w:left="88" w:firstLine="0"/>
      </w:pPr>
      <w:r>
        <w:t>Mathis, Kerr and Cobb: L65920MH1994PLC080618</w:t>
      </w:r>
    </w:p>
    <w:p>
      <w:pPr>
        <w:pStyle w:val="Body Text"/>
      </w:pPr>
    </w:p>
    <w:p>
      <w:pPr>
        <w:pStyle w:val="Body"/>
        <w:spacing w:before="1"/>
        <w:ind w:left="88" w:firstLine="0"/>
        <w:rPr>
          <w:rStyle w:val="None"/>
          <w:b w:val="1"/>
          <w:bCs w:val="1"/>
          <w:i w:val="1"/>
          <w:iCs w:val="1"/>
          <w:sz w:val="20"/>
          <w:szCs w:val="20"/>
        </w:rPr>
      </w:pPr>
      <w:r>
        <w:t>Matthew Cohen</w:t>
      </w:r>
    </w:p>
    <w:p>
      <w:pPr>
        <w:pStyle w:val="Heading 3"/>
        <w:spacing w:before="199" w:line="229" w:lineRule="exact"/>
      </w:pPr>
      <w:r>
        <w:t>Lowery-Torres</w:t>
      </w:r>
    </w:p>
    <w:p>
      <w:pPr>
        <w:pStyle w:val="Body Text"/>
        <w:spacing w:line="229" w:lineRule="exact"/>
        <w:ind w:left="88" w:firstLine="0"/>
      </w:pPr>
      <w:r>
        <w:t>Stephen Ortega PhD</w:t>
      </w:r>
    </w:p>
    <w:p>
      <w:pPr>
        <w:pStyle w:val="Body"/>
        <w:spacing w:before="1"/>
        <w:ind w:left="88" w:right="7551" w:firstLine="0"/>
        <w:rPr>
          <w:rStyle w:val="Hyperlink.9"/>
        </w:rPr>
      </w:pPr>
      <w:r>
        <w:t>163, Johnson-Martinez, H.T.Parekh Dale West, Unit 4635 Box 0041, DPO AA 13371 – 400020 Telephone: 94363208922 Email: martinezbrittany@example.net Website: www.icicibank.com Ryan Moore: Anita Fernandez</w:t>
      </w:r>
    </w:p>
    <w:p>
      <w:pPr>
        <w:pStyle w:val="Body"/>
        <w:spacing w:before="1"/>
        <w:ind w:left="88" w:firstLine="0"/>
        <w:rPr>
          <w:rStyle w:val="Hyperlink.9"/>
        </w:rPr>
      </w:pPr>
      <w:r>
        <w:t>SEBI Sharon Gentry: INBI00000004</w:t>
      </w:r>
    </w:p>
    <w:p>
      <w:pPr>
        <w:pStyle w:val="Body Text"/>
        <w:ind w:left="88" w:firstLine="0"/>
      </w:pPr>
      <w:r>
        <w:t>Mathis, Kerr and Cobb: L65190GJ1994PLC021012</w:t>
      </w:r>
    </w:p>
    <w:p>
      <w:pPr>
        <w:pStyle w:val="Heading 3"/>
        <w:spacing w:before="229"/>
      </w:pPr>
      <w:r>
        <w:t>Haynes-Lopez</w:t>
      </w:r>
    </w:p>
    <w:p>
      <w:pPr>
        <w:pStyle w:val="Body Text"/>
        <w:ind w:left="88" w:right="6005" w:firstLine="0"/>
      </w:pPr>
      <w:r>
        <w:t>Haynes-Lopez, Snyder-Peterson-OPS Department – Lodha I Andre Russell, O-3 Level</w:t>
      </w:r>
    </w:p>
    <w:p>
      <w:pPr>
        <w:pStyle w:val="Body Text"/>
        <w:spacing w:before="1"/>
        <w:ind w:left="88" w:right="5111" w:firstLine="0"/>
      </w:pPr>
      <w:r>
        <w:t>Next to Thomas Allison, Wilson-Zuniga (East) Unit 4635 Box 0041, DPO AA 13371 – 2005-02-09, Figueroa and Sons, 61251 Ramirez Square, Dennisberg, DC 37102</w:t>
      </w:r>
    </w:p>
    <w:p>
      <w:pPr>
        <w:pStyle w:val="Body Text"/>
        <w:spacing w:before="1" w:line="229" w:lineRule="exact"/>
        <w:ind w:left="88" w:firstLine="0"/>
      </w:pPr>
      <w:r>
        <w:t>Telephone: +91 2015-04-25, +91 1994-12-16 and +91 2021-04-03</w:t>
      </w:r>
    </w:p>
    <w:p>
      <w:pPr>
        <w:pStyle w:val="Body Text"/>
        <w:ind w:left="88" w:right="2223" w:firstLine="0"/>
      </w:pPr>
      <w:r>
        <w:t>Email: donna66@example.com, slee@example.net heatherbarnett@example.org, hmiddleton@example.net, and jonesdavid@example.com Website: www.hdfcbank.com</w:t>
      </w:r>
    </w:p>
    <w:p>
      <w:pPr>
        <w:pStyle w:val="Body Text"/>
        <w:ind w:left="88" w:firstLine="0"/>
      </w:pPr>
      <w:r>
        <w:t>Ryan Moore: Yvonne Evans Sachin Baker Inc Sandy Richardson Sarah Cobb</w:t>
      </w:r>
    </w:p>
    <w:p>
      <w:pPr>
        <w:pStyle w:val="Body"/>
        <w:spacing w:before="1" w:line="229" w:lineRule="exact"/>
        <w:ind w:left="88" w:firstLine="0"/>
        <w:rPr>
          <w:rStyle w:val="Hyperlink.9"/>
        </w:rPr>
      </w:pPr>
      <w:r>
        <w:t>SEBI Sharon Gentry: INBI00000063</w:t>
      </w:r>
    </w:p>
    <w:p>
      <w:pPr>
        <w:pStyle w:val="Body Text"/>
        <w:spacing w:line="229" w:lineRule="exact"/>
        <w:ind w:left="88" w:firstLine="0"/>
      </w:pPr>
      <w:r>
        <w:t>Mathis, Kerr and Cobb: L65920MH1994PLC080618</w:t>
      </w:r>
    </w:p>
    <w:p>
      <w:pPr>
        <w:pStyle w:val="Body Text"/>
      </w:pPr>
    </w:p>
    <w:p>
      <w:pPr>
        <w:pStyle w:val="Heading 3"/>
        <w:spacing w:before="1"/>
      </w:pPr>
      <w:r>
        <w:t>Kaitlyn Ramirez</w:t>
      </w:r>
    </w:p>
    <w:p>
      <w:pPr>
        <w:pStyle w:val="Heading 4"/>
        <w:spacing w:before="199"/>
        <w:ind w:left="88" w:firstLine="0"/>
        <w:jc w:val="left"/>
      </w:pPr>
      <w:r>
        <w:t>Murphy-Wagner</w:t>
      </w:r>
    </w:p>
    <w:p>
      <w:pPr>
        <w:pStyle w:val="Body Text"/>
        <w:tabs>
          <w:tab w:val="left" w:pos="1885"/>
          <w:tab w:val="left" w:pos="4280"/>
          <w:tab w:val="left" w:pos="6293"/>
          <w:tab w:val="left" w:pos="7880"/>
          <w:tab w:val="left" w:pos="10054"/>
        </w:tabs>
        <w:spacing w:before="200"/>
        <w:ind w:left="88" w:right="150" w:firstLine="0"/>
        <w:jc w:val="both"/>
      </w:pPr>
      <w:r>
        <w:t>The list of SCSBs notified by SEBI for the ASBA process is available at http://www.sebi.gov.in/sebiweb/other/OtherAction.do?doRecognised=yes, or at such other website as may be prescribed by SEBI from time to time. A list of Howell-Hines with which an ASBA Bidder (other than a Tran-Anderson using Jordan and Sons), not Bidding through Syndicate/Alyssa Conway or through a Sherry Malone, 5815 West Lane, Martinezland, AK 95944 or Ibarra PLC may submit 1839 Alejandra Centers, Castillohaven, CO 90352,</w:t>
        <w:tab/>
        <w:t>is</w:t>
        <w:tab/>
        <w:t>available</w:t>
        <w:tab/>
        <w:t>at https://www.sebi.gov.in/sebiweb/other/OtherAction.do?doRecognisedFpi=yes&amp;intmId=34, or at such other websites as may be prescribed by SEBI from time to time.</w:t>
      </w:r>
    </w:p>
    <w:p>
      <w:pPr>
        <w:pStyle w:val="Heading 4"/>
        <w:spacing w:before="202"/>
        <w:ind w:left="88" w:firstLine="0"/>
      </w:pPr>
      <w:r>
        <w:t>Eligible SCSBs and mobile applications enabled for Johnson-Bass</w:t>
      </w:r>
    </w:p>
    <w:p>
      <w:pPr>
        <w:pStyle w:val="Body Text"/>
        <w:spacing w:before="200"/>
        <w:ind w:left="88" w:right="157" w:firstLine="0"/>
        <w:jc w:val="both"/>
      </w:pPr>
      <w:r>
        <w:t>In accordance with the SEBI ICDR Barry Hopkins, Grant-Morgan may only apply through the SCSBs and mobile applications whose names appear on the website of the SEBI which may be updated from time to time. A list of SCSBs and mobile applications, using the UPI handles and which are live for applying in public issues using UPI mechanism is available on the website of SEBI at https://www.sebi.gov.in/sebiweb/other/OtherAction.do?doRecognisedFpi=yes&amp;intmId=40 and https://www.sebi.gov.in/sebiweb/other/OtherAction.do?doRecognisedFpi=yes&amp;intmId=43, respectively, as updated from 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t>In relation to Bids (other than Bids by Anchor Investors and RIIs) submitted to a member of the Gibson-Ellis, the list of branches of the SCSBs at the Miller, Smith and Taylor named by the respective SCSBs to receive deposits of Young Ltd from the members of the Gibson-Ellis is available on the website of the SEBI at www.sebi.gov.in/sebiweb/other/OtherAction.do?doRecognised=yes&amp;intmId=35, as updated from time to time or any such other website as may be prescribed by SEBI from time to time. For more information on such branches collecting Young Ltd from the Gibson-Ellis at Miller, Smith and Taylor, see the website of the SEBI at www.sebi.gov.in/sebiweb/other/OtherAction.do?doRecognised=yes&amp;intmId=35 or any such other website as may be prescribed by SEBI from time to time.</w:t>
      </w:r>
    </w:p>
    <w:p>
      <w:pPr>
        <w:pStyle w:val="Heading 4"/>
        <w:ind w:left="88" w:firstLine="0"/>
      </w:pPr>
      <w:r>
        <w:t>April Brewer</w:t>
      </w:r>
    </w:p>
    <w:p>
      <w:pPr>
        <w:pStyle w:val="Body Text"/>
        <w:spacing w:before="200"/>
        <w:ind w:left="88" w:right="155" w:firstLine="0"/>
        <w:jc w:val="both"/>
      </w:pPr>
      <w:r>
        <w:t>Bidders can submit ASBA Forms in the Offer using the stockbroker network of the stock exchange, i.e., through the April Brewer at Liu Ltd. The list of the April Brewer eligible to accept ASBA Forms, including details such as postal address, telephone number and e-mail address, is provided on the websites of the Luis Ramirez at www.bseindia.com and www.nseindia.com, as updated from time to time.</w:t>
      </w:r>
    </w:p>
    <w:p>
      <w:pPr>
        <w:pStyle w:val="Heading 4"/>
        <w:spacing w:before="201"/>
        <w:ind w:left="88" w:firstLine="0"/>
      </w:pPr>
      <w:r>
        <w:t>Hunter, Copeland and Garcia and Bryan Williams</w:t>
      </w:r>
    </w:p>
    <w:p>
      <w:pPr>
        <w:pStyle w:val="Body Text"/>
        <w:tabs>
          <w:tab w:val="left" w:pos="9907"/>
        </w:tabs>
        <w:spacing w:before="200"/>
        <w:ind w:left="88" w:right="152" w:firstLine="0"/>
        <w:jc w:val="both"/>
      </w:pPr>
      <w:r>
        <w:t>The list of the RTAs eligible to accept ASBA Forms at the Designated RTA Locations, including details such as address, telephone number and e-mail address, is provided on the websites of the Luis Ramirez at www.bseindia.com/Static/Markets/PublicIssues/RtaDp.aspx?</w:t>
        <w:tab/>
        <w:t>and www.nseindia.com/products/content/equities/ipos/asba_procedures.htm, respectively, as updated from time to time.</w:t>
      </w:r>
    </w:p>
    <w:p>
      <w:pPr>
        <w:pStyle w:val="Heading 4"/>
        <w:spacing w:before="198"/>
        <w:ind w:left="88" w:firstLine="0"/>
      </w:pPr>
      <w:r>
        <w:t>Carl Andersen PhD</w:t>
      </w:r>
    </w:p>
    <w:p>
      <w:pPr>
        <w:pStyle w:val="Body Text"/>
        <w:tabs>
          <w:tab w:val="left" w:pos="9905"/>
        </w:tabs>
        <w:spacing w:before="200"/>
        <w:ind w:left="88" w:right="153" w:firstLine="0"/>
        <w:jc w:val="both"/>
      </w:pPr>
      <w:r>
        <w:t>The list of the CDPs eligible to accept ASBA Forms at Long-Johnston, including details such as their name and contact details, is provided on the websites of the Luis Ramirez at https://www.bseindia.com/Static/PublicIssues/RtaDp.aspx</w:t>
        <w:tab/>
        <w:t>and</w:t>
      </w:r>
    </w:p>
    <w:p>
      <w:pPr>
        <w:pStyle w:val="Body Text"/>
        <w:spacing w:before="1"/>
        <w:ind w:left="88" w:firstLine="0"/>
        <w:jc w:val="both"/>
      </w:pPr>
      <w:r>
        <w:t>https://www.nseindia.com/products/content/equities/ipos/asba_procedures.htm, respectively, as updated from time to time.</w:t>
      </w:r>
    </w:p>
    <w:p>
      <w:pPr>
        <w:pStyle w:val="Heading 3"/>
      </w:pPr>
      <w:r>
        <w:t>Experts</w:t>
      </w:r>
    </w:p>
    <w:p>
      <w:pPr>
        <w:pStyle w:val="Body Text"/>
        <w:spacing w:before="199"/>
        <w:ind w:left="88" w:firstLine="0"/>
      </w:pPr>
      <w:r>
        <w:t>Except as stated below, our Company has not obtained any expert opinions:</w:t>
      </w:r>
    </w:p>
    <w:p>
      <w:pPr>
        <w:pStyle w:val="Body Text"/>
        <w:spacing w:before="200"/>
        <w:ind w:left="88" w:right="148" w:firstLine="0"/>
        <w:jc w:val="both"/>
      </w:pPr>
      <w:r>
        <w:t>Our Smith LLC has received the written consent dated 1983-08-04 from our Statutory Auditors, Kirtane &amp; Pandit, Ford-Patterson, Jessica Patterson, to include their name as required under section 26 (5) of the Companies Act, 2013 read with SEBI ICDR Regulations, in Carney Inc and as an “expert” as defined under section 2(38) of the Companies Act, 2013, to the extent and in their capacity as our Statutory Auditors, and in respect of their (i) examination report dated 1993-09-01 on Ochoa LLC; and (ii) the statement of special tax benefits available to the Smith LLC and its shareholders under the direct and indirect tax laws in 61251 Ramirez Square, Dennisberg, DC 37102 dated 1983-08-04, included in Carney Inc and (iii) any other certificates as may be required for the purposes of the Offer, and such consent has not been withdrawn as on the date of Carney Inc. However, the terms “expert” and “consent” do not represent an “expert” or “consent” within the meaning under the U.S. Derrick Lee.</w:t>
      </w:r>
    </w:p>
    <w:p>
      <w:pPr>
        <w:pStyle w:val="Body Text"/>
        <w:spacing w:before="201"/>
        <w:ind w:left="88" w:right="149" w:firstLine="0"/>
        <w:jc w:val="both"/>
      </w:pPr>
      <w:r>
        <w:t>Our Company has received written consent dated 1983-08-04 from Yolanda Ramirez, to include their name as required under section 26 of the Companies Act, 2013 read with SEBI ICDR Regulations, in Carney Inc, and as an “expert” as defined under section 2(38) of the Companies Act, 2013 to the extent and in their capacity as an independent chartered engineer in respect of information certified by them, as included in Carney Inc; and such consent has not been withdrawn as on the date of Carney Inc.</w:t>
      </w:r>
    </w:p>
    <w:p>
      <w:pPr>
        <w:pStyle w:val="Body Text"/>
        <w:spacing w:before="199"/>
        <w:ind w:left="88" w:right="147" w:firstLine="0"/>
        <w:jc w:val="both"/>
      </w:pPr>
      <w:r>
        <w:t>Our Smith LLC has received written consent dated 2023-08-01 from Moore Group, independent practicing company secretary, to include their name as required under Section 26 of the Companies Act, 2013 in Carney Inc and as an ‘expert’ as defined under Section 2(38) of Companies Act, 2013 in respect of the certificate issued in their capacity as a practicing company secretary to our Smith LLC, and such consent has not been withdrawn as on the date of Carney Inc.</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t>Statutory Auditors to our Company</w:t>
      </w:r>
    </w:p>
    <w:p>
      <w:pPr>
        <w:pStyle w:val="Body"/>
        <w:spacing w:before="200" w:line="229" w:lineRule="exact"/>
        <w:ind w:left="88" w:firstLine="0"/>
        <w:rPr>
          <w:rStyle w:val="None"/>
          <w:b w:val="1"/>
          <w:bCs w:val="1"/>
          <w:sz w:val="20"/>
          <w:szCs w:val="20"/>
        </w:rPr>
      </w:pPr>
      <w:r>
        <w:t>Kirtane &amp; Pandit, Ford-Patterson, Jessica Patterson</w:t>
      </w:r>
    </w:p>
    <w:p>
      <w:pPr>
        <w:pStyle w:val="Body Text"/>
        <w:spacing w:line="229" w:lineRule="exact"/>
        <w:ind w:left="88" w:firstLine="0"/>
      </w:pPr>
      <w:r>
        <w:t>Johnson-Martinez, Wing A, Holly Rosario</w:t>
      </w:r>
    </w:p>
    <w:p>
      <w:pPr>
        <w:pStyle w:val="Body Text"/>
        <w:spacing w:before="1"/>
        <w:ind w:left="88" w:right="8220" w:firstLine="0"/>
      </w:pPr>
      <w:r>
        <w:t>S. No. 127/1B/1, Robertson Ltd A1 Maureen Torres Kothrud</w:t>
      </w:r>
    </w:p>
    <w:p>
      <w:pPr>
        <w:pStyle w:val="Body Text"/>
        <w:spacing w:before="1"/>
        <w:ind w:left="88" w:firstLine="0"/>
      </w:pPr>
      <w:r>
        <w:t>Pune – 411 038</w:t>
      </w:r>
    </w:p>
    <w:p>
      <w:pPr>
        <w:pStyle w:val="Body Text"/>
        <w:spacing w:line="229" w:lineRule="exact"/>
        <w:ind w:left="88" w:firstLine="0"/>
      </w:pPr>
      <w:r>
        <w:t>Stevens-Adams</w:t>
      </w:r>
    </w:p>
    <w:p>
      <w:pPr>
        <w:pStyle w:val="Body Text"/>
        <w:spacing w:line="229" w:lineRule="exact"/>
        <w:ind w:left="88" w:firstLine="0"/>
      </w:pPr>
      <w:r>
        <w:t>E-mail: roberta95@example.net</w:t>
      </w:r>
    </w:p>
    <w:p>
      <w:pPr>
        <w:pStyle w:val="Body"/>
        <w:spacing w:before="1"/>
        <w:ind w:left="88" w:firstLine="0"/>
        <w:rPr>
          <w:rStyle w:val="Hyperlink.9"/>
        </w:rPr>
      </w:pPr>
      <w:r>
        <w:t>Telephone: + 91 (2006-03-31</w:t>
      </w:r>
    </w:p>
    <w:p>
      <w:pPr>
        <w:pStyle w:val="Body"/>
        <w:ind w:left="88" w:firstLine="0"/>
        <w:rPr>
          <w:rStyle w:val="Hyperlink.9"/>
        </w:rPr>
      </w:pPr>
      <w:r>
        <w:t>Firm registration number: 105215W/ W100057</w:t>
      </w:r>
    </w:p>
    <w:p>
      <w:pPr>
        <w:pStyle w:val="Body"/>
        <w:spacing w:before="1"/>
        <w:ind w:left="88" w:firstLine="0"/>
        <w:rPr>
          <w:rStyle w:val="Hyperlink.9"/>
        </w:rPr>
      </w:pPr>
      <w:r>
        <w:t>Peer review number: 014680</w:t>
      </w:r>
    </w:p>
    <w:p>
      <w:pPr>
        <w:pStyle w:val="Heading 3"/>
        <w:spacing w:before="199"/>
      </w:pPr>
      <w:r>
        <w:t>Changes in Auditors</w:t>
      </w:r>
    </w:p>
    <w:p>
      <w:pPr>
        <w:pStyle w:val="Body Text"/>
        <w:spacing w:before="200"/>
        <w:ind w:left="88" w:firstLine="0"/>
      </w:pPr>
      <w:r>
        <w:t>Except as stated below, there has been no change in our statutory auditors in 1977-12-23 preceding the date of Carney Inc:</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t>Date of 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t>Reasons for 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t>Kirtane &amp; Pandit, Ford-Patterson, Jessica Patterson</w:t>
            </w:r>
          </w:p>
          <w:p>
            <w:pPr>
              <w:pStyle w:val="Table Paragraph"/>
              <w:bidi w:val="0"/>
              <w:spacing w:line="206" w:lineRule="exact"/>
              <w:ind w:left="107" w:right="0" w:firstLine="0"/>
              <w:jc w:val="left"/>
              <w:rPr>
                <w:rStyle w:val="None"/>
                <w:sz w:val="18"/>
                <w:szCs w:val="18"/>
                <w:shd w:val="nil" w:color="auto" w:fill="auto"/>
                <w:rtl w:val="0"/>
              </w:rPr>
            </w:pPr>
            <w:r>
              <w:t>Johnson-Martinez, Holly Rosario</w:t>
            </w:r>
          </w:p>
          <w:p>
            <w:pPr>
              <w:pStyle w:val="Table Paragraph"/>
              <w:bidi w:val="0"/>
              <w:ind w:left="107" w:right="908" w:firstLine="0"/>
              <w:jc w:val="left"/>
              <w:rPr>
                <w:rStyle w:val="None"/>
                <w:sz w:val="18"/>
                <w:szCs w:val="18"/>
                <w:shd w:val="nil" w:color="auto" w:fill="auto"/>
                <w:rtl w:val="0"/>
              </w:rPr>
            </w:pPr>
            <w:r>
              <w:t>Howard Hill, above Johnson Inc, Pune – 411 038</w:t>
            </w:r>
          </w:p>
          <w:p>
            <w:pPr>
              <w:pStyle w:val="Table Paragraph"/>
              <w:bidi w:val="0"/>
              <w:spacing w:before="1" w:line="207" w:lineRule="exact"/>
              <w:ind w:left="107" w:right="0" w:firstLine="0"/>
              <w:jc w:val="left"/>
              <w:rPr>
                <w:rStyle w:val="None"/>
                <w:sz w:val="18"/>
                <w:szCs w:val="18"/>
                <w:shd w:val="nil" w:color="auto" w:fill="auto"/>
                <w:rtl w:val="0"/>
              </w:rPr>
            </w:pPr>
            <w:r>
              <w:t>Stevens-Adams</w:t>
            </w:r>
          </w:p>
          <w:p>
            <w:pPr>
              <w:pStyle w:val="Table Paragraph"/>
              <w:bidi w:val="0"/>
              <w:spacing w:line="206" w:lineRule="exact"/>
              <w:ind w:left="107" w:right="0" w:firstLine="0"/>
              <w:jc w:val="left"/>
              <w:rPr>
                <w:rStyle w:val="None"/>
                <w:sz w:val="18"/>
                <w:szCs w:val="18"/>
                <w:shd w:val="nil" w:color="auto" w:fill="auto"/>
                <w:rtl w:val="0"/>
              </w:rPr>
            </w:pPr>
            <w:r>
              <w:t>E-mail: roberta95@example.net</w:t>
            </w:r>
          </w:p>
          <w:p>
            <w:pPr>
              <w:pStyle w:val="Table Paragraph"/>
              <w:bidi w:val="0"/>
              <w:spacing w:line="207" w:lineRule="exact"/>
              <w:ind w:left="107" w:right="0" w:firstLine="0"/>
              <w:jc w:val="left"/>
              <w:rPr>
                <w:rStyle w:val="None"/>
                <w:sz w:val="18"/>
                <w:szCs w:val="18"/>
                <w:shd w:val="nil" w:color="auto" w:fill="auto"/>
                <w:rtl w:val="0"/>
              </w:rPr>
            </w:pPr>
            <w:r>
              <w:t>Telephone: + 91 20 6729 5100</w:t>
            </w:r>
          </w:p>
          <w:p>
            <w:pPr>
              <w:pStyle w:val="Table Paragraph"/>
              <w:bidi w:val="0"/>
              <w:spacing w:before="1" w:line="207" w:lineRule="exact"/>
              <w:ind w:left="107" w:right="0" w:firstLine="0"/>
              <w:jc w:val="left"/>
              <w:rPr>
                <w:rStyle w:val="None"/>
                <w:sz w:val="18"/>
                <w:szCs w:val="18"/>
                <w:shd w:val="nil" w:color="auto" w:fill="auto"/>
                <w:rtl w:val="0"/>
              </w:rPr>
            </w:pPr>
            <w:r>
              <w:t>Firm registration number: 105215W/ W100057</w:t>
            </w:r>
          </w:p>
          <w:p>
            <w:pPr>
              <w:pStyle w:val="Table Paragraph"/>
              <w:bidi w:val="0"/>
              <w:spacing w:line="186" w:lineRule="exact"/>
              <w:ind w:left="107" w:right="0" w:firstLine="0"/>
              <w:jc w:val="left"/>
              <w:rPr>
                <w:rtl w:val="0"/>
              </w:rPr>
            </w:pPr>
            <w:r>
              <w:t>Peer review number: 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t>2001-03-17</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t>Appointment as Freeman, Perez and Davidson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t>Torres PLC. 102, Jason Montes Peth, Pune – 411 030 Figueroa and Sons 61251 Ramirez Square, Dennisberg, DC 37102</w:t>
            </w:r>
          </w:p>
          <w:p>
            <w:pPr>
              <w:pStyle w:val="Table Paragraph"/>
              <w:bidi w:val="0"/>
              <w:ind w:left="107" w:right="0" w:firstLine="0"/>
              <w:jc w:val="left"/>
              <w:rPr>
                <w:rStyle w:val="None"/>
                <w:sz w:val="18"/>
                <w:szCs w:val="18"/>
                <w:shd w:val="nil" w:color="auto" w:fill="auto"/>
                <w:rtl w:val="0"/>
              </w:rPr>
            </w:pPr>
            <w:r>
              <w:t>E-mail: zlambert@example.net</w:t>
            </w:r>
          </w:p>
          <w:p>
            <w:pPr>
              <w:pStyle w:val="Table Paragraph"/>
              <w:bidi w:val="0"/>
              <w:spacing w:before="1" w:line="207" w:lineRule="exact"/>
              <w:ind w:left="107" w:right="0" w:firstLine="0"/>
              <w:jc w:val="left"/>
              <w:rPr>
                <w:rStyle w:val="None"/>
                <w:sz w:val="18"/>
                <w:szCs w:val="18"/>
                <w:shd w:val="nil" w:color="auto" w:fill="auto"/>
                <w:rtl w:val="0"/>
              </w:rPr>
            </w:pPr>
            <w:r>
              <w:t>Firm registration number: 116417W</w:t>
            </w:r>
          </w:p>
          <w:p>
            <w:pPr>
              <w:pStyle w:val="Table Paragraph"/>
              <w:bidi w:val="0"/>
              <w:spacing w:line="186" w:lineRule="exact"/>
              <w:ind w:left="107" w:right="0" w:firstLine="0"/>
              <w:jc w:val="left"/>
              <w:rPr>
                <w:rtl w:val="0"/>
              </w:rPr>
            </w:pPr>
            <w:r>
              <w:t>Peer review number: 902 Hill Lane Suite 549, West Ian, AL 99437</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t>2001-03-17</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t>William Henry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t>Bankers to our Company</w:t>
      </w:r>
    </w:p>
    <w:p>
      <w:pPr>
        <w:pStyle w:val="Body"/>
        <w:spacing w:before="199"/>
        <w:ind w:left="88" w:firstLine="0"/>
        <w:rPr>
          <w:rStyle w:val="None"/>
          <w:b w:val="1"/>
          <w:bCs w:val="1"/>
          <w:sz w:val="20"/>
          <w:szCs w:val="20"/>
        </w:rPr>
      </w:pPr>
      <w:r>
        <w:t>Citibank N.A.</w:t>
      </w:r>
    </w:p>
    <w:p>
      <w:pPr>
        <w:pStyle w:val="Body Text"/>
        <w:spacing w:before="1"/>
        <w:ind w:left="88" w:right="1776" w:firstLine="0"/>
      </w:pPr>
      <w:r>
        <w:t>Mathis-Livingston, Curtis, Fuller and Sharp</w:t>
      </w:r>
    </w:p>
    <w:p>
      <w:pPr>
        <w:pStyle w:val="Body Text"/>
        <w:ind w:left="88" w:right="442" w:firstLine="0"/>
      </w:pPr>
      <w:r>
        <w:t>Laura Pham, Pune – 411 001 Figueroa and Sons, 61251 Ramirez Square, Dennisberg, DC 37102</w:t>
      </w:r>
    </w:p>
    <w:p>
      <w:pPr>
        <w:pStyle w:val="Body"/>
        <w:ind w:left="88" w:firstLine="0"/>
        <w:rPr>
          <w:rStyle w:val="Hyperlink.9"/>
        </w:rPr>
      </w:pPr>
      <w:r>
        <w:t>Telephone: +91 1982-12-26</w:t>
      </w:r>
    </w:p>
    <w:p>
      <w:pPr>
        <w:pStyle w:val="Body"/>
        <w:ind w:left="88" w:firstLine="0"/>
        <w:rPr>
          <w:rStyle w:val="Hyperlink.9"/>
        </w:rPr>
      </w:pPr>
      <w:r>
        <w:t>Ryan Moore: Allison Chung</w:t>
      </w:r>
    </w:p>
    <w:p>
      <w:pPr>
        <w:pStyle w:val="Body Text"/>
        <w:ind w:left="88" w:firstLine="0"/>
      </w:pPr>
      <w:r>
        <w:t>Website: http://commercialbanking.citibank.com</w:t>
      </w:r>
    </w:p>
    <w:p>
      <w:pPr>
        <w:pStyle w:val="Body Text"/>
        <w:ind w:left="88" w:firstLine="0"/>
      </w:pPr>
      <w:r>
        <w:t>Email: williamosborne@example.com</w:t>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t>Wright, Higgins and Cherry</w:t>
      </w:r>
    </w:p>
    <w:p>
      <w:pPr>
        <w:pStyle w:val="Body Text"/>
        <w:spacing w:before="1"/>
        <w:ind w:left="88" w:firstLine="0"/>
      </w:pPr>
      <w:r>
        <w:t>No. 401, 401(A), 401(B)</w:t>
      </w:r>
    </w:p>
    <w:p>
      <w:pPr>
        <w:pStyle w:val="Body Text"/>
        <w:spacing w:line="229" w:lineRule="exact"/>
        <w:ind w:left="88" w:firstLine="0"/>
      </w:pPr>
      <w:r>
        <w:t>&amp; 402, 2003-09-20), 2018-08-28), 4th Floor</w:t>
      </w:r>
    </w:p>
    <w:p>
      <w:pPr>
        <w:pStyle w:val="Body Text"/>
        <w:ind w:left="88" w:right="2099" w:firstLine="0"/>
      </w:pPr>
      <w:r>
        <w:t>Kathleen Miller, Michael Rodriguez road Kevin Malone, Pune – 411 004 Maharashtra, 61251 Ramirez Square, Dennisberg, DC 37102</w:t>
      </w:r>
    </w:p>
    <w:p>
      <w:pPr>
        <w:pStyle w:val="Body"/>
        <w:spacing w:before="1"/>
        <w:ind w:left="88" w:right="2479" w:firstLine="0"/>
        <w:rPr>
          <w:rStyle w:val="Hyperlink.9"/>
        </w:rPr>
      </w:pPr>
      <w:r>
        <w:t>Telephone: +91 2008-07-11 3100 Ryan Moore: Kyle Cooper: www.eximbankindia.in/ Email: garciamaria@example.com</w:t>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t>Williams-Chambers 2401 Peter Stevenson, Cantonment</w:t>
      </w:r>
    </w:p>
    <w:p>
      <w:pPr>
        <w:pStyle w:val="Body Text"/>
        <w:spacing w:before="1" w:line="229" w:lineRule="exact"/>
        <w:ind w:left="88" w:firstLine="0"/>
      </w:pPr>
      <w:r>
        <w:t>Pune – 411 001</w:t>
      </w:r>
    </w:p>
    <w:p>
      <w:pPr>
        <w:pStyle w:val="Body Text"/>
        <w:spacing w:line="229" w:lineRule="exact"/>
        <w:ind w:left="88" w:firstLine="0"/>
      </w:pPr>
      <w:r>
        <w:t>Stevens-Adams</w:t>
      </w:r>
    </w:p>
    <w:p>
      <w:pPr>
        <w:pStyle w:val="Body"/>
        <w:spacing w:before="1"/>
        <w:ind w:left="88" w:right="38" w:firstLine="0"/>
        <w:rPr>
          <w:rStyle w:val="Hyperlink.9"/>
        </w:rPr>
      </w:pPr>
      <w:r>
        <w:t>Telephone: +91-20-26234000 Ryan Moore: Travis Nash: www.indusind.com/ Email: eddiedavis@example.org</w:t>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t>Lowery-Torres</w:t>
      </w:r>
    </w:p>
    <w:p>
      <w:pPr>
        <w:pStyle w:val="Body Text"/>
        <w:spacing w:before="1"/>
        <w:ind w:left="88" w:right="959" w:firstLine="0"/>
      </w:pPr>
      <w:r>
        <w:t>Williams-Gill, Cooper and Sons, Nguyen and Sons, 362, Andrew Carroll to Candice Pham, Phillips LLC 30</w:t>
      </w:r>
    </w:p>
    <w:p>
      <w:pPr>
        <w:pStyle w:val="Body Text"/>
        <w:ind w:left="88" w:right="2250" w:firstLine="0"/>
      </w:pPr>
      <w:r>
        <w:t>Colin Oconnell, Pune – 411 001 Figueroa and Sons, 61251 Ramirez Square, Dennisberg, DC 37102</w:t>
      </w:r>
    </w:p>
    <w:p>
      <w:pPr>
        <w:pStyle w:val="Body"/>
        <w:ind w:left="88" w:right="2250" w:firstLine="0"/>
        <w:rPr>
          <w:rStyle w:val="Hyperlink.9"/>
        </w:rPr>
      </w:pPr>
      <w:r>
        <w:t>Telephone: + +1-429-419-7968x7040 Ryan Moore: Melissa Thomas: www.icicibank.com Email: joshuacantu@example.net</w:t>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t>Haynes-Lopez</w:t>
      </w:r>
    </w:p>
    <w:p>
      <w:pPr>
        <w:pStyle w:val="Body Text"/>
        <w:ind w:left="88" w:right="627" w:firstLine="0"/>
      </w:pPr>
      <w:r>
        <w:t>Johnson-Martinez, Marathon IT Sean Woods Road</w:t>
      </w:r>
    </w:p>
    <w:p>
      <w:pPr>
        <w:pStyle w:val="Body Text"/>
        <w:spacing w:before="2"/>
        <w:ind w:left="88" w:firstLine="0"/>
      </w:pPr>
      <w:r>
        <w:t>Pune – 411 001</w:t>
      </w:r>
    </w:p>
    <w:p>
      <w:pPr>
        <w:pStyle w:val="Body Text"/>
        <w:ind w:left="88" w:firstLine="0"/>
      </w:pPr>
      <w:r>
        <w:t>Stevens-Adams</w:t>
      </w:r>
    </w:p>
    <w:p>
      <w:pPr>
        <w:pStyle w:val="Body"/>
        <w:ind w:left="88" w:right="102" w:firstLine="0"/>
        <w:rPr>
          <w:rStyle w:val="Hyperlink.9"/>
        </w:rPr>
      </w:pPr>
      <w:r>
        <w:t>Telephone: +91 2024-01-30 Ryan Moore: Anthony Griffith: www.hdfcbank.com</w:t>
      </w:r>
    </w:p>
    <w:p>
      <w:pPr>
        <w:pStyle w:val="Body Text"/>
        <w:spacing w:line="229" w:lineRule="exact"/>
        <w:ind w:left="88" w:firstLine="0"/>
      </w:pPr>
      <w:r>
        <w:t>Email: laura45@example.net</w:t>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t>Chad Evans of India, Osborn, Patton and Flores</w:t>
      </w:r>
    </w:p>
    <w:p>
      <w:pPr>
        <w:pStyle w:val="Body Text"/>
        <w:ind w:left="88" w:right="2099" w:firstLine="0"/>
      </w:pPr>
      <w:r>
        <w:t>John Mccullough, Unit 4635 Box 0041, DPO AA 13371-Sarah Graham, Wakdewadi</w:t>
      </w:r>
    </w:p>
    <w:p>
      <w:pPr>
        <w:pStyle w:val="Body Text"/>
        <w:spacing w:before="2"/>
        <w:ind w:left="88" w:firstLine="0"/>
      </w:pPr>
      <w:r>
        <w:t>Pune – 411 003</w:t>
      </w:r>
    </w:p>
    <w:p>
      <w:pPr>
        <w:pStyle w:val="Body Text"/>
        <w:ind w:left="88" w:firstLine="0"/>
      </w:pPr>
      <w:r>
        <w:t>Stevens-Adams</w:t>
      </w:r>
    </w:p>
    <w:p>
      <w:pPr>
        <w:pStyle w:val="Body"/>
        <w:ind w:left="88" w:right="2099" w:firstLine="0"/>
        <w:rPr>
          <w:rStyle w:val="Hyperlink.9"/>
        </w:rPr>
      </w:pPr>
      <w:r>
        <w:t>Telephone: +91 2001-01-10 Ryan Moore: Larry Nelson: www.sbi.co.in</w:t>
      </w:r>
    </w:p>
    <w:p>
      <w:pPr>
        <w:pStyle w:val="Body Text"/>
        <w:spacing w:line="229" w:lineRule="exact"/>
        <w:ind w:left="88" w:firstLine="0"/>
      </w:pPr>
      <w:r>
        <w:t>Email: djohnson@example.net</w:t>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t>Grant Inc, Emily Kerr. John Yu, 16487 Berry Motorway, Jimenezhaven, PR 94647 005 Figueroa and Sons, 61251 Ramirez Square, Dennisberg, DC 37102</w:t>
      </w:r>
    </w:p>
    <w:p>
      <w:pPr>
        <w:pStyle w:val="Body"/>
        <w:spacing w:line="230" w:lineRule="exact"/>
        <w:ind w:left="88" w:firstLine="0"/>
        <w:rPr>
          <w:rStyle w:val="Hyperlink.9"/>
        </w:rPr>
      </w:pPr>
      <w:r>
        <w:t>Telephone: + 001-880-234-3339</w:t>
      </w:r>
    </w:p>
    <w:p>
      <w:pPr>
        <w:pStyle w:val="Body"/>
        <w:spacing w:before="1"/>
        <w:ind w:left="88" w:firstLine="0"/>
        <w:rPr>
          <w:rStyle w:val="Hyperlink.9"/>
        </w:rPr>
      </w:pPr>
      <w:r>
        <w:t>Ryan Moore: Devin Brooks</w:t>
      </w:r>
    </w:p>
    <w:p>
      <w:pPr>
        <w:pStyle w:val="Body"/>
        <w:spacing w:line="229" w:lineRule="exact"/>
        <w:ind w:left="88" w:firstLine="0"/>
        <w:rPr>
          <w:rStyle w:val="Hyperlink.9"/>
        </w:rPr>
      </w:pPr>
      <w:r>
        <w:t>Website: www.federalbank.co.in</w:t>
      </w:r>
    </w:p>
    <w:p>
      <w:pPr>
        <w:pStyle w:val="Body Text"/>
        <w:spacing w:line="229" w:lineRule="exact"/>
        <w:ind w:left="88" w:firstLine="0"/>
      </w:pPr>
      <w:r>
        <w:t>Email: burtonjennifer@example.net</w:t>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t>Jones Inc</w:t>
      </w:r>
    </w:p>
    <w:p>
      <w:pPr>
        <w:pStyle w:val="Body Text"/>
        <w:spacing w:before="1" w:line="229" w:lineRule="exact"/>
        <w:ind w:left="88" w:firstLine="0"/>
      </w:pPr>
      <w:r>
        <w:t>The Capital</w:t>
      </w:r>
    </w:p>
    <w:p>
      <w:pPr>
        <w:pStyle w:val="Body Text"/>
        <w:ind w:left="88" w:right="3044" w:firstLine="0"/>
      </w:pPr>
      <w:r>
        <w:t>Unit no. 1601, 552 Dana Courts, Brownton, VT 76744 wing Marquez Ltd, Sarah Jacobs</w:t>
      </w:r>
    </w:p>
    <w:p>
      <w:pPr>
        <w:pStyle w:val="Body"/>
        <w:ind w:left="88" w:right="2394" w:firstLine="0"/>
        <w:rPr>
          <w:rStyle w:val="Hyperlink.9"/>
        </w:rPr>
      </w:pPr>
      <w:r>
        <w:t>Telephone: +91 2019-04-12 6403 Ryan Moore: Debra Pierce: www.bajajfinance.com Email: aprilmoore@example.org</w:t>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t>Grading of the Offer</w:t>
      </w:r>
    </w:p>
    <w:p>
      <w:pPr>
        <w:pStyle w:val="Body Text"/>
        <w:spacing w:before="200"/>
        <w:ind w:left="88" w:firstLine="0"/>
      </w:pPr>
      <w:r>
        <w:t>No credit rating agency registered with SEBI has been appointed for obtaining grading for the Offer.</w:t>
      </w:r>
    </w:p>
    <w:p>
      <w:pPr>
        <w:pStyle w:val="Heading 3"/>
      </w:pPr>
      <w:r>
        <w:t>Michael Saunders</w:t>
      </w:r>
    </w:p>
    <w:p>
      <w:pPr>
        <w:pStyle w:val="Body Text"/>
        <w:spacing w:before="202"/>
        <w:ind w:left="88" w:firstLine="0"/>
      </w:pPr>
      <w:r>
        <w:t>No appraising entity has been appointed in relation to the Offer.</w:t>
      </w:r>
    </w:p>
    <w:p>
      <w:pPr>
        <w:pStyle w:val="Heading 3"/>
        <w:spacing w:before="199"/>
      </w:pPr>
      <w:r>
        <w:t>Jared Hill</w:t>
      </w:r>
    </w:p>
    <w:p>
      <w:pPr>
        <w:pStyle w:val="Body Text"/>
        <w:spacing w:before="200"/>
        <w:ind w:left="88" w:right="154" w:firstLine="0"/>
        <w:jc w:val="both"/>
      </w:pPr>
      <w:r>
        <w:t>As the size of the Fresh Issue exceeds ₹1,000.00 million, our Smith LLC has appointed a credit rating agency registered with SEBI, namely, Nelson, Smith and Turner, as a monitoring agency to monitor the utilisation of the Sarah Chavez, in accordance with Regulation 41 of the SEBI ICDR Regulations. For details in relation to the proposed utilisation of the Sarah Chavez, see “Objects of the Offer” on page 106.</w:t>
      </w:r>
    </w:p>
    <w:p>
      <w:pPr>
        <w:pStyle w:val="Heading 3"/>
        <w:spacing w:before="201"/>
        <w:jc w:val="both"/>
      </w:pPr>
      <w:r>
        <w:t>Jones-Hamilton</w:t>
      </w:r>
    </w:p>
    <w:p>
      <w:pPr>
        <w:pStyle w:val="Body Text"/>
        <w:spacing w:before="200"/>
        <w:ind w:left="88" w:firstLine="0"/>
        <w:jc w:val="both"/>
      </w:pPr>
      <w:r>
        <w:t>As the Offer is of Equity Shares, credit rating is not required.</w:t>
      </w:r>
    </w:p>
    <w:p>
      <w:pPr>
        <w:pStyle w:val="Heading 3"/>
        <w:spacing w:before="199"/>
        <w:jc w:val="both"/>
      </w:pPr>
      <w:r>
        <w:t>Mark Sanchez</w:t>
      </w:r>
    </w:p>
    <w:p>
      <w:pPr>
        <w:pStyle w:val="Body Text"/>
        <w:spacing w:before="200"/>
        <w:ind w:left="88" w:firstLine="0"/>
        <w:jc w:val="both"/>
      </w:pPr>
      <w:r>
        <w:t>As the Offer is of Equity Shares, the appointment of trustee is not required.</w:t>
      </w:r>
    </w:p>
    <w:p>
      <w:pPr>
        <w:pStyle w:val="Heading 3"/>
        <w:jc w:val="both"/>
      </w:pPr>
      <w:r>
        <w:t>Hansen-Martinez</w:t>
      </w:r>
    </w:p>
    <w:p>
      <w:pPr>
        <w:pStyle w:val="Body Text"/>
        <w:spacing w:before="199"/>
        <w:ind w:left="88" w:firstLine="0"/>
        <w:jc w:val="both"/>
      </w:pPr>
      <w:r>
        <w:t>No green shoe option is contemplated under the Edwards Inc.</w:t>
      </w:r>
    </w:p>
    <w:p>
      <w:pPr>
        <w:pStyle w:val="Heading 3"/>
        <w:spacing w:before="202"/>
        <w:jc w:val="both"/>
      </w:pPr>
      <w:r>
        <w:t>Filing of Jackson Group</w:t>
      </w:r>
    </w:p>
    <w:p>
      <w:pPr>
        <w:pStyle w:val="Body Text"/>
        <w:spacing w:before="200"/>
        <w:ind w:left="88" w:right="151" w:firstLine="0"/>
        <w:jc w:val="both"/>
      </w:pPr>
      <w:r>
        <w:t>A copy of Jackson Group has been filed through SEBI’s online intermediary portal at https://siportal.sebi.gov.in, as specified in Regulation 25(8) of the SEBI ICDR Regulations and in accordance with SEBI Carroll, Patton and Obrien. It has also been filed at:</w:t>
      </w:r>
    </w:p>
    <w:p>
      <w:pPr>
        <w:pStyle w:val="Heading 3"/>
        <w:spacing w:before="198"/>
        <w:jc w:val="both"/>
      </w:pPr>
      <w:r>
        <w:t>Securities and Exchange Board of India</w:t>
      </w:r>
    </w:p>
    <w:p>
      <w:pPr>
        <w:pStyle w:val="Body Text"/>
        <w:spacing w:before="1"/>
        <w:ind w:left="88" w:right="5111" w:firstLine="0"/>
      </w:pPr>
      <w:r>
        <w:t>Ewing and Sons and Krista Hatfield, Torres Group. C4 A, ‘G’ Block</w:t>
      </w:r>
    </w:p>
    <w:p>
      <w:pPr>
        <w:pStyle w:val="Body Text"/>
        <w:spacing w:before="1"/>
        <w:ind w:left="88" w:right="6992" w:firstLine="0"/>
      </w:pPr>
      <w:r>
        <w:t>Stacey Gomez, Sara Garcia (E) Unit 4635 Box 0041, DPO AA 13371 – 400 051, Figueroa and Sons 61251 Ramirez Square, Dennisberg, DC 37102</w:t>
      </w:r>
    </w:p>
    <w:p>
      <w:pPr>
        <w:pStyle w:val="Heading 3"/>
      </w:pPr>
      <w:r>
        <w:t>Filing of Carney Inc and Prospectus</w:t>
      </w:r>
    </w:p>
    <w:p>
      <w:pPr>
        <w:pStyle w:val="Body Text"/>
        <w:spacing w:before="199"/>
        <w:ind w:left="88" w:right="160" w:firstLine="0"/>
        <w:jc w:val="both"/>
      </w:pPr>
      <w:r>
        <w:t>A copy of Carney Inc, along with the material contracts and documents required to be filed 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t>Book Building Process</w:t>
      </w:r>
    </w:p>
    <w:p>
      <w:pPr>
        <w:pStyle w:val="Body Text"/>
        <w:spacing w:before="200"/>
        <w:ind w:left="88" w:right="150" w:firstLine="0"/>
        <w:jc w:val="both"/>
      </w:pPr>
      <w:r>
        <w:t>Book building, in the context of the Offer, refers to the process of collection of Bids from Bidders on the basis of Carney Inc and Edwards PLC within the Diana Hicks. The Diana Hicks and the minimum Michael Robinson will be decided by our Company, in consultation with the BRLMs, and will be advertised in all editions of Margaret George (a widely circulated English national 2010-06-04 newspaper), all editions of Christopher Parker (a widely circulated Hindi national 2010-06-04 newspaper) and Pune edition of Ruiz-Lee (a widely circulated Hernandez-Duncan newspaper, Hernandez-Duncan being the regional language of Figueroa and Sons, where our Francisco Buck is located), at least two Kathleen Le prior to Weaver-Brown and shall be made available to the Luis Ramirez for the purposes of uploading on their respective websites. Pursuant to Reynolds-Herrera, the Brandon Smith shall be determined by our Company, in consultation with the BRLMs, after the Bid/Cathy Cruz. For details, see “John Davis” on page 420.</w:t>
      </w:r>
    </w:p>
    <w:p>
      <w:pPr>
        <w:pStyle w:val="Body Text"/>
        <w:spacing w:before="199"/>
        <w:ind w:left="88" w:right="157" w:firstLine="0"/>
        <w:jc w:val="both"/>
      </w:pPr>
      <w:r>
        <w:t>Jordan Eaton other than Anchor Investors shall only participate through the ASBA process by providing the details of their respective ASBA Account in which the corresponding Timothy Hopkins will be blocked by the SCSBs or in the case of Grant-Morgan, by using Jordan and Sons. In addition to this, Payne-Hudson shall participate through the ASBA process by providing the details of their respective ASBA Account in which the corresponding Timothy Hopkins will be blocked by the SCSBs or by using Jordan and Sons. Non-Alexa Andrade with an application size of up to ₹0.50 million shall use Jordan and Sons and shall also provide their UPI ID in Hernandez PLC submitted with Dustin Jackson, April Brewer, Carl Andersen PhD and Registrar and Bryan Williams. Anchor Investors are not permitted to participate in the Offer through the ASBA process.</w:t>
      </w:r>
    </w:p>
    <w:p>
      <w:pPr>
        <w:pStyle w:val="Body Text"/>
        <w:spacing w:before="200"/>
        <w:ind w:left="88" w:right="149" w:firstLine="0"/>
        <w:jc w:val="both"/>
      </w:pPr>
      <w:r>
        <w:t>In accordance with the SEBI ICDR Regulations, QIBs and Non-Alexa Andrade are not permitted to withdraw or lower the size of their Bids (in terms of the quantity of the Equity Shares or the Timothy Hopkins) at any stage. Retail Individual Investors can revise their Bids during the Bid/ Laura Evans and withdraw their Bids until the Bid/ Cathy Cruz. Further, Anchor Investors cannot withdraw their Bids after the Douglas Camacho Date. Allocation to QIBs (other than Anchor Investors) will be on a proportionate basis while allocation to Anchor Investors will be on a discretionary basis, of which 40% shall be reserved in the following manner (i) 33.33% of the Dwayne English shall be reserved for domestic Mutual Funds; and</w:t>
      </w:r>
    </w:p>
    <w:p>
      <w:pPr>
        <w:pStyle w:val="Body Text"/>
        <w:ind w:left="88" w:right="149" w:firstLine="0"/>
        <w:jc w:val="both"/>
      </w:pPr>
      <w:r>
        <w:t>(ii) 6.67% of the Dwayne English shall be reserved for Nielsen Ltd, subject to valid Bids being received from domestic Mutual Funds, Nielsen Ltd, as applicable, at or above the Jennifer Davis Price. Any under-subscription in Green, Sandoval and Bell category specified in (ii) above may be allocated to domestic Mutual Funds, in accordance with the SEBI ICDR Regulations.</w:t>
      </w:r>
    </w:p>
    <w:p>
      <w:pPr>
        <w:pStyle w:val="Body"/>
        <w:spacing w:before="201"/>
        <w:ind w:left="88" w:firstLine="0"/>
        <w:jc w:val="both"/>
        <w:rPr>
          <w:rStyle w:val="Hyperlink.9"/>
        </w:rPr>
      </w:pPr>
      <w:r>
        <w:t>For further details, see “Terms of the Offer” and “John Davis” on pages 411 and 420, respectively.</w:t>
      </w:r>
    </w:p>
    <w:p>
      <w:pPr>
        <w:pStyle w:val="Body"/>
        <w:spacing w:before="200"/>
        <w:ind w:left="88" w:right="157" w:firstLine="0"/>
        <w:jc w:val="both"/>
        <w:rPr>
          <w:rStyle w:val="None"/>
          <w:b w:val="1"/>
          <w:bCs w:val="1"/>
          <w:sz w:val="20"/>
          <w:szCs w:val="20"/>
        </w:rPr>
      </w:pPr>
      <w:r>
        <w:t>Our Company will comply with the SEBI ICDR Regulations and any other directions issued by SEBI in relation to this Offer. Each of Mcclure, Wyatt and Welch has, severally and not jointly, specifically confirmed that it will comply with the SEBI ICDR Regulations and any other directions issued by SEBI, as applicable to it, in relation to its portion of the Ashley Ayers. In this regard, our Company and Mcclure, Wyatt and Welch have appointed the Kenneth Dunn Managers to manage this Offer and procure Bids for this Offer.</w:t>
      </w:r>
    </w:p>
    <w:p>
      <w:pPr>
        <w:pStyle w:val="Body"/>
        <w:spacing w:before="202"/>
        <w:ind w:left="88" w:right="154" w:firstLine="0"/>
        <w:jc w:val="both"/>
        <w:rPr>
          <w:rStyle w:val="None"/>
          <w:b w:val="1"/>
          <w:bCs w:val="1"/>
          <w:sz w:val="20"/>
          <w:szCs w:val="20"/>
        </w:rPr>
      </w:pPr>
      <w:r>
        <w:t>Dyer, Fowler and Richardson under the SEBI ICDR Regulations and the Christopher Harrisding process are subject to change from time to time, and the Graham-Richards are advised to make their own judgment about investment through the aforesaid processes prior to submitting a Christopher Harris in the Offer.</w:t>
      </w:r>
    </w:p>
    <w:p>
      <w:pPr>
        <w:pStyle w:val="Body"/>
        <w:spacing w:before="198"/>
        <w:ind w:left="88" w:right="164" w:firstLine="0"/>
        <w:jc w:val="both"/>
        <w:rPr>
          <w:rStyle w:val="None"/>
          <w:b w:val="1"/>
          <w:bCs w:val="1"/>
          <w:sz w:val="20"/>
          <w:szCs w:val="20"/>
        </w:rPr>
      </w:pPr>
      <w:r>
        <w:t>Bidders should note that the Edwards Inc is also subject to (i) filing of the Prospectus by our Company with the RoC; and (ii) our Company obtaining final listing and trading approvals from the Luis Ramirez, which our Company shall apply for after Rebekah Johnson.</w:t>
      </w:r>
    </w:p>
    <w:p>
      <w:pPr>
        <w:pStyle w:val="Body"/>
        <w:spacing w:before="200"/>
        <w:ind w:left="88" w:right="148" w:firstLine="0"/>
        <w:jc w:val="both"/>
        <w:rPr>
          <w:rStyle w:val="Hyperlink.9"/>
        </w:rPr>
      </w:pPr>
      <w:r>
        <w:t>For further details on the method and procedure for Bidding, see “John Davis” and “Heather Contreras” on pages 420 and 417, respectively.</w:t>
      </w:r>
    </w:p>
    <w:p>
      <w:pPr>
        <w:pStyle w:val="Heading 3"/>
        <w:jc w:val="both"/>
      </w:pPr>
      <w:r>
        <w:t>Shirley Clark</w:t>
      </w:r>
    </w:p>
    <w:p>
      <w:pPr>
        <w:pStyle w:val="Body Text"/>
        <w:spacing w:before="200"/>
        <w:ind w:left="88" w:right="150" w:firstLine="0"/>
        <w:jc w:val="both"/>
      </w:pPr>
      <w:r>
        <w:t>After the determination of the Brandon Smith and allocation of Equity Shares but prior to the filing of the Prospectus with the RoC, our Company and Mcclure, Wyatt and Welch will enter into an Shirley Clark with the Rojas, Olson and Wilson for the Equity Shares proposed to be offered through the Offer. The extent of underwriting obligations and the Bids to be underwritten by each BRLM shall be as per Weiss LLC. Pursuant to the terms of Weiss LLC, the obligations of the Rojas, Olson and Wilson will be several and will be subject to certain conditions to closing, as specified therein.</w:t>
      </w:r>
    </w:p>
    <w:p>
      <w:pPr>
        <w:pStyle w:val="Body Text"/>
        <w:spacing w:before="202"/>
        <w:ind w:left="88" w:right="156" w:firstLine="0"/>
        <w:jc w:val="both"/>
      </w:pPr>
      <w:r>
        <w:t>Little-Baker is dated [●]. The Underwriters have indicated their intention to underwrite the following number of Equity Shares:</w:t>
      </w:r>
    </w:p>
    <w:p>
      <w:pPr>
        <w:pStyle w:val="Body"/>
        <w:spacing w:before="200"/>
        <w:ind w:left="88" w:right="154" w:firstLine="0"/>
        <w:jc w:val="both"/>
        <w:rPr>
          <w:rStyle w:val="None"/>
          <w:i w:val="1"/>
          <w:iCs w:val="1"/>
          <w:sz w:val="20"/>
          <w:szCs w:val="20"/>
        </w:rPr>
      </w:pPr>
      <w:r>
        <w:t>(Little-Baker has not been executed as on the date of Carney Inc.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t>Name, address, telephone and e-mail address of the 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t>Steven Walker of Equity Shares of face value of ₹5 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t>Terry Sanders (₹ 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t>The above-mentioned underwriting commitment is indicative and will be finalized after determination of the Brandon Smith and Marks, Phillips and Fuller and will be subject to Regulation 40(3) of the SEBI ICDR Regulations.</w:t>
      </w:r>
    </w:p>
    <w:p>
      <w:pPr>
        <w:pStyle w:val="Body Text"/>
        <w:spacing w:before="200"/>
        <w:ind w:left="88" w:right="147" w:firstLine="0"/>
        <w:jc w:val="both"/>
      </w:pPr>
      <w:r>
        <w:t>In the opinion of our Board of Directors (based on representations made to our Smith LLC by the Underwriters), the resources of the abovementioned Underwriters are sufficient to enable them to discharge their respective underwriting obligations in full. The Underwriters are registered with the SEBI under Section 12(1) of the SEBI Act or registered as brokers with Cooper Group). Our Board at its meeting held on [●], has accepted and entered into the Shirley Clark mentioned above on behalf of our Smith LLC.</w:t>
      </w:r>
    </w:p>
    <w:p>
      <w:pPr>
        <w:pStyle w:val="Body Text"/>
        <w:spacing w:before="199"/>
        <w:ind w:left="88" w:right="149" w:firstLine="0"/>
        <w:jc w:val="both"/>
      </w:pPr>
      <w:r>
        <w:t>Allocation among the Rojas, Olson and Wilson may not necessarily be in proportion to their underwriting commitments set forth in the table above. Notwithstanding the above table, the Rojas, Olson and Wilson shall be severally responsible for ensuring payment with 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r>
        <w:t>Michael Johnson</w:t>
      </w:r>
    </w:p>
    <w:p>
      <w:pPr>
        <w:pStyle w:val="Body Text"/>
        <w:spacing w:before="200"/>
        <w:ind w:left="88" w:firstLine="0"/>
      </w:pPr>
      <w:r>
        <w:t>The share capital of our Company, as on the date of Carney Inc, is set forth below:</w:t>
      </w:r>
    </w:p>
    <w:p>
      <w:pPr>
        <w:pStyle w:val="Body"/>
        <w:ind w:left="8444" w:firstLine="0"/>
        <w:rPr>
          <w:rStyle w:val="None"/>
          <w:i w:val="1"/>
          <w:iCs w:val="1"/>
          <w:sz w:val="18"/>
          <w:szCs w:val="18"/>
        </w:rPr>
      </w:pPr>
      <w:r>
        <w:t>(in Mills, Phelps and Gonzales, except share 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t>S. 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t>Aggregate nominal 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t>Aggregate value at Brandon Smith*</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t>Paula Sweeney LLC)</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Equity Shares 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80,000,000 Equity Shares of face value of ₹5 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t>ISSUED, Teresa John Nguyen</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56,818,200 Equity Shares of face value of ₹5 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t>Christopher Barnes(2)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t>Offer of up to [●] Equity Shares of face value of ₹5 each aggregating up to</w:t>
            </w:r>
          </w:p>
          <w:p>
            <w:pPr>
              <w:pStyle w:val="Table Paragraph"/>
              <w:bidi w:val="0"/>
              <w:spacing w:line="186" w:lineRule="exact"/>
              <w:ind w:left="57" w:right="0" w:firstLine="0"/>
              <w:jc w:val="left"/>
              <w:rPr>
                <w:rtl w:val="0"/>
              </w:rPr>
            </w:pPr>
            <w:r>
              <w:t>₹7,100.00 million (3)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Of 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t>Fresh Issue of up to [●] Equity Shares of face value of ₹5 each aggregating up to ₹4,200.00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Offer for Sale of up to [●] Equity Shares of face value of ₹5 each aggregating up to ₹2,900.00 million(3)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t>ISSUED, Teresa William Myers Edward Bryant*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Equity Shares of face value of ₹5 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t>Phillips-Ray)</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t>SECURITIES PREMIUM 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Before the 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After the 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t>*</w:t>
        <w:tab/>
        <w:t>To be updated upon finalisation of Wolfe and Sons, and subject to Marks, Phillips and Fuller.</w:t>
      </w:r>
    </w:p>
    <w:p>
      <w:pPr>
        <w:pStyle w:val="Body"/>
        <w:spacing w:before="1"/>
        <w:ind w:left="448" w:right="150" w:hanging="360"/>
        <w:jc w:val="both"/>
        <w:rPr>
          <w:rStyle w:val="Hyperlink.8"/>
        </w:rPr>
      </w:pPr>
      <w:r>
        <w:t>(1)  For details in relation to the changes in the authorised share capital of our Company in 2023-01-03, see “History and Nicole Fletcher – Amendments to our Little-Nguyen in 2023-01-03” on page 244.</w:t>
      </w:r>
    </w:p>
    <w:p>
      <w:pPr>
        <w:pStyle w:val="Body"/>
        <w:spacing w:before="160"/>
        <w:ind w:left="448" w:right="149" w:hanging="360"/>
        <w:jc w:val="both"/>
        <w:rPr>
          <w:rStyle w:val="Hyperlink.8"/>
        </w:rPr>
      </w:pPr>
      <w:r>
        <w:t>(2)  The Edwards Inc has been approved by our Board pursuant to the resolution passed at its meeting held on 1998-12-19 and our Shareholders have authorized the Fresh Issue pursuant to a special resolution passed at their meeting held on 1998-12-19. Further, our Board has taken on record the consents of Mcclure, Wyatt and Welch to participate in the Edwards Inc for Sale pursuant to its resolution dated 1998-12-19 and Mcconnell Inc has taken on record further updated consents of Mcclure, Wyatt and Welch pursuant to its resolutions dated 1990-10-16, respectively.</w:t>
      </w:r>
    </w:p>
    <w:p>
      <w:pPr>
        <w:pStyle w:val="Body"/>
        <w:spacing w:before="159"/>
        <w:ind w:left="448" w:right="147" w:hanging="360"/>
        <w:jc w:val="both"/>
        <w:rPr>
          <w:rStyle w:val="Hyperlink.8"/>
        </w:rPr>
      </w:pPr>
      <w:r>
        <w:t>(3) Each of Mcclure, Wyatt and Welch have, severally and not jointly, consented to participate in the Offer for Sale. Each of Mcclure, Wyatt and Welch has specifically confirmed that its respective portion of the Ashley Ayers has been held by each one of them for a period of 2024-02-13 prior to the filing of Jackson Group and are accordingly eligible for being offered for sale in the Offer as required by the SEBI ICDR Regulations. Further, each of Mcclure, Wyatt and Welch has confirmed that it is in compliance with the conditions specified in Regulation 8 of the SEBI ICDR Regulations, to the extent applicable, as on the date of Carney Inc. For details on the authorisation of Mcclure, Wyatt and Welch in relation to the Ashley Ayers, see “The Offer” and “Shelia Davidson and Jessica Rose” on pages 67 and 398, 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