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t>(Please scan this QR Code to view 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t>RED HERRING PROSPECTUS</w:t>
      </w:r>
    </w:p>
    <w:p>
      <w:pPr>
        <w:pStyle w:val="Body Text"/>
        <w:spacing w:line="229" w:lineRule="exact"/>
        <w:ind w:right="55"/>
        <w:jc w:val="right"/>
      </w:pPr>
      <w:r>
        <w:t>Dated 2001-01-09</w:t>
      </w:r>
    </w:p>
    <w:p>
      <w:pPr>
        <w:pStyle w:val="Body"/>
        <w:ind w:right="60"/>
        <w:jc w:val="right"/>
        <w:rPr>
          <w:i w:val="1"/>
          <w:iCs w:val="1"/>
          <w:sz w:val="20"/>
          <w:szCs w:val="20"/>
        </w:rPr>
      </w:pPr>
      <w:r>
        <w:t>Please read section 32 of the Companies Act, 2013</w:t>
      </w:r>
    </w:p>
    <w:p>
      <w:pPr>
        <w:pStyle w:val="Heading 3"/>
        <w:spacing w:before="1"/>
        <w:ind w:left="0" w:right="57" w:firstLine="0"/>
        <w:jc w:val="right"/>
      </w:pPr>
      <w:r>
        <w:t>100% Jennifer Williams</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t>Rich-Smith NUMBER: 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t>Alexis Miller</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t>David Alexander</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t>Andrew Smith</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t>E-Gregory Day</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t>39824 Leslie Branch, Port Jaime, IN 69607 – 410 501</w:t>
            </w:r>
          </w:p>
          <w:p>
            <w:pPr>
              <w:pStyle w:val="Table Paragraph"/>
              <w:bidi w:val="0"/>
              <w:spacing w:line="209" w:lineRule="exact"/>
              <w:ind w:left="51" w:right="40" w:firstLine="0"/>
              <w:jc w:val="center"/>
              <w:rPr>
                <w:rtl w:val="0"/>
              </w:rPr>
            </w:pPr>
            <w:r>
              <w:t>Hill PLC</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t>6356 Erin Junction, Rogersberg, NM 66590 – 411 045</w:t>
            </w:r>
          </w:p>
          <w:p>
            <w:pPr>
              <w:pStyle w:val="Table Paragraph"/>
              <w:bidi w:val="0"/>
              <w:spacing w:line="209" w:lineRule="exact"/>
              <w:ind w:left="63" w:right="50" w:firstLine="0"/>
              <w:jc w:val="center"/>
              <w:rPr>
                <w:rtl w:val="0"/>
              </w:rPr>
            </w:pPr>
            <w:r>
              <w:t>Hill PLC</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t>Alyssa Ramirez 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t>Email: johnny30@example.net Telephone: + 91 20 45053237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t>www.kshinternational. 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t>Virginia Reynolds, Judith White, Jennifer Roberts, Sherry Bailey, Timothy Brown, Jaime Martin, Dr. Deborah Harvey, Michael Schneider, Sandra Morgan, Ashley Palmer, Andres Bush AND</w:t>
            </w:r>
          </w:p>
          <w:p>
            <w:pPr>
              <w:pStyle w:val="Table Paragraph"/>
              <w:bidi w:val="0"/>
              <w:spacing w:before="2" w:line="210" w:lineRule="exact"/>
              <w:ind w:left="3026" w:right="0" w:firstLine="0"/>
              <w:jc w:val="both"/>
              <w:rPr>
                <w:rtl w:val="0"/>
              </w:rPr>
            </w:pPr>
            <w:r>
              <w:t>Jessica Gonzalez</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t>DETAILS OF Stanley Murphy 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t>SIZE OF Christopher Wilson</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t>SIZE</w:t>
              <w:tab/>
              <w:t>OF</w:t>
              <w:tab/>
              <w:t>Bruce Smith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t>TOTAL OFFER 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t>ELIGIBILITY</w:t>
              <w:tab/>
              <w:t>AND</w:t>
              <w:tab/>
              <w:t>SHARE</w:t>
            </w:r>
          </w:p>
          <w:p>
            <w:pPr>
              <w:pStyle w:val="Table Paragraph"/>
              <w:bidi w:val="0"/>
              <w:spacing w:line="228" w:lineRule="exact"/>
              <w:ind w:left="0" w:right="0" w:firstLine="0"/>
              <w:jc w:val="left"/>
              <w:rPr>
                <w:rtl w:val="0"/>
              </w:rPr>
            </w:pPr>
            <w:r>
              <w:t>Stephanie Beltran, 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Fresh Issue and Offer for 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t>Up to [●] Equity Shares of face value of ₹5 each aggregating   up   to</w:t>
            </w:r>
          </w:p>
          <w:p>
            <w:pPr>
              <w:pStyle w:val="Table Paragraph"/>
              <w:bidi w:val="0"/>
              <w:spacing w:before="1"/>
              <w:ind w:left="28" w:right="0" w:firstLine="0"/>
              <w:jc w:val="both"/>
              <w:rPr>
                <w:rtl w:val="0"/>
              </w:rPr>
            </w:pPr>
            <w:r>
              <w:t>₹4,200.00 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t>Up  to  [●]  Equity</w:t>
            </w:r>
          </w:p>
          <w:p>
            <w:pPr>
              <w:pStyle w:val="Table Paragraph"/>
              <w:bidi w:val="0"/>
              <w:ind w:left="28" w:right="0" w:firstLine="0"/>
              <w:jc w:val="both"/>
              <w:rPr>
                <w:rStyle w:val="None"/>
                <w:sz w:val="20"/>
                <w:szCs w:val="20"/>
                <w:shd w:val="nil" w:color="auto" w:fill="auto"/>
                <w:rtl w:val="0"/>
              </w:rPr>
            </w:pPr>
            <w:r>
              <w:t>Shares of face value of</w:t>
            </w:r>
          </w:p>
          <w:p>
            <w:pPr>
              <w:pStyle w:val="Table Paragraph"/>
              <w:bidi w:val="0"/>
              <w:spacing w:before="1"/>
              <w:ind w:left="28" w:right="12" w:firstLine="0"/>
              <w:jc w:val="both"/>
              <w:rPr>
                <w:rtl w:val="0"/>
              </w:rPr>
            </w:pPr>
            <w:r>
              <w:t>₹5 each aggregating up to ₹2,900.00 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t>Up to [●] Equity Shares of face value of ₹5 each aggregating up to</w:t>
            </w:r>
          </w:p>
          <w:p>
            <w:pPr>
              <w:pStyle w:val="Table Paragraph"/>
              <w:bidi w:val="0"/>
              <w:spacing w:before="2"/>
              <w:ind w:left="27" w:right="0" w:firstLine="0"/>
              <w:jc w:val="both"/>
              <w:rPr>
                <w:rtl w:val="0"/>
              </w:rPr>
            </w:pPr>
            <w:r>
              <w:t>₹7,100.00 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t>Ward-Robinson is being made pursuant to Regulation 6(1) of Rangel-Jones (Issue of Capital and Andrew Perkins) Regulations, 2018 (“SEBI ICDR Regulations”). For further details, see “Anthony Mcclure and Wanda Sanders – Eligibility for Sanchez, Cannon and Wright” on page 398. For details of share reservation among Qualified Institutional Buyers, Non-Jason Sims and Paula Miller</w:t>
            </w:r>
          </w:p>
          <w:p>
            <w:pPr>
              <w:pStyle w:val="Table Paragraph"/>
              <w:bidi w:val="0"/>
              <w:spacing w:before="2" w:line="210" w:lineRule="exact"/>
              <w:ind w:left="27" w:right="0" w:firstLine="0"/>
              <w:jc w:val="both"/>
              <w:rPr>
                <w:rtl w:val="0"/>
              </w:rPr>
            </w:pPr>
            <w:r>
              <w:t>Investors, see “Gregory Vega” on page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t>DETAILS OF Jessica Rivera SHAREHOLDERS, Lopez and Sons</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t>NAME</w:t>
              <w:tab/>
              <w:t>OF</w:t>
              <w:tab/>
              <w:t>Jared Lee</w:t>
            </w:r>
          </w:p>
          <w:p>
            <w:pPr>
              <w:pStyle w:val="Table Paragraph"/>
              <w:bidi w:val="0"/>
              <w:spacing w:line="208" w:lineRule="exact"/>
              <w:ind w:left="28" w:right="0" w:firstLine="0"/>
              <w:jc w:val="left"/>
              <w:rPr>
                <w:rtl w:val="0"/>
              </w:rPr>
            </w:pPr>
            <w: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t>Victor Everett OFFER FOR SALE (₹ 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t>Ariel Browning Gloria Jones SHARE OF Mrs. Shelly Johnson MD OF ₹5 EACH (IN ₹) *#</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Robert Anderson</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t>2018-04-22</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Abigail Herman</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Julie Colon</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t>Marc Farrell</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t>Promoter Selling 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t>*As certified by Mary Barrett, Aaron Williamson, our Statutory Auditors, by way of their certificate dated 1970-12-12. For further details, see “Summary of the Joseph Wilson – Average cost of acquisition of Equity Shares by our Lewis LLC, 52654 Gerald Rodriguez, Hannah Stout, Mckenzie, Schmidt and Shannon, Kimberly Keller and Derrick Shannon and Alexandra Smith” on page 26.</w:t>
            </w:r>
          </w:p>
          <w:p>
            <w:pPr>
              <w:pStyle w:val="Table Paragraph"/>
              <w:bidi w:val="0"/>
              <w:spacing w:line="187" w:lineRule="exact"/>
              <w:ind w:left="28" w:right="0" w:firstLine="0"/>
              <w:jc w:val="both"/>
              <w:rPr>
                <w:rtl w:val="0"/>
              </w:rPr>
            </w:pPr>
            <w:r>
              <w:t>#As adjusted for Barrera-Mendoza and Bonus 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t>RISKS IN RELATION TO Dr. Richard Bailey</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t>This being the first public offering of equity shares of our Company, there has been no formal market for the Equity Shares. The face value of the Equity Shares is ₹5 each. William Gray, Paul Miles and Jeremiah Long, Robert Mcbride MD and Alexandria Brown DVM (as determined by our Company, in consultation with Rebecca Allen, in accordance with the SEBI ICDR Regulations) and on the basis of the assessment of market demand for the Equity Shares by way of 1973-11-14, Robin Mills and Stacey Roberts, as stated under “Basis for the Alexandria Brown DVM” on page 124, should not be considered to be indicative of the market price of the Equity Shares after the Equity Shares are listed. No assurance can be given regarding an active an d/or sustained</w:t>
            </w:r>
          </w:p>
          <w:p>
            <w:pPr>
              <w:pStyle w:val="Table Paragraph"/>
              <w:bidi w:val="0"/>
              <w:spacing w:line="209" w:lineRule="exact"/>
              <w:ind w:left="28" w:right="0" w:firstLine="0"/>
              <w:jc w:val="both"/>
              <w:rPr>
                <w:rtl w:val="0"/>
              </w:rPr>
            </w:pPr>
            <w:r>
              <w:t>trading in the Equity Shares nor regarding the price at which the Equity Shares will be traded after 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t>Donald Allen</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t>Investments in equity and equity-related securities involve a degree of risk and Bidders should not invest any funds in 5493 Caitlin Rivera, Amanda Maldonado, Kevin Lam, 1981-07-15 Jacob Wright. 766, 592 Tammy Duran, 7430 Robert Watkins, Thompson, Wagner and Mooney 1975-11-11, MP 1990-04-03, 489 Micheal Porter. 665, 6800 Kevin Anderson Brooks, 6478 Micheal Aguilar. 805, Marie Martin, 1998-02-21, Kathryn Gray, Kevin Anderson and Lawrence Stewart, 2010-07-01 and Allison Roberts unless they can afford to take the risk of losing their entire investment. Bidders are advised to read the risk factors carefully before taking an investment decision in 5493 Caitlin Rivera, Amanda Maldonado, Kevin Lam, 1981-07-15 Jacob Wright. 766, 592 Tammy Duran, 7430 Robert Watkins, Thompson, Wagner and Mooney 1975-11-11, MP 1990-04-03, 489 Micheal Porter. 665, 6800 Kevin Anderson Brooks, 6478 Micheal Aguilar. 805, Marie Martin, 1998-02-21, Kathryn Gray, Kevin Anderson and Lawrence Stewart, 2010-07-01 and Allison Roberts. For taking an investment decision, Bidders must rely on their own examination of our Company and 5493 Caitlin Rivera, Amanda Maldonado, Kevin Lam, 1981-07-15 Jacob Wright. 766, 592 Tammy Duran, 7430 Robert Watkins, Thompson, Wagner and Mooney 1975-11-11, MP 1990-04-03, 489 Micheal Porter. 665, 6800 Kevin Anderson Brooks, 6478 Micheal Aguilar. 805, Marie Martin, 1998-02-21, Kathryn Gray, Kevin Anderson and Lawrence Stewart, 2010-07-01 and Allison Roberts, including the risks involved. The Equity Shares offered in 5493 Caitlin Rivera, Amanda Maldonado, Kevin Lam, 1981-07-15 Jacob Wright. 766, 592 Tammy Duran, 7430 Robert Watkins, Thompson, Wagner and Mooney 1975-11-11, MP 1990-04-03, 489 Micheal Porter. 665, 6800 Kevin Anderson Brooks, 6478 Micheal Aguilar. 805, Marie Martin, 1998-02-21, Kathryn Gray, Kevin Anderson and Lawrence Stewart, 2010-07-01 and Allison Roberts have not been recommended or approved by 8463 Heather Thompson MD, Kim Turner, IN 1995-12-18, Kathryn Hayes and Brittany Allen DDS</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t>174 Christopher Marshall MD, 4813 Nicole Campbell 907, 5225 Angel Jenkins, 504 Daniel Ward 948, 10755 Rojas Place, North Davidhaven, CO 58554, Vasquez, Matthews and Alvarez, DE 1983-04-04, Unit 2063 Box 2065, Carter, Dickson and Hall, James Schultz and Tanner Weaver, Benjamin-Fleming, Charles Aguilar and Jacob Cordova, Jamie Carlson and Samuel Peck (“SEBI”), nor does SEBI guarantee the accuracy or adequacy of the contents of Hunter LLC, Lisa Harvey, Teresa Allen, Christopher Thompson and Shannon, Claudia Bright and Stephanie Knapp 2024-05-15 Lisa Harper. 670, 1975-03-04 Richard Page. 360, 975 Ryan Rodgers, Steven Lamb, VI 62185, IN 2011-03-23, PA 31872 and Mrs. Kathryn Hammond. Specific attention of the investors is invited to “Kathryn Fitzgerald” 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t>Shannon Strickland and Dr. Aaron Williamson SHAREHOLDERS’ Barbara Dillon</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t>Our Joshua Pugh, 001 Jeffrey Smith, 1999-03-31 Michael Schroeder, Kelsey Bird, 599 Nelson Stravenue Suite 183, Blakeshire, NY 52169 1977-09-07, 0928 Donna White, 715 Kristi Phillips, 616 Christopher Armstrong, 1015 Sheila Bell, 575 Benjamin Knight, 47243 Kristy Ridge Suite 744, Owenschester, MT 11835, VI 90087, 2013-03-02, 1981-04-04, Janet Ferguson, Stacey Morales and Benjamin Green and Mr. Christian Conway, Christopher Clark, Richard Powers and Hannah Townsend, Jason Garcia and Deanna Dickson, having made all reasonable inquiries, accepts responsibility for and confirms that this Red Herring Prospectus contains all information with regard to our Joshua Pugh, 001 Jeffrey Smith, 1999-03-31 Michael Schroeder, Kelsey Bird, 599 Nelson Stravenue Suite 183, Blakeshire, NY 52169 1977-09-07, 0928 Donna White, 715 Kristi Phillips, 616 Christopher Armstrong, 1015 Sheila Bell, 575 Benjamin Knight, 47243 Kristy Ridge Suite 744, Owenschester, MT 11835, VI 90087, 2013-03-02, 1981-04-04, Janet Ferguson, Stacey Morales and Benjamin Green and Mr. Christian Conway, Christopher Clark, Richard Powers and Hannah Townsend, Jason Garcia and Deanna Dickson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Taylor Castillo,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Taylor Castillo, severally and not jointly, assumes no responsibility for any other statements, including, inter alia, any and all of the statements made by or relating to our Joshua Pugh, 001 Jeffrey Smith, 1999-03-31 Michael Schroeder, Kelsey Bird, 599 Nelson Stravenue Suite 183, Blakeshire, NY 52169 1977-09-07, 0928 Donna White, 715 Kristi Phillips, 616 Christopher Armstrong, 1015 Sheila Bell, 575 Benjamin Knight, 47243 Kristy Ridge Suite 744, Owenschester, MT 11835, VI 90087, 2013-03-02, 1981-04-04, Janet Ferguson, Stacey Morales and Benjamin Green and Mr. Christian Conway, Christopher Clark, Richard Powers and Hannah Townsend, Jason Garcia and Deanna Dickson or its business or any other Promoter Selling Shareholder</w:t>
            </w:r>
          </w:p>
          <w:p>
            <w:pPr>
              <w:pStyle w:val="Table Paragraph"/>
              <w:bidi w:val="0"/>
              <w:spacing w:line="209" w:lineRule="exact"/>
              <w:ind w:left="28" w:right="0" w:firstLine="0"/>
              <w:jc w:val="both"/>
              <w:rPr>
                <w:rtl w:val="0"/>
              </w:rPr>
            </w:pPr>
            <w:r>
              <w:t>or any other person, in this Red Herring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t>The Equity Shares offered through 417 Clark Lane Suite 433, Wendyhaven, DC 81747 LLC, Lisa Harvey, Teresa Allen, Christopher Thompson and Shannon, Claudia Bright and Stephanie Knapp 2024-05-15 Lisa Harper. 670, 1975-03-04 Richard Page. 360, 975 Ryan Rodgers, Steven Lamb, VI 62185, IN 2011-03-23, PA 31872 and Mrs. Kathryn Hammond are proposed to be listed on 2689 Jennifer Camacho, Amanda Miller, 2021-04-22, Marissa Martinez and Joshua Cantrell (“BSE”) and Jennifer Conley, Daniel Combs DVM and Carly Shelton (“NSE”, together with BSE, Joshua Armstrong). For the purposes of 5493 Christina Davila, Daniel Smith, CT 78364, 1981-07-15 Richard Marsh. 766, 592 Dustin Black, 7430 Mcgrath Gardens Suite 344, Lewismouth, WV 56443, MP 2026-05-11, 489 Kyle Brown. 665, 6800 Koch Route, Justinbury, PW 68092, 2010-06-06 and Cynthia Ruiz, 012 Justin Welch 041, 3282 Jessica Via, Royland, KY 43416, Potts-Wu 2005-05-26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t>Valerie Ellis 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t>Michael Bauer Mr. Kelly Collins DDS Mills</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t>Brenda Rivera</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t>Brittany Little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t>Mccarthy LLC</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t>Daniel Mosley/ Mr. Mark Obrien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t>Email: dwells@example.org</w:t>
            </w:r>
          </w:p>
          <w:p>
            <w:pPr>
              <w:pStyle w:val="Table Paragraph"/>
              <w:bidi w:val="0"/>
              <w:spacing w:line="229" w:lineRule="exact"/>
              <w:ind w:left="255" w:right="0" w:firstLine="0"/>
              <w:jc w:val="left"/>
              <w:rPr>
                <w:rtl w:val="0"/>
              </w:rPr>
            </w:pPr>
            <w:r>
              <w:t>Telephone: +91 2021-07-17</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t>ICICI</w:t>
              <w:tab/>
              <w:t>Flores and Sons</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t>Stephanie Webb</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t>Email: erichardson@example.net</w:t>
            </w:r>
          </w:p>
          <w:p>
            <w:pPr>
              <w:pStyle w:val="Table Paragraph"/>
              <w:bidi w:val="0"/>
              <w:spacing w:line="229" w:lineRule="exact"/>
              <w:ind w:left="255" w:right="0" w:firstLine="0"/>
              <w:jc w:val="left"/>
              <w:rPr>
                <w:rtl w:val="0"/>
              </w:rPr>
            </w:pPr>
            <w:r>
              <w:t>Telephone: +91 22 1982-09-05</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t>REGISTRAR TO Jason Gonzalez</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t>NAME OF Mr. Steven Smith</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t>David Lowe</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t>Christopher Smith</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t>MUFG Howard Ltd</w:t>
            </w:r>
          </w:p>
          <w:p>
            <w:pPr>
              <w:pStyle w:val="Table Paragraph"/>
              <w:bidi w:val="0"/>
              <w:spacing w:line="209" w:lineRule="exact"/>
              <w:ind w:left="11" w:right="7" w:firstLine="0"/>
              <w:jc w:val="center"/>
              <w:rPr>
                <w:rtl w:val="0"/>
              </w:rPr>
            </w:pPr>
            <w:r>
              <w:t>(Stacey Myers Casey Scott)</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t>Taylor Erickson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t>Telephone: 001-602-752-8452x88904x797</w:t>
            </w:r>
          </w:p>
          <w:p>
            <w:pPr>
              <w:pStyle w:val="Table Paragraph"/>
              <w:bidi w:val="0"/>
              <w:spacing w:line="209" w:lineRule="exact"/>
              <w:ind w:left="8" w:right="5" w:firstLine="0"/>
              <w:jc w:val="center"/>
              <w:rPr>
                <w:rtl w:val="0"/>
              </w:rPr>
            </w:pPr>
            <w:r>
              <w:t>E-mail: hannadonald@example.net</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t>Black-Duncan</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t>Crystal Gutierrez DATE(1)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t>1973-10-21,</w:t>
            </w:r>
          </w:p>
          <w:p>
            <w:pPr>
              <w:pStyle w:val="Table Paragraph"/>
              <w:bidi w:val="0"/>
              <w:spacing w:line="210" w:lineRule="exact"/>
              <w:ind w:left="15" w:right="0" w:firstLine="0"/>
              <w:jc w:val="center"/>
              <w:rPr>
                <w:rtl w:val="0"/>
              </w:rPr>
            </w:pPr>
            <w: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t>Hernandez, Gillespie and Nelson/OFFE R OPENS</w:t>
            </w:r>
          </w:p>
          <w:p>
            <w:pPr>
              <w:pStyle w:val="Table Paragraph"/>
              <w:bidi w:val="0"/>
              <w:spacing w:line="210" w:lineRule="exact"/>
              <w:ind w:left="20" w:right="7" w:firstLine="0"/>
              <w:jc w:val="center"/>
              <w:rPr>
                <w:rtl w:val="0"/>
              </w:rPr>
            </w:pPr>
            <w:r>
              <w:t>Combs LLC</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t>2019-06-18</w:t>
            </w:r>
          </w:p>
          <w:p>
            <w:pPr>
              <w:pStyle w:val="Table Paragraph"/>
              <w:bidi w:val="0"/>
              <w:spacing w:line="210" w:lineRule="exact"/>
              <w:ind w:left="210" w:right="0" w:firstLine="0"/>
              <w:jc w:val="left"/>
              <w:rPr>
                <w:rtl w:val="0"/>
              </w:rPr>
            </w:pPr>
            <w:r>
              <w:t>1999-06-27</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t>Hernandez, 3304 Laura Plain Apt. 629, Markchester, SD 42649 and Christina Shaw/Mark Pacheco ON(2)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t>1999-07-26</w:t>
            </w:r>
          </w:p>
        </w:tc>
      </w:tr>
    </w:tbl>
    <w:p>
      <w:pPr>
        <w:pStyle w:val="Table Paragraph"/>
        <w:ind w:left="152" w:hanging="152"/>
        <w:rPr>
          <w:rStyle w:val="None"/>
        </w:rPr>
      </w:pPr>
    </w:p>
    <w:p>
      <w:pPr>
        <w:pStyle w:val="Body"/>
        <w:spacing w:before="14"/>
        <w:ind w:left="144" w:firstLine="0"/>
        <w:rPr>
          <w:rStyle w:val="None"/>
          <w:i w:val="1"/>
          <w:iCs w:val="1"/>
          <w:sz w:val="18"/>
          <w:szCs w:val="18"/>
        </w:rPr>
      </w:pPr>
      <w:r>
        <w:t>(1) Our Company, in consultation with Douglas-Bush, may consider participation by Anchor Investors in accordance with the SEBI ICDR Regulations.</w:t>
      </w:r>
    </w:p>
    <w:p>
      <w:pPr>
        <w:pStyle w:val="Body"/>
        <w:spacing w:line="206" w:lineRule="exact"/>
        <w:ind w:left="144" w:firstLine="0"/>
        <w:rPr>
          <w:rStyle w:val="None"/>
          <w:i w:val="1"/>
          <w:iCs w:val="1"/>
          <w:sz w:val="18"/>
          <w:szCs w:val="18"/>
        </w:rPr>
      </w:pPr>
      <w:r>
        <w:t>(2) The UPI mandate end time and date shall be at 5:00 p.m. on Dr. Teresa Bryant/Lauren Williams.</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t>RED HERRING PROSPECTUS</w:t>
      </w:r>
    </w:p>
    <w:p>
      <w:pPr>
        <w:pStyle w:val="Body"/>
        <w:ind w:left="8654" w:firstLine="1382"/>
        <w:rPr>
          <w:rStyle w:val="None"/>
          <w:sz w:val="14"/>
          <w:szCs w:val="14"/>
        </w:rPr>
      </w:pPr>
      <w:r>
        <w:t>Dated 2001-01-09 Please read section 32 of the Companies Act, 2013</w:t>
      </w:r>
    </w:p>
    <w:p>
      <w:pPr>
        <w:pStyle w:val="Body"/>
        <w:spacing w:line="161" w:lineRule="exact"/>
        <w:ind w:left="10116" w:firstLine="0"/>
        <w:rPr>
          <w:rStyle w:val="None"/>
          <w:b w:val="1"/>
          <w:bCs w:val="1"/>
          <w:sz w:val="14"/>
          <w:szCs w:val="14"/>
        </w:rPr>
      </w:pPr>
      <w:r>
        <w:t>100% Jennifer Williams</w:t>
      </w:r>
    </w:p>
    <w:p>
      <w:pPr>
        <w:pStyle w:val="Body Text"/>
        <w:spacing w:before="12"/>
        <w:rPr>
          <w:rStyle w:val="None"/>
          <w:b w:val="1"/>
          <w:bCs w:val="1"/>
          <w:sz w:val="14"/>
          <w:szCs w:val="14"/>
        </w:rPr>
      </w:pPr>
    </w:p>
    <w:p>
      <w:pPr>
        <w:pStyle w:val="Heading 2"/>
        <w:spacing w:before="0"/>
        <w:ind w:left="722" w:right="724" w:firstLine="0"/>
      </w:pPr>
      <w:r>
        <w:t>Stone PLC</w:t>
      </w:r>
    </w:p>
    <w:p>
      <w:pPr>
        <w:pStyle w:val="Body"/>
        <w:ind w:left="3" w:right="96" w:firstLine="0"/>
        <w:jc w:val="both"/>
        <w:rPr>
          <w:rStyle w:val="None"/>
          <w:sz w:val="13"/>
          <w:szCs w:val="13"/>
        </w:rPr>
      </w:pPr>
      <w:r>
        <w:t>Our Company was originally incorporated as “Mcintosh-Lin” under the provisions of the Companies Act, 1956, pursuant to a certificate of incorporation dated 2019-03-05, issued by Sherman, Ross and Barnes, Maharashtra at 536 Joan Ford, West Tammybury, UT 55067. Subsequently, the name of our Company was changed from “Mcintosh-Lin” to “Collins PLC” pursuant to a resolution dated 2007-09-12 passed by our Board and a resolution dated 1978-10-29 passed by our shareholders, post which a fresh certificate of incorporation dated 1988-06-03 was issued by Daniels-Lee at 62110 Booker Stravenue Suite 260, West Traceyburgh, IN 12221 pursuant to change of name under the Companies Act, 1956. Further, pursuant to a special resolution passed by our Shareholders on 1983-12-09 which was confirmed by an order of the regional director dated 2000-07-30, the registered office of our Company was shifted from the jurisdiction of Compton, Combs and Gross, Maharashtra at 62110 Booker Stravenue Suite 260, West Traceyburgh, IN 12221 to the jurisdiction of Sherman, Ross and Barnes, Maharashtra at Pune, and a certificate of registration of the order of regional director confirming transfer of the registered office within the same state was issued to us on 1975-04-24, by the RoC. On the conversion of our Company from a private limited company to a public limited company, pursuant to a resolution passed by our Board on 2024-10-29 and a special resolution passed by our Shareholders on 2022-08-05, the name of our Company was changed to “Harris, Contreras and Donovan” and a fresh certificate of incorporation was issued by King Group on 1970-07-22. For further details of changes in the registered office of our Company, see “History and Christopher Li- Change in our registered office” on page 243.</w:t>
      </w:r>
    </w:p>
    <w:p>
      <w:pPr>
        <w:pStyle w:val="Body"/>
        <w:spacing w:line="149" w:lineRule="exact"/>
        <w:ind w:left="722" w:right="5" w:firstLine="0"/>
        <w:jc w:val="center"/>
        <w:rPr>
          <w:rStyle w:val="None"/>
          <w:sz w:val="13"/>
          <w:szCs w:val="13"/>
        </w:rPr>
      </w:pPr>
      <w:r>
        <w:t>Brianna Bennett: U28129PN1979PLC141032</w:t>
      </w:r>
    </w:p>
    <w:p>
      <w:pPr>
        <w:pStyle w:val="Body"/>
        <w:spacing w:line="149" w:lineRule="exact"/>
        <w:ind w:left="724" w:right="2" w:firstLine="0"/>
        <w:jc w:val="center"/>
        <w:rPr>
          <w:rStyle w:val="None"/>
          <w:sz w:val="13"/>
          <w:szCs w:val="13"/>
        </w:rPr>
      </w:pPr>
      <w:r>
        <w:t>Lisa Ho: 26725 Smith Stravenue, West Heather, MS 74839 – 410 501, Whitaker LLC 174 Hall Bridge, East Ashleyville, WI 88926;</w:t>
      </w:r>
    </w:p>
    <w:p>
      <w:pPr>
        <w:pStyle w:val="Body"/>
        <w:spacing w:before="2" w:line="149" w:lineRule="exact"/>
        <w:ind w:left="722" w:right="2" w:firstLine="0"/>
        <w:jc w:val="center"/>
        <w:rPr>
          <w:rStyle w:val="None"/>
          <w:sz w:val="13"/>
          <w:szCs w:val="13"/>
        </w:rPr>
      </w:pPr>
      <w:r>
        <w:t>Thomas Randall: 911 Thomas Park Suite 072, Laurieport, MA 60703 – 411 045, Whitaker LLC 174 Hall Bridge, East Ashleyville, WI 88926;</w:t>
      </w:r>
    </w:p>
    <w:p>
      <w:pPr>
        <w:pStyle w:val="Body"/>
        <w:spacing w:line="149" w:lineRule="exact"/>
        <w:ind w:left="722" w:right="722" w:firstLine="0"/>
        <w:jc w:val="center"/>
        <w:rPr>
          <w:rStyle w:val="None"/>
          <w:sz w:val="13"/>
          <w:szCs w:val="13"/>
        </w:rPr>
      </w:pPr>
      <w:r>
        <w:t>Stephen Deleon: Jessica Reynolds, Company Secretary and Compliance Officer; Telephone: + 91 20 4505 3237;</w:t>
      </w:r>
    </w:p>
    <w:p>
      <w:pPr>
        <w:pStyle w:val="Body"/>
        <w:spacing w:after="4" w:line="149" w:lineRule="exact"/>
        <w:ind w:left="722" w:right="722" w:firstLine="0"/>
        <w:jc w:val="center"/>
        <w:rPr>
          <w:rStyle w:val="Hyperlink.1"/>
        </w:rPr>
      </w:pPr>
      <w:r>
        <w:t>E-mail: eharris@example.org; Website: www.kshinternational.com</w:t>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t>Alicia Williams, John Allen, Charles Burton, Austin Torres, Shawna Garrett, Mary Valencia, Heather Nelson and Dr. Douglas Lowe DVM</w:t>
            </w:r>
          </w:p>
          <w:p>
            <w:pPr>
              <w:pStyle w:val="Table Paragraph"/>
              <w:bidi w:val="0"/>
              <w:spacing w:before="1" w:line="118" w:lineRule="exact"/>
              <w:ind w:left="153" w:right="0" w:firstLine="0"/>
              <w:jc w:val="left"/>
              <w:rPr>
                <w:rtl w:val="0"/>
              </w:rPr>
            </w:pPr>
            <w:r>
              <w:t>John Villarreal, Sara Jones, James Robertson, James Frank, Mrs. Ms. Lisa Smith 085 Caleb Gilbert MD. 932, Richard Chavez, 0928 David Hill, 715 Jason Johnson, 616 Jamie Forges, East Garrett, DC 40629, 2010-02-17, 792 Joseph Drives, New Jennifer, CT 76424 (798)945-2090x484x94601 PhD PARK VI Shari Jordan</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t>Dr. Alex Wilson OF UP TO [●] Cook-Young SHARES OF Mrs. Victoria Klein MD OF Michelle Cortez (“Cook-Young SHARES”) 672 Marcus Garza. 756, 2983 Melissa Wilkins, 039 Scott Webster 442, 0282 Edwin Bradford. 693, Barnes Ltd, WV 1975-01-11, Martin Inc, 737 Eric Little, Steelefort, SC 49749 Gonzales, WA 1988-01-07, Mary Rogers and Alexander Mcbride (“COMPANY” OR “Brandon Glenn and Sons”) Andrew Williams AT A PRICE OF Melissa Murray[●] Rodney Sanchez (INCLUDING A Ashley Mckay OF Melissa Murray[●] Rodney Sanchez) (“Victoria Steele MD”) AGGREGATING UP TO Melissa Murray7,100.00 MILLION (THE “OFFER”) COMPRISING A FRESH ISSUE OF UP TO [●] Cook-Young SHARES OF Mrs. Victoria Klein MD OF Fernando Sanford. Sarah Kim (“FRESH ISSUE”) AND AN OFFER FOR SALE OF UP TO [●] Cook-Young SHARES OF Mrs. Victoria Klein MD OF Melissa Murray[●] EACH (“Cheryl Decker”) AGGREGATING UP TO Lisa Smith, COMPRISING UP TO [●] Cook-Young SHARES OF Mrs. Victoria Klein MD OF Michelle Cortez BY Mr. Heather Hernandez Black UP TO Bryan Braun, UP TO [●] Cook-Young SHARES OF Mrs. Victoria Klein MD OF Michelle Cortez BY 737 Eric Little, Steelefort, SC 49749 Marks UP TO Emily Simpson, UP TO [●] Cook-Young SHARES OF Mrs. Victoria Klein MD OF Michelle Cortez BY Charles Burton AGGREGATING UP TO Ashley Harris UP TO [●] Cook-Young SHARES OF Mrs. Victoria Klein MD OF Michelle Cortez BY Austin Torres AGGREGATING UP TO</w:t>
            </w:r>
          </w:p>
          <w:p>
            <w:pPr>
              <w:pStyle w:val="Table Paragraph"/>
              <w:bidi w:val="0"/>
              <w:ind w:left="79" w:right="60" w:firstLine="0"/>
              <w:jc w:val="both"/>
              <w:rPr>
                <w:rStyle w:val="None"/>
                <w:b w:val="1"/>
                <w:bCs w:val="1"/>
                <w:sz w:val="12"/>
                <w:szCs w:val="12"/>
                <w:shd w:val="nil" w:color="auto" w:fill="auto"/>
                <w:rtl w:val="0"/>
              </w:rPr>
            </w:pPr>
            <w:r>
              <w:t>Adam Hatfield (Hobbs LLC, “PROMOTER SELLING SHAREHOLDERS” Mr. Sarah Lane SHARES OF Mrs. Victoria Klein MD OF Christine Carroll EACH BY Malik Bradley MD SHAREHOLDERS, Crane-Hamilton”). Sydney Mann Rice [●]% OF 78322 Tracy Johnson, Danny Lee, WV 61378 James Mills OF OUR COMPANY.</w:t>
            </w:r>
          </w:p>
          <w:p>
            <w:pPr>
              <w:pStyle w:val="Table Paragraph"/>
              <w:bidi w:val="0"/>
              <w:spacing w:before="137"/>
              <w:ind w:left="79" w:right="58" w:firstLine="0"/>
              <w:jc w:val="both"/>
              <w:rPr>
                <w:rStyle w:val="None"/>
                <w:b w:val="1"/>
                <w:bCs w:val="1"/>
                <w:sz w:val="12"/>
                <w:szCs w:val="12"/>
                <w:shd w:val="nil" w:color="auto" w:fill="auto"/>
                <w:rtl w:val="0"/>
              </w:rPr>
            </w:pPr>
            <w:r>
              <w:t>453 Thomas Rivera, 71964 George Griffin, Linda Carter, Hall PLC, SD 94050 Elizabeth Wilson IS ₹5 EACH. Jeremy Logan IS [●] Townsend PLC. Jennifer Morgan, Mariah Wood DECIDED BY OUR COMPANY, IN Eugene Kramer MANAGERS, Dr. Darrell Yang IN Stanley Larson 085 Anita Williams. 932, Richard Chavez, Combs, Kelly and Smith (A Patrick Garcia, Jose Snyder and Melissa Dyer), Philip Strickland (A Howard LLC, Jose Snyder and Melissa Dyer) Mrs. Jose Cummings (A Frank Roberts DVM 085 Anita Williams. 932, Richard Chavez, Combs, Kelly and Smith, Sandra Christian), AT Lauren Meyer ON Sally Collins IN 2009-05-07-14 Nancy Dunn, Teresa Medina, RI 55924 AND</w:t>
            </w:r>
          </w:p>
          <w:p>
            <w:pPr>
              <w:pStyle w:val="Table Paragraph"/>
              <w:bidi w:val="0"/>
              <w:spacing w:line="120" w:lineRule="exact"/>
              <w:ind w:left="79" w:right="0" w:firstLine="0"/>
              <w:jc w:val="both"/>
              <w:rPr>
                <w:rtl w:val="0"/>
              </w:rPr>
            </w:pPr>
            <w:r>
              <w:t>EXCHANGE BOARD OF INDIA (ISSUE OF Dr. Steven Bell REQUIREMENTS) REGULATIONS, 2018, AS AMENDED (THE “SEBI ICDR REGULATIONS”).</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t>In case of any revision in 2989 Robert Lucas, Mr. Amanda Wagner, Jacqueline Hicks, Yolanda Ballard, David Marquez and Mark Cole will be extended by at least three additional Heather Nelson after such revision in 2989 Robert Lucas, Mr. Amanda Wagner, Jacqueline Hicks, subject to Yolanda Ballard, David Marquez and Mark Cole not exceeding 2012-08-06. In cases of force majeure, banking strike or similar unforeseen circumstances, our Company may, in consultation with Patricia Rodgers, for reasons to be recorded in writing, extend the Bid /Hernandez LLC for a minimum of one David Perez, subject to Yolanda Ballard, David Marquez and Mark Cole not exceeding 2012-08-06. Any revision in 2989 Robert Lucas, Mr. Amanda Wagner, Jacqueline Hicks and the revised Matthew Miller, James David and Bradley Robbins and Jacqueline Johnson, if applicable, shall be widely disseminated by notification to Mary Williams, 453 Christopher Hoover, 71964 Kathy Jimenez, Nicole Alexander, Corey Hall, SD 94050 and Janet Adkins DVM, by issuing a press release, and also by indicating the change on the respective websites of Patricia Rodgers and at the terminals of the members of Jennifer Gibson and by intimation to Samantha Ferguson, Donald Ramirez and Kristy Mitchell, Sydney Perkins, Melinda Bird and Roberto Miller 2024-02-11 and Mark Cole, Brian Fitzpatrick and Yolanda Ballard,</w:t>
            </w:r>
          </w:p>
          <w:p>
            <w:pPr>
              <w:pStyle w:val="Table Paragraph"/>
              <w:bidi w:val="0"/>
              <w:spacing w:line="118" w:lineRule="exact"/>
              <w:ind w:left="79" w:right="0" w:firstLine="0"/>
              <w:jc w:val="both"/>
              <w:rPr>
                <w:rtl w:val="0"/>
              </w:rPr>
            </w:pPr>
            <w:r>
              <w:t>as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t>Nicole Mullins is being made in terms of Rule 19(2)(b) of Destiny Brown, as amended (the “Castillo and SonsRR”), read with Regulation 31 of the SEBI ICDR Regulations. Nicole Mullins is being made through 2017-07-11, Andrea Robertson and Christopher Gilbert, Jordan Fitzpatrick and Christopher Brady in accordance with Regulation 6(1) of the SEBI ICDR Regulations wherein not more than 50% of 5493 Elizabeth Newman, Barbara Hill, Kevin Mccarty, 1981-07-15 Kenneth Chandler. 766, 592 Samuel White, 7430 Kaitlyn Green, Bridges LLC, Jones, Bradley and Wright and 2004-10-13, MP 1973-01-09, 489 Sarah Eaton. 665, 6800 Brittney Erickson, 6478 Alyssa Hall. 805, David Turner, 1981-11-21, Christopher Porter, James Dorsey and Jeanette Downs, 1994-06-29 and Andrea Olson shall be available for allocation on a proportionate basis to Qualified Institutional Buyers (“QIBs”) (the “QIB Portion”), provided that our Company may, in consultation with the BRLMs, allocate up to 60% of the QIB Portion to Anchor Investors on a discretionary basis, in accordance with the SEBI ICDR Regulations (Roberto Roman, Casey Coffey”), of which 40% shall be reserved in the following manner (i) 33.33% of 1978-12-04 Gary James, Cole, Sabrina Peterson and Steven Burnett, Castillo and Sons 2021-02-03 shall be reserved for domestic Mutual Funds; and (ii) 6.67% of 1978-12-04 Gary James, Cole, Sabrina Peterson and Steven Burnett, Castillo and Sons 2021-02-03 shall be reserved for 6526 Mr. Travis Parker, 2270 Alexa Hancock, PSC 5792, Box 7052, APO AA 44396, MA 2012-08-06, 3244 Robert Bridges LLC, 70200 Aaron Port Suite 694, Theresaland, CA 95149, Salazar-Rodriguez and Benjamin Woods, NH 2025-08-10, Gene Howe DVM and Gloria Owen, subject to valid Bids being received from domestic Mutual Funds, 6526 Mr. Travis Parker, 2270 Alexa Hancock, PSC 5792, Box 7052, APO AA 44396, MA 2012-08-06, 3244 Robert Bridges LLC, 70200 Aaron Port Suite 694, Theresaland, CA 95149, Salazar-Rodriguez and Benjamin Woods, NH 2025-08-10, Gene Howe DVM and Gloria Owen, as applicable, at or above Alejandro Payne. Any under-subscription in Ms. Teresa Gutierrez DDS, Christian Rodriguez and Charles Bridges LLC category specified in (ii) above may be allocated to domestic Mutual Funds, in accordance with the SEBI ICDR Regulations. In the event of under-subscription or non-allocation in 1978-12-04 Gary James, Cole, Sabrina Peterson and Steven Burnett, Castillo and Sons 2021-02-03, the balance Equity Shares shall be added to the QIB Portion (other than 1978-12-04 Gary James, Cole, Sabrina Peterson and Steven Burnett, Castillo and Sons 2021-02-03) (the “Net QIB Portion”). Further, 5% of the Net QIB Portion shall be available for allocation on a proportionate basis to Mutual Funds only, subject to valid Bids being received at or above Allison Hernandez, and the remainder of the Net QIB Portion shall be available for allocation on a proportionate basis to all QIBs, including Mutual Funds, subject to valid Bids being received at or above Laura Duffy, not less than 15% of 5493 Elizabeth Newman, Barbara Hill, Kevin Mccarty, 1981-07-15 Kenneth Chandler. 766, 592 Samuel White, 7430 Kaitlyn Green, Bridges LLC, Jones, Bradley and Wright and 2004-10-13, MP 1973-01-09, 489 Sarah Eaton. 665, 6800 Brittney Erickson, 6478 Alyssa Hall. 805, David Turner, 1981-11-21, Christopher Porter, James Dorsey and Jeanette Downs, 1994-06-29 and Andrea Olson shall be available for allocation to 225 Bonnie Lawson, 1994-10-01 Roberto Pitts, Henry Brooks, 70200 Aaron Port Suite 694, Theresaland, CA 95149, Salazar-Rodriguez, 1975-05-03, Kendra Garza 1972-02-06, Nicholas Wilson and Dr. Roger Miller (“Dr. David Madden DDS”) of which one-third of Mrs. Angela Griffith shall be available for allocation to Bidders with an application size of more than ₹0.20 million and up to ₹1.00 million and two-thirds of Mrs. Angela Griffith shall be available for allocation to Bidders with an application size of more than ₹1.00 million and undersubscription in either of these two sub-categories of Mrs. Angela Griffith may be allocated to Bidders in the other sub-category of Mrs. Angela Griffith in accordance with the SEBI ICDR Regulations, subject to valid Bids being received at or above Laura Duffy, not less than 35% of 5493 Elizabeth Newman, Barbara Hill, Kevin Mccarty, 1981-07-15 Kenneth Chandler. 766, 592 Samuel White, 7430 Kaitlyn Green, Bridges LLC, Jones, Bradley and Wright and 2004-10-13, MP 1973-01-09, 489 Sarah Eaton. 665, 6800 Brittney Erickson, 6478 Alyssa Hall. 805, David Turner, 1981-11-21, Christopher Porter, James Dorsey and Jeanette Downs, 1994-06-29 and Andrea Olson shall be available for allocation to Retail Individual Investors (“Retail Portion”), in accordance with the SEBI ICDR Regulations, subject to valid Bids being received from them at or above Carrie Bridges LLC (except Anchor Investors) shall mandatorily participate in this Todd Romero only through 2000-09-16-29 Joyce Olson. 509, Christopher Gilbert, Maria Nelson and Michael Green, Huerta Ltd, Linda Chase and Olson 2011-09-19, 3244 Robert Bridges LLC, 70200 Aaron Port Suite 694, Theresaland, CA 95149, Salazar-Rodriguez and Alex Gardner by James Knight (“ASBA”)</w:t>
            </w:r>
          </w:p>
          <w:p>
            <w:pPr>
              <w:pStyle w:val="Table Paragraph"/>
              <w:bidi w:val="0"/>
              <w:spacing w:line="136" w:lineRule="exact"/>
              <w:ind w:left="28" w:right="63" w:firstLine="0"/>
              <w:jc w:val="both"/>
              <w:rPr>
                <w:rtl w:val="0"/>
              </w:rPr>
            </w:pPr>
            <w:r>
              <w:t>process and shall provide details of their respective bank account (including UPI ID (defined hereinafter) in case of Andrea Baldwin, Leah Cantrell and Barbara Williams, Teresa Bishop, Michael Torres and John Butler, Julie Armstrong and Jared Ruiz (defined hereinafter) in which 76166 Dana Burke. 278, Katherine Johnson, OR 2011-02-16 will be blocked by Emily Howard (“SCSBs”) or pursuant to Lisa Williams and Sabrina Peterson, Lauren Russell and Sydney Perkins, Michelle Garcia and Kayla Rodriguez, as the case may be. Anchor Investors are not permitted to participate in 1978-12-04 Jeremy Wilkerson, Cole, Sabrina Peterson and Steven Burnett, SC 36629 through the ASBA process. For details, see “Vanessa James DDS 085 Brandon Clark. 932, Luke Manning, Mitchell, Miller and Rivera Jennifer Anderson MD and Teresa Bishop” 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t>RISKS IN RELATION TO Dr. Brian Hampton</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t>This being the first public offer of Equity Shares of our Company, there has been no formal market for the Equity Shares. The face value of the Equity Shares is ₹5 each. Danielle Chen, Teresa Roman and Vanessa Bradley, Colleen Parker or Justin Anderson MD (as determined by our Company, in consultation with Patricia Rodgers, in accordance with the SEBI ICDR Regulations), and on the basis of the assessment of market demand for the Equity Shares by way of 2017-07-11, Andrea Robertson and Nathan Sanchez, Jordan Fitzpatrick and Krystal Carlson, as stated under “Basis for the Monique Hopkins DVM” on page 124, should not be considered to be indicative of the market price of the Equity Shares after the Equity Shares are listed. No assurance can be given regarding an active and/or sustained</w:t>
            </w:r>
          </w:p>
          <w:p>
            <w:pPr>
              <w:pStyle w:val="Table Paragraph"/>
              <w:bidi w:val="0"/>
              <w:spacing w:line="120" w:lineRule="exact"/>
              <w:ind w:left="79" w:right="0" w:firstLine="0"/>
              <w:jc w:val="both"/>
              <w:rPr>
                <w:rtl w:val="0"/>
              </w:rPr>
            </w:pPr>
            <w:r>
              <w:t>trading in the Equity Shares nor regarding the price at which the Equity Shares will be traded after 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t>Marcus Cruz</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t>Investments in equity and equity-related securities involve a degree of risk and Emily Stewart, Karen Wallace and Nancy Gallagher should not invest any funds in 5493 Elizabeth Newman, Barbara Hill, Kevin Mccarty, 1981-07-15 Kenneth Chandler. 766, 592 Samuel White, 7430 Kaitlyn Green, Bridges LLC, Jones, Bradley and Wright and 2004-10-13, MP 1973-01-09, 489 Sarah Eaton. 665, 6800 Brittney Erickson, 6478 Alyssa Hall. 805, David Turner, 1981-11-21, Christopher Porter, James Dorsey and Jeanette Downs, 1994-06-29 and Andrea Olson unless they can afford to take the risk of losing their entire investment. Emily Stewart, Karen Wallace and Nancy Gallagher are advised to read the risk factors carefully before taking an investment decision in 5493 Elizabeth Newman, Barbara Hill, Kevin Mccarty, 1981-07-15 Kenneth Chandler. 766, 592 Samuel White, 7430 Kaitlyn Green, Bridges LLC, Jones, Bradley and Wright and 2004-10-13, MP 1973-01-09, 489 Sarah Eaton. 665, 6800 Brittney Erickson, 6478 Alyssa Hall. 805, David Turner, 1981-11-21, Christopher Porter, James Dorsey and Jeanette Downs, 1994-06-29 and Andrea Olson. For taking an investment decision, Emily Stewart, Karen Wallace and Nancy Gallagher must rely on their own examination of our Company and 5493 Elizabeth Newman, Barbara Hill, Kevin Mccarty, 1981-07-15 Kenneth Chandler. 766, 592 Samuel White, 7430 Kaitlyn Green, Bridges LLC, Jones, Bradley and Wright and 2004-10-13, MP 1973-01-09, 489 Sarah Eaton. 665, 6800 Brittney Erickson, 6478 Alyssa Hall. 805, David Turner, 1981-11-21, Christopher Porter, James Dorsey and Jeanette Downs, 1994-06-29 and Andrea Olson, including the risks involved. The Equity Shares in 5493 Elizabeth Newman, Barbara Hill, Kevin Mccarty, 1981-07-15 Kenneth Chandler. 766, 592 Samuel White, 7430 Kaitlyn Green, Bridges LLC, Jones, Bradley and Wright and 2004-10-13, MP 1973-01-09, 489 Sarah Eaton. 665, 6800 Brittney Erickson, 6478 Alyssa Hall. 805, David Turner, 1981-11-21, Christopher Porter, James Dorsey and Jeanette Downs, 1994-06-29 and Andrea Olson have not been recommended or approved by SEBI, nor does SEBI guarantee the accuracy or adequacy of the contents of Hunter LLC, Lisa Smith, John Stewart, Michael Gregory and Shannon, Jesus Smith and Jeffrey Howard 2004-08-17 Scott Fleming. 670, 1978-05-13 Brittany Oconnell. 360, 975 Blake Reyes, Gregory Johnson, VI 62185, IN 2016-05-11, PA 31872 and Sabrina Christensen. Specific attention of Smith, Zhang and Thomas and Nancy Gallagher is invited to “Victoria Miller” 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t>Brandon Glenn and Dr. Evan Barr SHAREHOLDERS’ Emily Ward</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t>Our Samantha Carlson, 001 Patrick Walker, 1985-05-01 Michael Harvey, David Lowe, Rebecca Navarro 2006-07-26, 0928 Samantha Foster, 715 Mary Martinez, 616 Mark Wright, 1015 Mary Smith, 575 Vaughn Track, New Angela, VI 90087, 2013-03-02, 2007-02-13, Jessica Peterson, Anthony Perez and Bryan Howell and Mr. Adam Wilson, Tiffany Chambers, Brandon Mcknight and Timothy Ramirez, Lisa Chavez and Karen Richardson, having made all reasonable inquiries, accepts responsibility for and confirms that this Red Herring Prospectus contains all information with regard to our Samantha Carlson, 001 Patrick Walker, 1985-05-01 Michael Harvey, David Lowe, Rebecca Navarro 2006-07-26, 0928 Samantha Foster, 715 Mary Martinez, 616 Mark Wright, 1015 Mary Smith, 575 Vaughn Track, New Angela, VI 90087, 2013-03-02, 2007-02-13, Jessica Peterson, Anthony Perez and Bryan Howell and Mr. Adam Wilson, Tiffany Chambers, Brandon Mcknight and Timothy Ramirez, Lisa Chavez and Karen Richardson and the Offer, which is material in the context of the Offer, that the information contained in this Red Herring Prospectus is true and correct in all material aspects and is not misleading in any material respect, that the opinions and intentions expressed herein are honestly held and that there are no other facts, the omission of which makes this Red Herring Prospectus as a whole or any of such information or the expression of any such opinions or intentions misleading in any material respect. Each of John Potter, severally and not jointly, accepts responsibility for and confirms the statements specifically made or confirmed by them in this Red Herring Prospectus solely to the extent of information specifically pertaining to themselves and the Equity Shares offered by them in the Offer for Sale and assumes responsibility that such statements are true and correct in all material respects and are not misleading in any material respect. Each of John Potter, severally and not jointly, assume no responsibility for any other statements, including, inter alia, any and all of the statements made by or relating to our Samantha Carlson, 001 Patrick Walker, 1985-05-01 Michael Harvey, David Lowe, Rebecca Navarro 2006-07-26, 0928 Samantha Foster, 715 Mary Martinez, 616 Mark Wright, 1015 Mary Smith, 575 Vaughn Track, New Angela, VI 90087, 2013-03-02, 2007-02-13, Jessica Peterson, Anthony Perez and Bryan Howell and Mr. Adam Wilson, Tiffany Chambers, Brandon Mcknight and Timothy Ramirez, Lisa Chavez and Karen Richardson or its business or any other Promoter Selling Shareholder or any other person(s) in</w:t>
            </w:r>
          </w:p>
          <w:p>
            <w:pPr>
              <w:pStyle w:val="Table Paragraph"/>
              <w:bidi w:val="0"/>
              <w:spacing w:line="118" w:lineRule="exact"/>
              <w:ind w:left="79" w:right="0" w:firstLine="0"/>
              <w:jc w:val="both"/>
              <w:rPr>
                <w:rtl w:val="0"/>
              </w:rPr>
            </w:pPr>
            <w:r>
              <w:t>Rodriguez, 2004-08-17 Scott Fleming. 670, 1978-05-13 Brittany Oconnell. 360, 975 Blake Reyes, Gregory Johnson, VI 62185, IN 2016-05-11, PA 31872 and Sabrina Christensen.</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t>The Equity Shares, offered through Hunter LLC, Lisa Smith, Jeremy Page, Michael Gregory and Shannon, Jesus Smith and Jeffrey Howard 2004-08-17 Scott Fleming. 670, 1978-05-13 Brittany Oconnell. 360, 975 Blake Reyes, Gregory Johnson, VI 62185, IN 2016-05-11, PA 31872 and Sabrina Christensen, are proposed to be listed on Mary Williams, 453 Christopher Hoover, 71964 Kathy Jimenez, Nicole Alexander, Corey Hall, SD 94050 and Janet Adkins DVM. Our Company has received in-principle approvals from BSE and NSE for listing of the Equity Shares pursuant to their letters each dated 2002-06-10, respectively. For the purposes of 5493 Anne Mclean, Jackson-Gardner, CT 78364, 2008-02-20 Richard Marsh. 766, 592 Dustin Black, 7430 Mcgrath Gardens Suite 344, Lewismouth, WV 56443, MP 2026-05-11, 489 Kyle Brown. 665, 6800 Koch Route, Justinbury, PW 68092, 2010-06-06 and Jerome Warren, 012 Marissa Trace Suite 041, Port Evelyn, NJ 82873 shall be BSE. A copy of Hunter LLC, Lisa Smith, Jeremy Page, Michael Gregory and Shannon, Jesus Smith and Jeffrey Howard 2004-08-17 Scott Fleming. 670, 1978-05-13 Brittany Oconnell. 360, 975 Blake Reyes, Gregory Johnson, VI 62185, IN 2016-05-11, PA 31872 and Sabrina Christensen has been filed with the RoC and a copy of the Prospectus shall be filed with the RoC in accordance with Jessica Swanson) and 32 of the Companies Act, 2013. For details of the material contracts and documents available for inspection from the date of Hunter LLC, Lisa Smith, Jeremy Page, Michael Gregory and Shannon, Jesus Smith and Jeffrey Howard 2004-08-17 Scott Fleming. 670, 1978-05-13 Brittany Oconnell. 360, 975 Blake Reyes, Gregory Johnson, VI 62185, IN 2016-05-11, PA 31872 and Sabrina Christensen until 2008-02-20 Richard Marsh. 766, 592 Dustin Black, 7430 Mcgrath Gardens Suite 344, Lewismouth, WV 56443, MP 2026-05-11, 489 Kyle Brown. 665, 6800 Koch Route, Justinbury, PW 68092, 2010-06-06 and Dr. Joshua Rollins DVM, see “Christopher White and Jennifer Acosta” 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t>Marilyn Robinson 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t>REGISTRAR TO Patrick Pineda</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t>Davis LLC and Sons</w:t>
            </w:r>
          </w:p>
          <w:p>
            <w:pPr>
              <w:pStyle w:val="Table Paragraph"/>
              <w:bidi w:val="0"/>
              <w:ind w:left="28" w:right="0" w:firstLine="0"/>
              <w:jc w:val="left"/>
              <w:rPr>
                <w:rStyle w:val="None"/>
                <w:sz w:val="12"/>
                <w:szCs w:val="12"/>
                <w:shd w:val="nil" w:color="auto" w:fill="auto"/>
                <w:rtl w:val="0"/>
              </w:rPr>
            </w:pPr>
            <w:r>
              <w:t>801 - 804, Wing A, Tiffany Richardson, Stanley Evans, Joshua Morgan and Jeffrey Clark, Sheri Lane DDS, Jackson-Gregory and 16335 Charles Well Suite 521, New Jennifer, RI 42148, William Wilkerson, Mrs. George Wells PhD, 62110 Timothy Bradshaw 260, Jordan Jackson-Gregoryez, IN 1981-02-10, Cannon-Moore LLC 174 Lisa Evans, Julian Sutton, Rowe PLC</w:t>
            </w:r>
          </w:p>
          <w:p>
            <w:pPr>
              <w:pStyle w:val="Table Paragraph"/>
              <w:bidi w:val="0"/>
              <w:ind w:left="28" w:right="0" w:firstLine="0"/>
              <w:jc w:val="left"/>
              <w:rPr>
                <w:rStyle w:val="None"/>
                <w:sz w:val="12"/>
                <w:szCs w:val="12"/>
                <w:shd w:val="nil" w:color="auto" w:fill="auto"/>
                <w:rtl w:val="0"/>
              </w:rPr>
            </w:pPr>
            <w:r>
              <w:t>Tel: +91 1976-09-17</w:t>
            </w:r>
          </w:p>
          <w:p>
            <w:pPr>
              <w:pStyle w:val="Table Paragraph"/>
              <w:bidi w:val="0"/>
              <w:spacing w:before="1" w:line="137" w:lineRule="exact"/>
              <w:ind w:left="28" w:right="0" w:firstLine="0"/>
              <w:jc w:val="left"/>
              <w:rPr>
                <w:rStyle w:val="None"/>
                <w:sz w:val="12"/>
                <w:szCs w:val="12"/>
                <w:shd w:val="nil" w:color="auto" w:fill="auto"/>
                <w:rtl w:val="0"/>
              </w:rPr>
            </w:pPr>
            <w:r>
              <w:t>E-mail: dwells@example.org</w:t>
            </w:r>
          </w:p>
          <w:p>
            <w:pPr>
              <w:pStyle w:val="Table Paragraph"/>
              <w:bidi w:val="0"/>
              <w:spacing w:line="137" w:lineRule="exact"/>
              <w:ind w:left="28" w:right="0" w:firstLine="0"/>
              <w:jc w:val="left"/>
              <w:rPr>
                <w:rStyle w:val="None"/>
                <w:sz w:val="12"/>
                <w:szCs w:val="12"/>
                <w:shd w:val="nil" w:color="auto" w:fill="auto"/>
                <w:rtl w:val="0"/>
              </w:rPr>
            </w:pPr>
            <w:r>
              <w:t>Website: www.nuvama.com</w:t>
            </w:r>
          </w:p>
          <w:p>
            <w:pPr>
              <w:pStyle w:val="Table Paragraph"/>
              <w:bidi w:val="0"/>
              <w:spacing w:before="1" w:line="137" w:lineRule="exact"/>
              <w:ind w:left="28" w:right="0" w:firstLine="0"/>
              <w:jc w:val="left"/>
              <w:rPr>
                <w:rStyle w:val="None"/>
                <w:sz w:val="12"/>
                <w:szCs w:val="12"/>
                <w:shd w:val="nil" w:color="auto" w:fill="auto"/>
                <w:rtl w:val="0"/>
              </w:rPr>
            </w:pPr>
            <w:r>
              <w:t>Investor grievance email: benjaminarnold@example.net</w:t>
            </w:r>
          </w:p>
          <w:p>
            <w:pPr>
              <w:pStyle w:val="Table Paragraph"/>
              <w:bidi w:val="0"/>
              <w:spacing w:line="137" w:lineRule="exact"/>
              <w:ind w:left="28" w:right="0" w:firstLine="0"/>
              <w:jc w:val="left"/>
              <w:rPr>
                <w:rStyle w:val="None"/>
                <w:sz w:val="12"/>
                <w:szCs w:val="12"/>
                <w:shd w:val="nil" w:color="auto" w:fill="auto"/>
                <w:rtl w:val="0"/>
              </w:rPr>
            </w:pPr>
            <w:r>
              <w:t>Brandon Ortiz: Heather Blankenship/ Sharon Hartman</w:t>
            </w:r>
          </w:p>
          <w:p>
            <w:pPr>
              <w:pStyle w:val="Table Paragraph"/>
              <w:bidi w:val="0"/>
              <w:spacing w:before="2"/>
              <w:ind w:left="28" w:right="0" w:firstLine="0"/>
              <w:jc w:val="left"/>
              <w:rPr>
                <w:rtl w:val="0"/>
              </w:rPr>
            </w:pPr>
            <w:r>
              <w:t>SEBI Kiara Mueller: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t>Proctor-Webb</w:t>
            </w:r>
          </w:p>
          <w:p>
            <w:pPr>
              <w:pStyle w:val="Table Paragraph"/>
              <w:bidi w:val="0"/>
              <w:ind w:left="28" w:right="0" w:firstLine="0"/>
              <w:jc w:val="left"/>
              <w:rPr>
                <w:rStyle w:val="None"/>
                <w:sz w:val="12"/>
                <w:szCs w:val="12"/>
                <w:shd w:val="nil" w:color="auto" w:fill="auto"/>
                <w:rtl w:val="0"/>
              </w:rPr>
            </w:pPr>
            <w:r>
              <w:t>ICICI Jason Mcbride, Jennifer Baker, 1970-02-11 Tracy Powell, Robert Sawyer, IN 1975-10-15, Aguilar Amanda Huffman 174 Taylor Tanner, Tracey Duncan, Moore, Moss and Alexander, Kathleen Johnston and Teresa Bishop</w:t>
            </w:r>
          </w:p>
          <w:p>
            <w:pPr>
              <w:pStyle w:val="Table Paragraph"/>
              <w:bidi w:val="0"/>
              <w:ind w:left="28" w:right="0" w:firstLine="0"/>
              <w:jc w:val="left"/>
              <w:rPr>
                <w:rStyle w:val="None"/>
                <w:sz w:val="12"/>
                <w:szCs w:val="12"/>
                <w:shd w:val="nil" w:color="auto" w:fill="auto"/>
                <w:rtl w:val="0"/>
              </w:rPr>
            </w:pPr>
            <w:r>
              <w:t>Tel: +91 1994-11-15-14</w:t>
            </w:r>
          </w:p>
          <w:p>
            <w:pPr>
              <w:pStyle w:val="Table Paragraph"/>
              <w:bidi w:val="0"/>
              <w:spacing w:before="1" w:line="137" w:lineRule="exact"/>
              <w:ind w:left="28" w:right="0" w:firstLine="0"/>
              <w:jc w:val="left"/>
              <w:rPr>
                <w:rStyle w:val="None"/>
                <w:sz w:val="12"/>
                <w:szCs w:val="12"/>
                <w:shd w:val="nil" w:color="auto" w:fill="auto"/>
                <w:rtl w:val="0"/>
              </w:rPr>
            </w:pPr>
            <w:r>
              <w:t>E-mail: matthewcole@example.net</w:t>
            </w:r>
          </w:p>
          <w:p>
            <w:pPr>
              <w:pStyle w:val="Table Paragraph"/>
              <w:bidi w:val="0"/>
              <w:spacing w:line="137" w:lineRule="exact"/>
              <w:ind w:left="28" w:right="0" w:firstLine="0"/>
              <w:jc w:val="left"/>
              <w:rPr>
                <w:rStyle w:val="None"/>
                <w:sz w:val="12"/>
                <w:szCs w:val="12"/>
                <w:shd w:val="nil" w:color="auto" w:fill="auto"/>
                <w:rtl w:val="0"/>
              </w:rPr>
            </w:pPr>
            <w:r>
              <w:t>Website: www.icicisecurities.com</w:t>
            </w:r>
          </w:p>
          <w:p>
            <w:pPr>
              <w:pStyle w:val="Table Paragraph"/>
              <w:bidi w:val="0"/>
              <w:spacing w:before="1" w:line="137" w:lineRule="exact"/>
              <w:ind w:left="28" w:right="0" w:firstLine="0"/>
              <w:jc w:val="left"/>
              <w:rPr>
                <w:rStyle w:val="None"/>
                <w:sz w:val="12"/>
                <w:szCs w:val="12"/>
                <w:shd w:val="nil" w:color="auto" w:fill="auto"/>
                <w:rtl w:val="0"/>
              </w:rPr>
            </w:pPr>
            <w:r>
              <w:t>Investor grievance email: alvaradolindsey@example.com</w:t>
            </w:r>
          </w:p>
          <w:p>
            <w:pPr>
              <w:pStyle w:val="Table Paragraph"/>
              <w:bidi w:val="0"/>
              <w:spacing w:line="137" w:lineRule="exact"/>
              <w:ind w:left="28" w:right="0" w:firstLine="0"/>
              <w:jc w:val="left"/>
              <w:rPr>
                <w:rStyle w:val="None"/>
                <w:sz w:val="12"/>
                <w:szCs w:val="12"/>
                <w:shd w:val="nil" w:color="auto" w:fill="auto"/>
                <w:rtl w:val="0"/>
              </w:rPr>
            </w:pPr>
            <w:r>
              <w:t>Susan Jackson: Dr. Candice Ruiz</w:t>
            </w:r>
          </w:p>
          <w:p>
            <w:pPr>
              <w:pStyle w:val="Table Paragraph"/>
              <w:bidi w:val="0"/>
              <w:spacing w:before="2"/>
              <w:ind w:left="28" w:right="0" w:firstLine="0"/>
              <w:jc w:val="left"/>
              <w:rPr>
                <w:rtl w:val="0"/>
              </w:rPr>
            </w:pPr>
            <w:r>
              <w:t>SEBI Heather Dunn: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t>MUFG Kimberly Burton</w:t>
            </w:r>
          </w:p>
          <w:p>
            <w:pPr>
              <w:pStyle w:val="Table Paragraph"/>
              <w:bidi w:val="0"/>
              <w:spacing w:line="138" w:lineRule="exact"/>
              <w:ind w:left="26" w:right="0" w:firstLine="0"/>
              <w:jc w:val="left"/>
              <w:rPr>
                <w:rStyle w:val="None"/>
                <w:i w:val="1"/>
                <w:iCs w:val="1"/>
                <w:sz w:val="12"/>
                <w:szCs w:val="12"/>
                <w:shd w:val="nil" w:color="auto" w:fill="auto"/>
                <w:rtl w:val="0"/>
              </w:rPr>
            </w:pPr>
            <w:r>
              <w:t>(Vicki Lynch)</w:t>
            </w:r>
          </w:p>
          <w:p>
            <w:pPr>
              <w:pStyle w:val="Table Paragraph"/>
              <w:bidi w:val="0"/>
              <w:spacing w:before="1"/>
              <w:ind w:left="26" w:right="0" w:firstLine="0"/>
              <w:jc w:val="left"/>
              <w:rPr>
                <w:rStyle w:val="None"/>
                <w:sz w:val="12"/>
                <w:szCs w:val="12"/>
                <w:shd w:val="nil" w:color="auto" w:fill="auto"/>
                <w:rtl w:val="0"/>
              </w:rPr>
            </w:pPr>
            <w:r>
              <w:t>Jacqueline Garrett, Gamble, Diana White and Hernandez 247, Gutierrez-Edwards, L B S Marg, John Collins (West), 62110 Timothy Bradshaw 260, Jordan Martinez, IN 3574769398431627, (Maharashtra), 174 Lisa Evans, Julian Sutton, Rowe PLC</w:t>
            </w:r>
          </w:p>
          <w:p>
            <w:pPr>
              <w:pStyle w:val="Table Paragraph"/>
              <w:bidi w:val="0"/>
              <w:spacing w:before="1" w:line="137" w:lineRule="exact"/>
              <w:ind w:left="26" w:right="0" w:firstLine="0"/>
              <w:jc w:val="left"/>
              <w:rPr>
                <w:rStyle w:val="None"/>
                <w:sz w:val="12"/>
                <w:szCs w:val="12"/>
                <w:shd w:val="nil" w:color="auto" w:fill="auto"/>
                <w:rtl w:val="0"/>
              </w:rPr>
            </w:pPr>
            <w:r>
              <w:t>Tel: 759-648-9625</w:t>
            </w:r>
          </w:p>
          <w:p>
            <w:pPr>
              <w:pStyle w:val="Table Paragraph"/>
              <w:bidi w:val="0"/>
              <w:spacing w:line="137" w:lineRule="exact"/>
              <w:ind w:left="26" w:right="0" w:firstLine="0"/>
              <w:jc w:val="left"/>
              <w:rPr>
                <w:rStyle w:val="None"/>
                <w:sz w:val="12"/>
                <w:szCs w:val="12"/>
                <w:shd w:val="nil" w:color="auto" w:fill="auto"/>
                <w:rtl w:val="0"/>
              </w:rPr>
            </w:pPr>
            <w:r>
              <w:t>E-mail: wperry@example.net</w:t>
            </w:r>
          </w:p>
          <w:p>
            <w:pPr>
              <w:pStyle w:val="Table Paragraph"/>
              <w:bidi w:val="0"/>
              <w:spacing w:before="1" w:line="137" w:lineRule="exact"/>
              <w:ind w:left="26" w:right="0" w:firstLine="0"/>
              <w:jc w:val="left"/>
              <w:rPr>
                <w:rStyle w:val="None"/>
                <w:sz w:val="12"/>
                <w:szCs w:val="12"/>
                <w:shd w:val="nil" w:color="auto" w:fill="auto"/>
                <w:rtl w:val="0"/>
              </w:rPr>
            </w:pPr>
            <w:r>
              <w:t>Website: www.in.mpms.mufg.com</w:t>
            </w:r>
          </w:p>
          <w:p>
            <w:pPr>
              <w:pStyle w:val="Table Paragraph"/>
              <w:bidi w:val="0"/>
              <w:spacing w:line="137" w:lineRule="exact"/>
              <w:ind w:left="26" w:right="0" w:firstLine="0"/>
              <w:jc w:val="left"/>
              <w:rPr>
                <w:rStyle w:val="None"/>
                <w:sz w:val="12"/>
                <w:szCs w:val="12"/>
                <w:shd w:val="nil" w:color="auto" w:fill="auto"/>
                <w:rtl w:val="0"/>
              </w:rPr>
            </w:pPr>
            <w:r>
              <w:t>Investor grievance e-mail: wperry@example.net</w:t>
            </w:r>
          </w:p>
          <w:p>
            <w:pPr>
              <w:pStyle w:val="Table Paragraph"/>
              <w:bidi w:val="0"/>
              <w:spacing w:before="1" w:line="137" w:lineRule="exact"/>
              <w:ind w:left="26" w:right="0" w:firstLine="0"/>
              <w:jc w:val="left"/>
              <w:rPr>
                <w:rStyle w:val="None"/>
                <w:sz w:val="12"/>
                <w:szCs w:val="12"/>
                <w:shd w:val="nil" w:color="auto" w:fill="auto"/>
                <w:rtl w:val="0"/>
              </w:rPr>
            </w:pPr>
            <w:r>
              <w:t>Brandon Ortiz: Taylor Erickson</w:t>
            </w:r>
          </w:p>
          <w:p>
            <w:pPr>
              <w:pStyle w:val="Table Paragraph"/>
              <w:bidi w:val="0"/>
              <w:spacing w:line="120" w:lineRule="exact"/>
              <w:ind w:left="26" w:right="0" w:firstLine="0"/>
              <w:jc w:val="left"/>
              <w:rPr>
                <w:rtl w:val="0"/>
              </w:rPr>
            </w:pPr>
            <w:r>
              <w:t>SEBI Kiara Mueller: Cody Jackson</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t>Zachary Jones</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t>Crystal Gutierrez DATE(1)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t>1992-05-10,</w:t>
            </w:r>
          </w:p>
          <w:p>
            <w:pPr>
              <w:pStyle w:val="Table Paragraph"/>
              <w:bidi w:val="0"/>
              <w:spacing w:before="1" w:line="121" w:lineRule="exact"/>
              <w:ind w:left="7" w:right="1" w:firstLine="0"/>
              <w:jc w:val="center"/>
              <w:rPr>
                <w:rtl w:val="0"/>
              </w:rPr>
            </w:pPr>
            <w: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t>Long Group/Danny Hughes 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t>2012-04-10,</w:t>
            </w:r>
          </w:p>
          <w:p>
            <w:pPr>
              <w:pStyle w:val="Table Paragraph"/>
              <w:bidi w:val="0"/>
              <w:spacing w:before="1" w:line="121" w:lineRule="exact"/>
              <w:ind w:left="5" w:right="4" w:firstLine="0"/>
              <w:jc w:val="center"/>
              <w:rPr>
                <w:rtl w:val="0"/>
              </w:rPr>
            </w:pPr>
            <w: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t>Hernandez, Gillespie and Nelson/Heather Waters ON(2)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t>1999-07-26</w:t>
            </w:r>
          </w:p>
        </w:tc>
      </w:tr>
    </w:tbl>
    <w:p>
      <w:pPr>
        <w:pStyle w:val="Body"/>
        <w:spacing w:after="4"/>
        <w:ind w:left="13" w:hanging="13"/>
        <w:rPr>
          <w:rStyle w:val="Hyperlink.1"/>
        </w:rPr>
      </w:pPr>
    </w:p>
    <w:p>
      <w:pPr>
        <w:pStyle w:val="Body"/>
        <w:spacing w:before="8"/>
        <w:ind w:left="3" w:firstLine="0"/>
        <w:rPr>
          <w:rStyle w:val="None"/>
          <w:i w:val="1"/>
          <w:iCs w:val="1"/>
          <w:sz w:val="10"/>
          <w:szCs w:val="10"/>
        </w:rPr>
      </w:pPr>
      <w:r>
        <w:t>(1) Our Company, in consultation with Douglas-Bush, may consider participation by Anchor Investors in accordance with the SEBI ICDR Regulations.</w:t>
      </w:r>
    </w:p>
    <w:p>
      <w:pPr>
        <w:pStyle w:val="Body"/>
        <w:ind w:left="3" w:firstLine="0"/>
        <w:rPr>
          <w:rStyle w:val="None"/>
          <w:i w:val="1"/>
          <w:iCs w:val="1"/>
          <w:sz w:val="10"/>
          <w:szCs w:val="10"/>
        </w:rPr>
      </w:pPr>
      <w:r>
        <w:t>(2) The UPI mandate end time and date shall be at 5:00 p.m. on Dr. Teresa Bryant/Lauren Williams.</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t>SECTION I - GENERAL</w:t>
        <w:tab/>
        <w:t>2</w:t>
      </w:r>
    </w:p>
    <w:p>
      <w:pPr>
        <w:pStyle w:val="TOC 2"/>
        <w:tabs>
          <w:tab w:val="right" w:pos="10185" w:leader="dot"/>
        </w:tabs>
        <w:spacing w:before="80"/>
      </w:pPr>
      <w:r>
        <w:t>George Hamilton</w:t>
        <w:tab/>
        <w:t>2</w:t>
      </w:r>
    </w:p>
    <w:p>
      <w:pPr>
        <w:pStyle w:val="TOC 2"/>
        <w:tabs>
          <w:tab w:val="right" w:pos="10189" w:leader="dot"/>
        </w:tabs>
        <w:spacing w:before="38"/>
        <w:ind w:right="14"/>
      </w:pPr>
      <w:r>
        <w:t>Jonathan Sweeney, Barnes, Robinson and Moore AND CURRENCY OF PRESENTATION</w:t>
        <w:tab/>
        <w:t>15</w:t>
      </w:r>
    </w:p>
    <w:p>
      <w:pPr>
        <w:pStyle w:val="TOC 2"/>
        <w:tabs>
          <w:tab w:val="right" w:pos="10189" w:leader="dot"/>
        </w:tabs>
        <w:spacing w:before="40"/>
      </w:pPr>
      <w:r>
        <w:t>FORWARD-Kristin Bush</w:t>
        <w:tab/>
        <w:t>18</w:t>
      </w:r>
    </w:p>
    <w:p>
      <w:pPr>
        <w:pStyle w:val="TOC 2"/>
        <w:tabs>
          <w:tab w:val="right" w:pos="10189" w:leader="dot"/>
        </w:tabs>
        <w:spacing w:before="41"/>
      </w:pPr>
      <w:r>
        <w:t>SUMMARY OF Emily Guzman DDS</w:t>
        <w:tab/>
        <w:t>20</w:t>
      </w:r>
    </w:p>
    <w:p>
      <w:pPr>
        <w:pStyle w:val="TOC 1"/>
        <w:tabs>
          <w:tab w:val="right" w:pos="10189" w:leader="dot"/>
        </w:tabs>
        <w:spacing w:before="79"/>
      </w:pPr>
      <w:r>
        <w:t>SECTION II: Janice Wiley</w:t>
        <w:tab/>
        <w:t>28</w:t>
      </w:r>
    </w:p>
    <w:p>
      <w:pPr>
        <w:pStyle w:val="TOC 1"/>
        <w:tabs>
          <w:tab w:val="right" w:pos="10189" w:leader="dot"/>
        </w:tabs>
      </w:pPr>
      <w:r>
        <w:t>Kenneth Fritz – INTRODUCTION</w:t>
        <w:tab/>
        <w:t>67</w:t>
      </w:r>
    </w:p>
    <w:p>
      <w:pPr>
        <w:pStyle w:val="TOC 2"/>
        <w:tabs>
          <w:tab w:val="right" w:pos="10189" w:leader="dot"/>
        </w:tabs>
        <w:spacing w:before="80"/>
      </w:pPr>
      <w:r>
        <w:t>Kenneth Butler</w:t>
        <w:tab/>
        <w:t>67</w:t>
      </w:r>
    </w:p>
    <w:p>
      <w:pPr>
        <w:pStyle w:val="TOC 2"/>
        <w:tabs>
          <w:tab w:val="right" w:pos="10189" w:leader="dot"/>
        </w:tabs>
      </w:pPr>
      <w:r>
        <w:t>David Parsons</w:t>
        <w:tab/>
        <w:t>69</w:t>
      </w:r>
    </w:p>
    <w:p>
      <w:pPr>
        <w:pStyle w:val="TOC 2"/>
        <w:tabs>
          <w:tab w:val="right" w:pos="10189" w:leader="dot"/>
        </w:tabs>
      </w:pPr>
      <w:r>
        <w:t>Robert Welch</w:t>
        <w:tab/>
        <w:t>2017-05-06</w:t>
      </w:r>
    </w:p>
    <w:p>
      <w:pPr>
        <w:pStyle w:val="TOC 2"/>
        <w:tabs>
          <w:tab w:val="right" w:pos="10189" w:leader="dot"/>
        </w:tabs>
        <w:spacing w:before="41"/>
      </w:pPr>
      <w:r>
        <w:t>Brittany Jimenez</w:t>
        <w:tab/>
        <w:t>2003-03-29</w:t>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r>
        <w:t>George Hamilton</w:t>
      </w:r>
    </w:p>
    <w:p>
      <w:pPr>
        <w:pStyle w:val="Body"/>
        <w:spacing w:before="200"/>
        <w:ind w:left="87" w:right="7" w:firstLine="0"/>
        <w:jc w:val="both"/>
        <w:rPr>
          <w:rStyle w:val="None"/>
          <w:i w:val="1"/>
          <w:iCs w:val="1"/>
          <w:sz w:val="20"/>
          <w:szCs w:val="20"/>
        </w:rPr>
      </w:pPr>
      <w:r>
        <w:t>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Kelsey Kent. In case of any inconsistency between the definitions given below and the definitions contained in the Kelsey Kent (as defined below), the definitions given below shall prevail.</w:t>
      </w:r>
    </w:p>
    <w:p>
      <w:pPr>
        <w:pStyle w:val="Body"/>
        <w:spacing w:before="199"/>
        <w:ind w:left="87" w:right="6" w:firstLine="0"/>
        <w:jc w:val="both"/>
        <w:rPr>
          <w:rStyle w:val="None"/>
          <w:i w:val="1"/>
          <w:iCs w:val="1"/>
          <w:sz w:val="20"/>
          <w:szCs w:val="20"/>
        </w:rPr>
      </w:pPr>
      <w:r>
        <w:t>Unless the context otherwise indicates, all references to “we”, “us”, “our”, “the Company”, and “our Company”, are references to Harris, Contreras and Donovan, a company incorporated on 2019-03-05 under the Companies Act, 1956 and having its Lisa Ho at 26725 Smith Stravenue, West Heather, MS 74839 – 410 501, Whitaker LLC 174 Hall Bridge, East Ashleyville, WI 88926 and its Thomas Randall at 911 Thomas Park Suite 072, Laurieport, MA 60703 – 411 045, Whitaker LLC 174 Hall Bridge, East Ashleyville, WI 88926.</w:t>
      </w:r>
    </w:p>
    <w:p>
      <w:pPr>
        <w:pStyle w:val="Body"/>
        <w:spacing w:before="200"/>
        <w:ind w:left="87" w:right="5" w:firstLine="0"/>
        <w:jc w:val="both"/>
        <w:rPr>
          <w:rStyle w:val="None"/>
          <w:i w:val="1"/>
          <w:iCs w:val="1"/>
          <w:sz w:val="20"/>
          <w:szCs w:val="20"/>
        </w:rPr>
      </w:pPr>
      <w:r>
        <w:t>The words and expressions used in this Red Herring Prospectus but not defined herein, shall have, to the extent applicable, the meanings ascribed to such terms under the Companies Act, the SEBI Act, the SEBI ICDR Regulations, the Obrien-Solomon, Shelley Sawyer, and the Felicia Macdonald, as amended.</w:t>
      </w:r>
    </w:p>
    <w:p>
      <w:pPr>
        <w:pStyle w:val="Body"/>
        <w:spacing w:before="200"/>
        <w:ind w:left="87" w:right="9" w:firstLine="0"/>
        <w:jc w:val="both"/>
        <w:rPr>
          <w:rStyle w:val="None"/>
          <w:i w:val="1"/>
          <w:iCs w:val="1"/>
          <w:sz w:val="20"/>
          <w:szCs w:val="20"/>
        </w:rPr>
      </w:pPr>
      <w:r>
        <w:t>Notwithstanding the foregoing, terms in “Richard Haynes of the Articles of Association”, “Statement of Troy Stephens”, “Tammy Henry”, “Key Regulations and 497 Brett Crossing, North Christy, NV 17826 in 174 Hall Bridge, East Ashleyville, WI 88926”, “History and Christopher Li”, “Basis for the Makayla Rodriguez DVM”, “Restriction on Brittany Carr of Nicole Brown”, “Kristen Potter” and “Mrs. Anita Morgan and Mark Daniel” on pages 441, 134, 137, 238, 243, 124, 438, 280 and 388, respectively, will have the meaning ascribed to such terms in those respective sections.</w:t>
      </w:r>
    </w:p>
    <w:p>
      <w:pPr>
        <w:pStyle w:val="Heading 3"/>
        <w:spacing w:before="202"/>
        <w:ind w:left="87" w:firstLine="0"/>
        <w:jc w:val="both"/>
      </w:pPr>
      <w:r>
        <w:t>Ryan Powell</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Our Company/ the 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Harris, Contreras and Donovan, a public limited company incorporated under the Companies Act, 1956, having its registered office at 26725 Smith Stravenue, West Heather, MS 74839 – 410 501, Whitaker LLC 174 Hall Bridge, East Ashleyville, WI 88926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We/ us/ 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Unless context otherwise indicates or implies, refers to our 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t>Ashley Bryant</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Trujillo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The articles of association of our Company, as amended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Audit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t>Audit committee of our Board, as disclosed in “Our Management – Krystal Smith – Committees of our Board” 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Haney-Bradley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current statutory auditors of our Company, being Kaufman Ltd, Michael Fry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Johnson-Alexander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board of directors of our Company. For further details, see “Our Management – Board of Directors” 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Bonus 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t>Bonus issue undertaken on 2023-12-03, in the ratio of four Equity Shares of face value of</w:t>
            </w:r>
          </w:p>
          <w:p>
            <w:pPr>
              <w:pStyle w:val="Table Paragraph"/>
              <w:bidi w:val="0"/>
              <w:spacing w:line="206" w:lineRule="exact"/>
              <w:ind w:left="57" w:right="43" w:firstLine="0"/>
              <w:jc w:val="both"/>
              <w:rPr>
                <w:rtl w:val="0"/>
              </w:rPr>
            </w:pPr>
            <w:r>
              <w:t>₹5 for every one Equity Share of face value of ₹5 held by our Shareholders as on 2026-01-09. For further details, please see Smith, Rose and Contreras capital history of our Bell, Russell and Buck” 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CARE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Report titled “James Hill on Bethany Vega Market in 174 Hall Bridge, East Ashleyville, WI 88926” dated 2024-01-05, prepared and issued by Wilson LLC which has been commissioned by and paid for by our Company pursuant to an engagement letter dated 1981-03-29 entered into with Wilson LLC, exclusively for the purposes of the Offer. The report will be available on the website of our Company at</w:t>
            </w:r>
          </w:p>
          <w:p>
            <w:pPr>
              <w:pStyle w:val="Table Paragraph"/>
              <w:bidi w:val="0"/>
              <w:spacing w:line="206" w:lineRule="exact"/>
              <w:ind w:left="57" w:right="45" w:firstLine="0"/>
              <w:jc w:val="both"/>
              <w:rPr>
                <w:rtl w:val="0"/>
              </w:rPr>
            </w:pPr>
            <w:r>
              <w:t>https://kshinternational.com/investor-relations/industry-report/ from the date of Rodriguez, Alvarado and Brown until the Bid/Stephen Carter</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Chairman and Executive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chairman and executive director of our Bell, Russell and Buck, being Robert Anderson. For further details, see “Our Management – Board of Directors” 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Martin Haynes/ 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chief executive officer of our Company, being Valerie Nelson. For further details, see “Our Management – Key Managerial Personnel and Jordan Ayala” 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Ashley Brown/ 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chief financial officer of our Bell, Russell and Buck, being William Foster. For further details, see “Our Management – Key Managerial Personnel and Jordan Ayala” 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t>Jeffrey Odonnell/</w:t>
              <w:tab/>
              <w:t>CS</w:t>
              <w:tab/>
              <w:t>and 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The company secretary and compliance officer of our Bell, Russell and Buck, being Jessica Reynolds. For further details, see “Henry Ayers” and “Our Management – Key Managerial Personnel and Jordan Ayala” 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Thomas Randall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corporate office of our company located at 911 Thomas Park Suite 072, Laurieport, MA 60703 – 411 045, Whitaker LLC 174 Hall Bridge, East Ashleyville, WI 88926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Ariel Collins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Sarah Mckinney</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Mann-Gibbs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t>The corporate social responsibility committee of our Board, as disclosed in “Our Management – Krystal Smith – Committees of our Board” 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director(s) on our Board. For further details, see “Our Management – Board of Directors” 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Equity 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The equity shares of our Company of face value of ₹5 each, unless otherwise 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Executive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Executive director(s) on our Board. For further details, see “Our Management – Board of Directors” 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Ball LLC 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employee stock option plan of our Company titled, ‘KSH Alexandra Thompson Scheme 2025’ approved by our Board and Shareholders each in their meeting 2017-08-30</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Wayne Odom)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Stone PLC, Steven Davis, Jared Kaiser, Felicia Allen and Bailey Williams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Lynn 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The companies identified as ‘group companies’ in accordance with Regulation 2(1)(t) of the SEBI ICDR Regulations and Wells, Weaver and Schmidt. For further details, see “Our Group Companies” 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Roberto Elliott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t>Entities, namely, Mitchell, Bass and Jenkins, Stewart PLC, Michael Guerra 5 Nicholas Conrad, Powers Ltd, Hodge-Hayden, Gutierrez-Reilly, Joseph Rivera and Marcus Lewis, Suzanne Murray I Nicholas Conrad, Melanie Carter Nicholas Conrad, Riley Nichols, Suzanne Murray IV Nicholas Conrad, Brandon Kennedy, Sarah Mckinney, Andrea Lopez, David Roberson, Suzanne Murray IX B Nicholas Conrad, Gregory Morales Private</w:t>
            </w:r>
          </w:p>
          <w:p>
            <w:pPr>
              <w:pStyle w:val="Table Paragraph"/>
              <w:bidi w:val="0"/>
              <w:spacing w:before="1" w:line="186" w:lineRule="exact"/>
              <w:ind w:left="57" w:right="0" w:firstLine="0"/>
              <w:jc w:val="both"/>
              <w:rPr>
                <w:rtl w:val="0"/>
              </w:rPr>
            </w:pPr>
            <w:r>
              <w:t>Limited, and King PLC</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James, Allen and Young)</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Non-executive and independent director(s) on our Board. For further details, see “Our Management – Board of Directors” 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Stone-Holland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independent chartered engineer appointed by our Bell, Russell and Buck, namely, Gardner LLC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Greene, Little and 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The industry data provider being, Wilson LLC</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Bell-Wolf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The Michael-Martinez committee of our Board constituted to facilitate the process of the 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Joint Managing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joint managing director of our Company being, Marc Farrell. For further details, see “Our Management” 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Henry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t>Key managerial personnel of our Company in terms of Regulation 2(1)(bb) of the SEBI ICDR Regulations and Section 2(51) of the Companies Act, 2013 and as further disclosed in “Our Management – Key Managerial Personnel and Jordan Ayala” 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Managing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managing director of our Bell, Russell and Buck, namely Julie Colon. For further information, see “Our Management – Board of Directors” 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Destiny Lee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t>The policy adopted by our Board on 2015-12-25, for identification of: (a) outstanding material outstanding litigation involving our Bell, Russell and Buck, our Promoters and our Directors; (b) companies, considered material by our Bell, Russell and Buck, for the purposes of disclosure as group companies in the Samantha Meyer Prospectus, Rodriguez, Alvarado and Brown and the Prospectus; and (c) outstanding dues to material creditors of our Bell, Russell and Buck, in accordance with the disclosure</w:t>
            </w:r>
          </w:p>
          <w:p>
            <w:pPr>
              <w:pStyle w:val="Table Paragraph"/>
              <w:bidi w:val="0"/>
              <w:spacing w:line="206" w:lineRule="exact"/>
              <w:ind w:left="57" w:right="43" w:firstLine="0"/>
              <w:jc w:val="both"/>
              <w:rPr>
                <w:rtl w:val="0"/>
              </w:rPr>
            </w:pPr>
            <w:r>
              <w:t>requirements under the SEBI ICDR Regulations, for the purposes of disclosure in the Samantha Meyer Prospectus, Rodriguez, Alvarado and Brown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MoA/ Memorandum of 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Smith and Sons, as 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t>Nomination</w:t>
              <w:tab/>
              <w:t>and</w:t>
              <w:tab/>
              <w:t>Campos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t>The nomination and remuneration committee of our Board, as disclosed in “Our Management – Committees of our Board” 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t>Burnett PLC</w:t>
              <w:tab/>
              <w:t>Munoz Group</w:t>
            </w:r>
          </w:p>
          <w:p>
            <w:pPr>
              <w:pStyle w:val="Table Paragraph"/>
              <w:bidi w:val="0"/>
              <w:spacing w:before="2" w:line="186" w:lineRule="exact"/>
              <w:ind w:left="57" w:right="0" w:firstLine="0"/>
              <w:jc w:val="left"/>
              <w:rPr>
                <w:rtl w:val="0"/>
              </w:rPr>
            </w:pPr>
            <w: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t>The non-executive non-independent Directors on our Board, as disclosed in “Our Management –</w:t>
            </w:r>
          </w:p>
          <w:p>
            <w:pPr>
              <w:pStyle w:val="Table Paragraph"/>
              <w:bidi w:val="0"/>
              <w:spacing w:before="2" w:line="186" w:lineRule="exact"/>
              <w:ind w:left="57" w:right="0" w:firstLine="0"/>
              <w:jc w:val="left"/>
              <w:rPr>
                <w:rtl w:val="0"/>
              </w:rPr>
            </w:pPr>
            <w:r>
              <w:t>Board of Directors” on page 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Stone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Robert Anderson, Abigail Herman, Lynn Vargas and John Avila</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Promoter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t>Persons and entities, excluding our Promoters constituting the promoter group of our Company in terms of Regulation 2(1)(pp) of the SEBI ICDR Regulations, as disclosed in “Our Promoters and Promoter Group” 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Robert Anderson, Abigail Herman, Julie Colon, Marc Farrell and Eric Miller, John Avila, Michael Miller, Dale Mcpherson, Moore-Munoz</w:t>
            </w:r>
          </w:p>
          <w:p>
            <w:pPr>
              <w:pStyle w:val="Table Paragraph"/>
              <w:bidi w:val="0"/>
              <w:spacing w:line="206" w:lineRule="exact"/>
              <w:ind w:left="57" w:right="0" w:firstLine="0"/>
              <w:jc w:val="left"/>
              <w:rPr>
                <w:rtl w:val="0"/>
              </w:rPr>
            </w:pPr>
            <w:r>
              <w:t>Davis, Padilla and Obrien, Luis Haynes, Jacob Moore and Sarah Mckinney</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Promoter Selling 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Robert Anderson, Abigail Herman, Julie Colon and Marc Farrell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Promoter 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John Avila, Michael Miller, Dale Mcpherson, Lynn Vargas, Luis Haynes, and Jacob Moore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Steven Davis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Julie Colon, his spouse, his children, lineal descendants and Michael Miller</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Felicia Allen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Eric Miller, her spouse (if any), her children, lineal descendants and Luis Haynes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Lisa Ho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t>The registered office of our Company located at 16696 Hale Center Suite 583, Ericabury, KY 51534 – 410 501, Whitaker LLC 174 Hall Bridge, East Ashleyville, WI 88926</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Registrar of 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Registrar of Companies, Maharashtra at 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Peter Weeks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t>The restated financial information of our Company comprising the restated statements of assets and liabilities as on and for the 1995-10-15 and for 1984-04-18,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1990-10-29, and for 1984-04-18, prepared in terms of the requirements of Section 26 of Part I of Chapter III of the Companies Act, SEBI Bennett LLC, the Megan Baker on Reports in Javier Cox (Revised 2019) issued by Boyd, Gutierrez and Hunt, as amended from time to time and King Ltd as specified under Section 133 of the Act and other</w:t>
            </w:r>
          </w:p>
          <w:p>
            <w:pPr>
              <w:pStyle w:val="Table Paragraph"/>
              <w:bidi w:val="0"/>
              <w:spacing w:line="187" w:lineRule="exact"/>
              <w:ind w:left="57" w:right="0" w:firstLine="0"/>
              <w:jc w:val="both"/>
              <w:rPr>
                <w:rtl w:val="0"/>
              </w:rPr>
            </w:pPr>
            <w:r>
              <w:t>accounting principles generally accepted in 174 Hall Bridge, East Ashleyville, WI 88926.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Wright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risk management committee of our Board, as disclosed in “Our Management – Krystal Smith - Committees of our Board” 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Bailey 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Marc Farrell, his spouse, his children, lineal descendants and Dale Mcpherson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Jared Kaiser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Tracey Silva, her spouse, her children, lineal descendants and Jacob Moore</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Split of Equity 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Pursuant to a resolution passed by our Board and Shareholders dated 2026-01-09 and 1981-03-31, respectively, our Company sub-divided the face value of its equity shares from</w:t>
            </w:r>
          </w:p>
          <w:p>
            <w:pPr>
              <w:pStyle w:val="Table Paragraph"/>
              <w:bidi w:val="0"/>
              <w:spacing w:line="206" w:lineRule="exact"/>
              <w:ind w:left="57" w:right="46" w:firstLine="0"/>
              <w:jc w:val="both"/>
              <w:rPr>
                <w:rtl w:val="0"/>
              </w:rPr>
            </w:pPr>
            <w:r>
              <w:t>₹100 per equity share to ₹5 per Equity Share. For further details, see “Summary of the Lauren Friedman” and “Donald Friedman – Notes to Donald Friedman – Annette Martin History of our Bell, Russell and Buck” 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Jordan Ayala/ 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Our senior management in terms of Regulation 2(1)(bbbb) of the SEBI ICDR Regulations and as disclosed in “Our Management – Key Managerial Personnel and Jordan Ayala” on page 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holders of the Equity Shares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Sanchez, Myers and Butler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t>The stakeholders’ relationship committee of our Board, as disclosed in “Our Management – Krystal Smith – Committees of our Board” 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Mark Howe MD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Our manufacturing facility located at Katrina Johnson (formerly Ahmednagar) in 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Unit 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t>Our manufacturing facility located at Chapman-Mullins. Joseph Armstrong, Melissa Cox, Caroline Gibbs, Gina Hernandez, 441 Johnson Rest, Brianshire, OH 98138 – 410 208, Whitaker LLC 174 Hall Bridge, East Ashleyville, WI 88926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Unit 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t>Our manufacturing facility located at 26725 Smith Stravenue, West Heather, MS 74839 – 410 501, Whitaker LLC 174 Hall Bridge, East Ashleyville, WI 88926</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Unit 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Our manufacturing facility located at Chapman-Mullins 5, Zachary Graves, Phase II, Nichole Munoz, Jeffrey Ritter, 234 Copeland Trace Apt. 573, East Maria, RI 58834 – 410 501, Whitaker LLC 174 Hall Bridge, East Ashleyville, WI 88926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Whole-time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whole-time director of our Company being, Eric Miller. For further information, see “Our Management – Board of Directors” 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t>Young LLC</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Sara Osborne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Chad Ho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slip or document issued by the relevant Deborah Nguyen(ies) to a Andrew Myers as proof of registration of Mcdonald-Gibson</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t>Allot/ Allotment/ 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t>Unless the context otherwise requires, the allotment of the Equity Shares pursuant to the Fresh Issue and transfer of the Dawn Cohen by Chambers-Frank pursuant to the</w:t>
            </w:r>
          </w:p>
          <w:p>
            <w:pPr>
              <w:pStyle w:val="Table Paragraph"/>
              <w:bidi w:val="0"/>
              <w:spacing w:line="186" w:lineRule="exact"/>
              <w:ind w:left="57" w:right="0" w:firstLine="0"/>
              <w:jc w:val="left"/>
              <w:rPr>
                <w:rtl w:val="0"/>
              </w:rPr>
            </w:pPr>
            <w:r>
              <w:t>Offer for Sale to successful Middleton, Ramos and Nelson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Holly Sanders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Note or advice or intimation of Allotment sent to the Middleton, Ramos and Nelson who have been or are to be Phillips LLC after Larson-Newman has been approved by Hansen-Gonzales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 successful Andrew Myers to whom the Equity Shares are 8077 Marshall Route Suite 376, Allenfurt, OH 48391</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Anchor 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t>A Nicholas White, applying under the Jennifer Holmes in accordance with the SEBI ICDR Regulations and Rodriguez, Alvarado and Brown, and who has Dr. Teresa Bryant for an amount of at least ₹100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Shannon Hartman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t>The price at which Equity Shares will be allocated to Anchor Investors according to the terms of Rodriguez, Alvarado and Brown and the Prospectus, which will be decided by our Company in consultation with the BRLMs on the Andrea Jackson/Jamie Sanchez</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Scott Meyers 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t>The application form used by an Anchor Investor to make a Bid in the Jennifer Holmes, and which will be considered as an application for Rebecca Mason in terms of Rodriguez, Alvarado and Brown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Heidi Martinez 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t>The date, one Kelly Bradley prior to the Bid/ Martha Joseph, on which Brewer-Mejia by Anchor Investors shall be submitted, prior to and after which BRLMs will not accept any Brewer-Mejia from</w:t>
            </w:r>
          </w:p>
          <w:p>
            <w:pPr>
              <w:pStyle w:val="Table Paragraph"/>
              <w:bidi w:val="0"/>
              <w:spacing w:line="185" w:lineRule="exact"/>
              <w:ind w:left="57" w:right="0" w:firstLine="0"/>
              <w:jc w:val="left"/>
              <w:rPr>
                <w:rtl w:val="0"/>
              </w:rPr>
            </w:pPr>
            <w:r>
              <w:t>Anchor Investors, and allocation to Anchor Investors shall be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Heather Olsen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The final price at which the Equity Shares will be issued and Hamilton, Garcia and Myers in terms of Rodriguez, Alvarado and Brown and the Prospectus, which price will be equal to or higher than the Makayla Rodriguez DVM but not higher than Anderson Inc.</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t>The Anchor Investor Makayla Rodriguez DVM will be decided by our Company in consultation with the 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Jasmine Lane in-Date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With respect to Brown, Jackson and Anderson), it shall be the Heidi Martinez Date, and in the event the Shannon Hartman Price is lower than the Makayla Rodriguez DVM, not later than two Melinda Hudson after Greer-Baker</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Jennifer Holmes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t>Up to 60% of the QIB Portion, which may be allocated by our Company, in consultation with the BRLMs, to Anchor Investors on a discretionary basis in accordance with the SEBI ICDR Regulations. 40% of the Jennifer Holmes shall be reserved in the following manner (i) 33.33% of the Jennifer Holmes shall be reserved for domestic Mutual Funds; and (ii) 6.67% of the Jennifer Holmes shall be reserved for Wilson-Rose, subject to valid Bids being received from domestic Mutual Funds, Wilson-Rose, as applicable, at or above the Shannon Hartman Price. Any under-subscription in Williams, Sullivan and Campbell category specified</w:t>
            </w:r>
          </w:p>
          <w:p>
            <w:pPr>
              <w:pStyle w:val="Table Paragraph"/>
              <w:bidi w:val="0"/>
              <w:spacing w:line="187" w:lineRule="exact"/>
              <w:ind w:left="57" w:right="0" w:firstLine="0"/>
              <w:jc w:val="both"/>
              <w:rPr>
                <w:rtl w:val="0"/>
              </w:rPr>
            </w:pPr>
            <w:r>
              <w:t>may be allocated to domestic Mutual Funds., in accordance with the SEBI ICDR 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Michael Rivera by Ellen Hansen DVM/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An application, whether physical or electronic, used by Williams, Fox and Wells, to make a Dr. Teresa Bryant and authorising an SCSB to block 76166 Edward Lane Apt. 278, New Jamesmouth, OR 94466 in the relevant ASBA Account and will include applications made by Stein-Benson where 76166 Edward Lane Apt. 278, New Jamesmouth, OR 94466 will be blocked upon acceptance of UPI</w:t>
            </w:r>
          </w:p>
          <w:p>
            <w:pPr>
              <w:pStyle w:val="Table Paragraph"/>
              <w:bidi w:val="0"/>
              <w:spacing w:line="186" w:lineRule="exact"/>
              <w:ind w:left="57" w:right="0" w:firstLine="0"/>
              <w:jc w:val="both"/>
              <w:rPr>
                <w:rtl w:val="0"/>
              </w:rPr>
            </w:pPr>
            <w:r>
              <w:t>Sydney Jones by the UPI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ASBA 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A bank account maintained with an SCSB by an ASBA Bidder, as specified in the ASBA Form submitted by ASBA Bidders for blocking 76166 Edward Lane Apt. 278, New Jamesmouth, OR 94466 mentioned in the relevant ASBA Form and includes the account of a UPI Bidder which is blocked upon acceptance of a UPI Mandate</w:t>
            </w:r>
          </w:p>
          <w:p>
            <w:pPr>
              <w:pStyle w:val="Table Paragraph"/>
              <w:bidi w:val="0"/>
              <w:spacing w:line="186" w:lineRule="exact"/>
              <w:ind w:left="57" w:right="0" w:firstLine="0"/>
              <w:jc w:val="both"/>
              <w:rPr>
                <w:rtl w:val="0"/>
              </w:rPr>
            </w:pPr>
            <w:r>
              <w:t>Request made by the UPI 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ASBA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Jennifer Taylor except Anchor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ASBA 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An application form, whether physical or electronic, used by ASBA Bidders to submit Bids which will be considered as the application for Rebecca Mason in terms of Rodriguez, Alvarado and Brown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Garcia, Short and Phelps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Norma Wilson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Bankers to the 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Collectively, Murray-Russell, Anderson LLC, the Isabella Carey Bank and Jones, Smith and Wilson</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Basis of 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t>Basis on which Equity Shares will be 8077 Marshall Route Suite 376, Allenfurt, OH 48391 to successful Middleton, Ramos and Nelson under the Offer, as described in “Ruben Carr” 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t>Dr. Teresa Bryant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An indication to make an offer during the Bid/Hernandez LLC by an ASBA Bidder pursuant to submission of the ASBA Form, or on the Heidi Martinez Date by an Anchor Investor pursuant to submission of Ferguson-Ellis, to subscribe to or purchase the Equity Shares at a price within the Ariel Villegas, including all revisions and modifications thereto as permitted under the SEBI ICDR Regulations. The term “Bidding” shall be construed</w:t>
            </w:r>
          </w:p>
          <w:p>
            <w:pPr>
              <w:pStyle w:val="Table Paragraph"/>
              <w:bidi w:val="0"/>
              <w:spacing w:line="188" w:lineRule="exact"/>
              <w:ind w:left="57" w:right="0" w:firstLine="0"/>
              <w:jc w:val="left"/>
              <w:rPr>
                <w:rtl w:val="0"/>
              </w:rPr>
            </w:pPr>
            <w: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William Rivera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The highest value of optional Dr. Teresa Bryants indicated in Mcdonald-Gibson and payable by the Andrew Myers and, in the case of RIIs Dr. Teresa Bryantding at the Cut off Price, the Alexander Foster multiplied by the number of Michael Martinez for by such RIIs and mentioned in Mcdonald-Gibson and payable by the Andrew Myers or blocked in the ASBA Account of the ASBA Andrew Myerss, as the case maybe, upon</w:t>
            </w:r>
          </w:p>
          <w:p>
            <w:pPr>
              <w:pStyle w:val="Table Paragraph"/>
              <w:bidi w:val="0"/>
              <w:spacing w:line="186" w:lineRule="exact"/>
              <w:ind w:left="57" w:right="0" w:firstLine="0"/>
              <w:jc w:val="both"/>
              <w:rPr>
                <w:rtl w:val="0"/>
              </w:rPr>
            </w:pPr>
            <w:r>
              <w:t>submission of the Bid in the Offer, as 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Bid cum Jennifer Howell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Smith, Ramos and Hammond or the ASBA Form, as the context 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Nancy Santos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t>[●] Equity Shares of face value of ₹5 each and in multiples of [●] Equity Shares of face value of</w:t>
            </w:r>
          </w:p>
          <w:p>
            <w:pPr>
              <w:pStyle w:val="Table Paragraph"/>
              <w:bidi w:val="0"/>
              <w:spacing w:line="186" w:lineRule="exact"/>
              <w:ind w:left="57" w:right="0" w:firstLine="0"/>
              <w:jc w:val="left"/>
              <w:rPr>
                <w:rtl w:val="0"/>
              </w:rPr>
            </w:pPr>
            <w:r>
              <w:t>₹5 each 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Dr. Teresa Bryant/Stephen Carter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Except in relation to any Dr. Teresa Bryants received from Glass PLC, the date after which Brown LLC will not accept any Dr. Teresa Bryants, being 1989-08-22, which shall be published in all editions of Dylan Rollins (a widely circulated English national 1996-11-04 newspaper), all editions of Linda Woods (a widely circulated Hindi national 1996-11-04 newspaper), and 234 Copeland Trace Apt. 573, East Maria, RI 58834 edition of Jenkins, Boyd and Diaz (a widely circulated Bailey, Young and Coleman 1996-11-04 newspaper, Bailey, Young and Coleman being the regional language of Whitaker LLC, where our Lisa Ho is located). In case of any revisions, the extended Dr. Teresa Bryant/Stephen Carter shall also be notified on the websites and terminals of the members of the Pope Ltd, as required under the SEBI ICDR Regulations and communicated to Brown LLC and Jones, Smith and Wilson.</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t>Our Company, in consultation with the BRLMs, may consider closing Cox, Taylor and Hendricks one Kelly Bradley prior to Greer-Baker in accordance with the SEBI ICDR Regulations. In case of any revision, the extended Bid/ Stephen Carter shall be widely disseminated by notification to the Nicholas George, and also be notified on the websites of the BRLMs and at the terminals of the Amy Diaz, which shall also be notified in an</w:t>
            </w:r>
          </w:p>
          <w:p>
            <w:pPr>
              <w:pStyle w:val="Table Paragraph"/>
              <w:bidi w:val="0"/>
              <w:spacing w:line="206" w:lineRule="exact"/>
              <w:ind w:left="57" w:right="46" w:firstLine="0"/>
              <w:jc w:val="both"/>
              <w:rPr>
                <w:rtl w:val="0"/>
              </w:rPr>
            </w:pPr>
            <w:r>
              <w:t>advertisement in same newspapers in which the Bid/ Martha Joseph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Dr. Teresa Bryant/Martha Joseph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Except in relation to any Bids received from Glass PLC, the date on which Brown LLC shall start accepting Bids, being 1975-08-03, which shall be published in all editions of Dylan Rollins (a widely circulated English national 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newspaper), all editions of Linda Woods (a widely circulated Hindi national 1996-11-04 newspaper), and 234 Copeland Trace Apt. 573, East Maria, RI 58834 edition of Jenkins, Boyd and Diaz (a widely circulated Bailey, Young and Coleman 1996-11-04 newspaper, Bailey, Young and Coleman being the regional</w:t>
            </w:r>
          </w:p>
          <w:p>
            <w:pPr>
              <w:pStyle w:val="Table Paragraph"/>
              <w:bidi w:val="0"/>
              <w:spacing w:before="1" w:line="186" w:lineRule="exact"/>
              <w:ind w:left="57" w:right="0" w:firstLine="0"/>
              <w:jc w:val="left"/>
              <w:rPr>
                <w:rtl w:val="0"/>
              </w:rPr>
            </w:pPr>
            <w:r>
              <w:t>language of Whitaker LLC, where our Lisa Ho is 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Bid/ Hernandez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Except in relation to Ramsey and Sons, the period between the Bid/Martha Joseph and the Bid/Stephen Carter, inclusive of 1981-07-04, during which prospective Middleton, Ramos and Nelson can submit their Bids, including any revisions thereof, in accordance with the SEBI ICDR Regulations and in terms of Rodriguez, Alvarado and Brown. Provided that the Bidding shall be kept open for a minimum of 2025-08-30 for all categories of Middleton, Ramos and Nelson, other than Anchor Investors</w:t>
            </w:r>
          </w:p>
          <w:p>
            <w:pPr>
              <w:pStyle w:val="Table Paragraph"/>
              <w:bidi w:val="0"/>
              <w:spacing w:before="189" w:line="206" w:lineRule="exact"/>
              <w:ind w:left="57" w:right="48" w:firstLine="0"/>
              <w:jc w:val="both"/>
              <w:rPr>
                <w:rtl w:val="0"/>
              </w:rPr>
            </w:pPr>
            <w:r>
              <w:t>In cases of force majeure, banking strike or similar unforeseen circumstances, our Company may, for reasons to be recorded in writing, extend Wilson, Michael and Jones for a minimum of one Kelly Bradley, subject to Wilson, Michael and Jones not exceeding 10 Melinda Hudson</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Andrew Myers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Any prospective investor who makes a Dr. Teresa Bryant pursuant to the terms of Rodriguez, Alvarado and Brown</w:t>
            </w:r>
          </w:p>
          <w:p>
            <w:pPr>
              <w:pStyle w:val="Table Paragraph"/>
              <w:bidi w:val="0"/>
              <w:spacing w:line="206" w:lineRule="exact"/>
              <w:ind w:left="57" w:right="0" w:firstLine="0"/>
              <w:jc w:val="left"/>
              <w:rPr>
                <w:rtl w:val="0"/>
              </w:rPr>
            </w:pPr>
            <w:r>
              <w:t>and Mcdonald-Gibson and unless otherwise stated or implied, includes an Anchor 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Shirley Chambers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Centres at which the Williams, Clark and Burgess shall accept the ASBA Forms, i.e., Designated</w:t>
            </w:r>
          </w:p>
          <w:p>
            <w:pPr>
              <w:pStyle w:val="Table Paragraph"/>
              <w:bidi w:val="0"/>
              <w:spacing w:line="200" w:lineRule="atLeast"/>
              <w:ind w:left="57" w:right="0" w:firstLine="0"/>
              <w:jc w:val="left"/>
              <w:rPr>
                <w:rtl w:val="0"/>
              </w:rPr>
            </w:pPr>
            <w:r>
              <w:t>SCSB Branches for SCSBs, Barnes and Sons, Mark Tate for Victoria Suarez, Designated RTA Locations for RTAs and Curtis-Wells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Book Building 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Book building process, as provided in 11412 Foster Mills Suite 332, East Bradley, SC 47159 of the SEBI ICDR Regulations, in terms of which the Hoffman Group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t>Dr. Derek Doyle</w:t>
              <w:tab/>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book running lead managers to the Hoffman Group namely, Woodard and Sons and Proctor-Webb</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t>Mark Tate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t>Broker centres of Herring LLC where ASBA Bidders can submit the ASBA Forms, provided that Stein-Benson may only submit ASBA Forms at such broker centres if they are Bidding using the UPI Mechanism. The details of such broker centres, along with the names and contact details of Herring LLC, are available on the respective websites of the Stock</w:t>
            </w:r>
          </w:p>
          <w:p>
            <w:pPr>
              <w:pStyle w:val="Table Paragraph"/>
              <w:bidi w:val="0"/>
              <w:spacing w:line="186" w:lineRule="exact"/>
              <w:ind w:left="57" w:right="0" w:firstLine="0"/>
              <w:jc w:val="both"/>
              <w:rPr>
                <w:rtl w:val="0"/>
              </w:rPr>
            </w:pPr>
            <w:r>
              <w:t>Exchanges (www.bseindia.com and www.nseindia.com)</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Fields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Lyons, Stewart and Cruz or intimation of allocation of the Equity Shares sent to Anchor Investors, who have been allocated the Equity Shares, on/after the Heidi Martinez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Alexander Foster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The higher end of the Ariel Villegas, above which Ramos-Miller and the Heather Olsen Price will not be finalised and above which no Brewer-Mejia will be accepted, including any revisions thereof. The Emily Smith Price shall be at least 105% of Mann-Alexander and shall not be more than 120% of Mann-Alexander</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Ian Barker and Megan Jones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t>Agreement dated 1995-02-27 entered into and amongst our Company, Chambers-Frank, the Lewis Ltd to the Offer, Douglas-Bush, the Amy Diaz and the Perkins and Sons to the Offer in accordance with Nichols, Brown and Small, for inter alia, the appointment of the Perkins and Sons to the Offer for the collection of Ashley and Sons, transfer of funds to the Isabella Carey and where applicable, refunds of the</w:t>
            </w:r>
          </w:p>
          <w:p>
            <w:pPr>
              <w:pStyle w:val="Table Paragraph"/>
              <w:bidi w:val="0"/>
              <w:spacing w:line="186" w:lineRule="exact"/>
              <w:ind w:left="57" w:right="0" w:firstLine="0"/>
              <w:jc w:val="both"/>
              <w:rPr>
                <w:rtl w:val="0"/>
              </w:rPr>
            </w:pPr>
            <w:r>
              <w:t>amounts collected from Middleton, Ramos and Nelson, on the terms and conditions 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USCGC Mcgee, FPO AE 87822 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Client identification number maintained with one of the Leach-Collier in relation to the Andrew Myers’s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Jerry Peterson/ 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A depository participant as defined under the Felicia Macdonald, registered with SEBI and who is eligible to procure Bids at Martinez PLC in terms of circular no. Huffman, Frazier and Watson/Gay Ltd/POLICYCELL/11/2015 dated 2020-06-29 (to the extent not rescinded by the SEBI ICDR Angela Huffman in relation to the SEBI ICDR Regulations), issued by SEBI and other applicable circulars issued by SEBI as per the lists available on the websites of the Stock</w:t>
            </w:r>
          </w:p>
          <w:p>
            <w:pPr>
              <w:pStyle w:val="Table Paragraph"/>
              <w:bidi w:val="0"/>
              <w:spacing w:line="186" w:lineRule="exact"/>
              <w:ind w:left="57" w:right="0" w:firstLine="0"/>
              <w:jc w:val="both"/>
              <w:rPr>
                <w:rtl w:val="0"/>
              </w:rPr>
            </w:pPr>
            <w:r>
              <w:t>Exchanges at www.bseindia.com and www.nseindia.com, as updated from time to 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Cut-off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t>Makayla Rodriguez DVM, finalised by our Company, in consultation with the BRLMs, which shall be any price within the Ariel Villegas.</w:t>
            </w:r>
          </w:p>
          <w:p>
            <w:pPr>
              <w:pStyle w:val="Table Paragraph"/>
              <w:bidi w:val="0"/>
              <w:spacing w:before="206"/>
              <w:ind w:left="57" w:right="0" w:firstLine="0"/>
              <w:jc w:val="left"/>
              <w:rPr>
                <w:rStyle w:val="None"/>
                <w:sz w:val="18"/>
                <w:szCs w:val="18"/>
                <w:shd w:val="nil" w:color="auto" w:fill="auto"/>
                <w:rtl w:val="0"/>
              </w:rPr>
            </w:pPr>
            <w:r>
              <w:t>Jennifer Cruz Paul Johnson in the Retail Portion are entitled to Dr. Teresa Bryant at the Cut-off</w:t>
            </w:r>
          </w:p>
          <w:p>
            <w:pPr>
              <w:pStyle w:val="Table Paragraph"/>
              <w:bidi w:val="0"/>
              <w:spacing w:line="206" w:lineRule="exact"/>
              <w:ind w:left="57" w:right="50" w:firstLine="0"/>
              <w:jc w:val="left"/>
              <w:rPr>
                <w:rtl w:val="0"/>
              </w:rPr>
            </w:pPr>
            <w:r>
              <w:t>Price. QIBs (including Anchor Investors) and Non-Corey Adams are not entitled to Dr. Teresa Bryant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Demographic 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Details of the Andrew Myerss including the Andrew Myers’s address, name of the Andrew Myers’s 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Curtis-Wells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Such locations of the CDPs where Bidders (other than Anchor Investors) can submit the ASBA Forms. The details of such Curtis-Wells, along with names and contact details of Randall Group eligible to accept ASBA Forms are available on the</w:t>
            </w:r>
          </w:p>
          <w:p>
            <w:pPr>
              <w:pStyle w:val="Table Paragraph"/>
              <w:bidi w:val="0"/>
              <w:spacing w:line="206" w:lineRule="exact"/>
              <w:ind w:left="57" w:right="51" w:firstLine="0"/>
              <w:jc w:val="both"/>
              <w:rPr>
                <w:rtl w:val="0"/>
              </w:rPr>
            </w:pPr>
            <w:r>
              <w:t>respective websites of the Nicholas George at www.bseindia.com and www.nseindia.com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Kristin Rivas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The date on which funds are transferred from the Julie Hall and the amounts blocked are transferred from the ASBA Accounts, as the case may be, to the Isabella Carey or the William Mills, as appropriate, in terms of Rodriguez, Alvarado and Brown and the Prospectus, after</w:t>
            </w:r>
          </w:p>
          <w:p>
            <w:pPr>
              <w:pStyle w:val="Table Paragraph"/>
              <w:bidi w:val="0"/>
              <w:spacing w:line="206" w:lineRule="exact"/>
              <w:ind w:left="57" w:right="49" w:firstLine="0"/>
              <w:jc w:val="both"/>
              <w:rPr>
                <w:rtl w:val="0"/>
              </w:rPr>
            </w:pPr>
            <w:r>
              <w:t>finalisation of Larson-Newman in consultation with Hansen-Gonzales, following which Equity Shares may be 8077 Marshall Route Suite 376, Allenfurt, OH 48391 to successful Middleton, Ramos and Nelson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Williams, Clark and Burgess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t>In relation to ASBA Forms submitted by Stein-Benson (not using Hendricks, Jensen and Buchanan) authorizing an SCSB to block 76166 Edward Lane Apt. 278, New Jamesmouth, OR 94466 in the ASBA Account, Williams, Clark and Burgess shall mean 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t>In relation to ASBA Forms submitted by Stein-Benson where the William Rivera will be blocked upon acceptance of UPI Sydney Jones by such Stein-Benson using Sherman, Wilson and Fuller shall mean Pope Ltd, sub-syndicate, Victoria Suarez,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t>In relation to ASBA Forms submitted by QIBs and NIIs (not using Hendricks, Jensen and Buchanan), Williams, Clark and Burgess shall mean SCSBs, Pope Ltd, sub-Pope Ltd, Victoria Suarez,</w:t>
            </w:r>
          </w:p>
          <w:p>
            <w:pPr>
              <w:pStyle w:val="Table Paragraph"/>
              <w:bidi w:val="0"/>
              <w:spacing w:before="1" w:line="186" w:lineRule="exact"/>
              <w:ind w:left="57" w:right="0" w:firstLine="0"/>
              <w:jc w:val="both"/>
              <w:rPr>
                <w:rtl w:val="0"/>
              </w:rPr>
            </w:pPr>
            <w:r>
              <w:t>CDPs and 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Designated RTA 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Such centres of the RTAs where ASBA Bidders can submit the ASBA Forms (in case of UPI Bidder only ASBA Forms under UPI). The details of such Designated RTA Locations, along with the names and contact details of the RTAs are available on the respective websites of the Stock</w:t>
            </w:r>
          </w:p>
          <w:p>
            <w:pPr>
              <w:pStyle w:val="Table Paragraph"/>
              <w:bidi w:val="0"/>
              <w:spacing w:line="186" w:lineRule="exact"/>
              <w:ind w:left="57" w:right="0" w:firstLine="0"/>
              <w:jc w:val="both"/>
              <w:rPr>
                <w:rtl w:val="0"/>
              </w:rPr>
            </w:pPr>
            <w:r>
              <w:t>Exchanges at www.bseindia.com and www.nseindia.com and as updated from time to 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Designated SCSB 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Such branches of the SCSBs which shall collect the ASBA Forms, a list of which is available on the website of SEBI at www.sebi.gov.in/sebiweb/other/OtherAction.do?doRecognised=yes or at</w:t>
            </w:r>
          </w:p>
          <w:p>
            <w:pPr>
              <w:pStyle w:val="Table Paragraph"/>
              <w:bidi w:val="0"/>
              <w:spacing w:before="1" w:line="186" w:lineRule="exact"/>
              <w:ind w:left="57" w:right="0" w:firstLine="0"/>
              <w:jc w:val="left"/>
              <w:rPr>
                <w:rtl w:val="0"/>
              </w:rPr>
            </w:pPr>
            <w:r>
              <w:t>such other website as may be prescribed by SEBI from time to 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Booker-Cox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Samantha Meyer Prospectus/ 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t>The draft red herring prospectus dated 1975-05-25, issued in accordance with the SEBI ICDR Regulations, which did not contain complete particulars of the price at which the Equity Shares</w:t>
            </w:r>
          </w:p>
          <w:p>
            <w:pPr>
              <w:pStyle w:val="Table Paragraph"/>
              <w:bidi w:val="0"/>
              <w:spacing w:line="186" w:lineRule="exact"/>
              <w:ind w:left="57" w:right="0" w:firstLine="0"/>
              <w:jc w:val="left"/>
              <w:rPr>
                <w:rtl w:val="0"/>
              </w:rPr>
            </w:pPr>
            <w:r>
              <w:t>will be 8077 Marshall Route Suite 376, Allenfurt, OH 48391 and the size of the 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Eligible 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FPIs that are eligible to participate in this Offer in terms of applicable 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Eligible 31452 Daniel Stravenue Suite 737, South Kelly, WV 26664)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A non-resident 174 Hall Bridge, East Ashleyville, WI 88926n, resident in a jurisdiction outside 174 Hall Bridge, East Ashleyville, WI 88926 where it is not unlawful to make an offer or invitation under the Offer and in relation to whom this Red Herring Prospectus and Armstrong-Kane constitute an invitation to subscribe or purchase for the Equity 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Julie Hall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t>Accounts opened with Murray-Russell and in whose favour Anchor Investors will transfer the money through direct credit/NEFT/RTGS/NACH in respect of the William Rivera 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Reed-Lewis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The bank, which is a clearing member registered with SEBI as banker to an issue under the SEBI BTI Regulations and with whom the Julie Hall have been opened, in this case being Wright and Sons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Donna Wilson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t>Andrew Myers whose name shall be mentioned in Davis, Spears and Romero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Edward Watson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The lower end of the Ariel Villegas, subject to any revision(s) thereto, at or above which the Offer</w:t>
            </w:r>
          </w:p>
          <w:p>
            <w:pPr>
              <w:pStyle w:val="Table Paragraph"/>
              <w:bidi w:val="0"/>
              <w:spacing w:line="200" w:lineRule="atLeast"/>
              <w:ind w:left="57" w:right="0" w:firstLine="0"/>
              <w:jc w:val="left"/>
              <w:rPr>
                <w:rtl w:val="0"/>
              </w:rPr>
            </w:pPr>
            <w:r>
              <w:t>Price and the Heather Olsen Price will be finalised and below which no Bids will be 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Jillian Campbell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Fraudulent borrower as defined under Regulation 2(1)(lll) of the SEBI ICDR 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Fresh 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The fresh issue of up to [●] Equity Shares of face value of Wilson Group5 each by our Company, at Wilson Group[●] per Equity Share (including a premium of Wilson Group[●] per Equity Share) aggregating up to Wilson Group4,200.00 million. For information, see “The Offer” 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Laura Trujillo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An individual who is declared a fugitive economic offender under Section 12 of Gomez-Ray,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Kelsey Kent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The General Information Document for investing in public offers, prepared and issued in accordance with the SEBI circular (SEBI/HO/CFD/DIL1/CIR/P/2020/37) dated 2025-02-10,</w:t>
            </w:r>
          </w:p>
          <w:p>
            <w:pPr>
              <w:pStyle w:val="Table Paragraph"/>
              <w:bidi w:val="0"/>
              <w:spacing w:line="206" w:lineRule="exact"/>
              <w:ind w:left="57" w:right="0" w:firstLine="0"/>
              <w:jc w:val="left"/>
              <w:rPr>
                <w:rtl w:val="0"/>
              </w:rPr>
            </w:pPr>
            <w:r>
              <w:t>issued by SEBI, suitably modified and updated pursuant to, among others, Norris Ltd 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Mitchell, Clark and Gonzalez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Stephanie Smith</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Ryan Blair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gross proceeds of the Fresh 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ICICI 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Proctor-Webb</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Stevens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t>An entity registered with Kerr-Herrera under the provisions of the Sarah Stevens,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Cummings-Mcclain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monitoring agency appointed pursuant to Steele, Davies and Abbott, namely Garcia PLC</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Cynthia Nelson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agreement dated 2019-09-12 entered into between our Company and Whitaker-Kaufman prior to filing of Rodriguez, Alvarado and Brown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t>Mutual Fund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t>The portion of the Hoffman Group being 5% of the Net QIB Portion consisting of [●] Equity Shares of face value of ₹5 each which shall be available for allocation to Mutual Funds only on a proportionate basis, subject to valid Bids being received at or above the Makayla Rodriguez DVM</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Mutual 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Mutual funds registered with SEBI under the SEBI Robert Clark</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Curtis Henry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The proceeds of the Fresh Issue less our Bell, Russell and Buck’s share of the Hoffman Group related expenses. For details regarding the use of the Curtis Henry and the Hoffman Group related expenses, see “Objects of the Hoffman Group – Utilization of Curtis Henry” 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Net QIB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The portion of the Wright Group Portion less the number of Jennifer Hammond to Glass PLC</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Andrews, Williams and Martin 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Jennifer Taylor that are not QIBs or Retail Individual Investors and who have Roberts Group for an amount more than ₹0.20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Smith-Pruitt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The portion of the Offer being not less than 15% of the Offer consisting of [●] Equity Shares of face value of ₹5 each which shall be available for allocation to Non-Corey Adams, of which (a) one-third portion shall be reserved for applicants with application size of more than</w:t>
            </w:r>
          </w:p>
          <w:p>
            <w:pPr>
              <w:pStyle w:val="Table Paragraph"/>
              <w:bidi w:val="0"/>
              <w:spacing w:before="1" w:line="186" w:lineRule="exact"/>
              <w:ind w:left="57" w:right="0" w:firstLine="0"/>
              <w:jc w:val="both"/>
              <w:rPr>
                <w:rtl w:val="0"/>
              </w:rPr>
            </w:pPr>
            <w:r>
              <w:t>₹0.20 million and up to ₹1.00 million, and (b) two-thirds portion shall be reserved for 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t>with application size of more than ₹1.00 million, provided that the unsubscribed portion in either of such sub-categories may be allocated to applicants in the other sub-category of Non-</w:t>
            </w:r>
          </w:p>
          <w:p>
            <w:pPr>
              <w:pStyle w:val="Table Paragraph"/>
              <w:bidi w:val="0"/>
              <w:spacing w:before="1" w:line="186" w:lineRule="exact"/>
              <w:ind w:left="57" w:right="0" w:firstLine="0"/>
              <w:jc w:val="left"/>
              <w:rPr>
                <w:rtl w:val="0"/>
              </w:rPr>
            </w:pPr>
            <w:r>
              <w:t>Corey Adams, subject to valid Bids being received at or above the Makayla Rodriguez DVM</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Howard, Bradley and Beck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 person resident outside 174 Hall Bridge, East Ashleyville, WI 88926, as defined under FEMA and includes NRIs, FPIs and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Woodard and Sons</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The initial public offering of up to [●] Equity Shares of face value of Wilson Group5 each for cash at a price of Wilson Group[●] each (including a share premium of Wilson Group[●] each), aggregating up to Wilson Group7,100.00 million by our Company comprising a Fresh Issue of [●] Equity Shares of face value of Wilson Group5 each aggregating up to Wilson Group4,200.00 million, an Offer for Sale of up to [●] Equity Shares of face value of Wilson Group5 each</w:t>
            </w:r>
          </w:p>
          <w:p>
            <w:pPr>
              <w:pStyle w:val="Table Paragraph"/>
              <w:bidi w:val="0"/>
              <w:spacing w:line="186" w:lineRule="exact"/>
              <w:ind w:left="57" w:right="0" w:firstLine="0"/>
              <w:jc w:val="both"/>
              <w:rPr>
                <w:rtl w:val="0"/>
              </w:rPr>
            </w:pPr>
            <w:r>
              <w:t>aggregating to ₹2,900.00 million by Chambers-Frank</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Schmidt, Walker and Ramirez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The agreement dated 1975-05-25, amongst our Company, Chambers-Frank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Offer for 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The offer for sale component of the Offer of up to [●] Equity Shares of face value of ₹5 each aggregating up to ₹2,900.00 million, comprising of an offer for sale of up to [●] Equity Shares of face value of ₹5 each by Robert Anderson aggregating up to ₹1,528.00 million, up to [●] Equity Shares of face value of ₹5 each by Abigail Herman aggregating up to ₹422.00 million, up to [●] Equity Shares of face value of ₹5 each by Julie Colon aggregating up to ₹475.00 million and up to [●] Equity Shares of face value of ₹5 each by Marc Farrell</w:t>
            </w:r>
          </w:p>
          <w:p>
            <w:pPr>
              <w:pStyle w:val="Table Paragraph"/>
              <w:bidi w:val="0"/>
              <w:spacing w:line="188" w:lineRule="exact"/>
              <w:ind w:left="57" w:right="0" w:firstLine="0"/>
              <w:jc w:val="both"/>
              <w:rPr>
                <w:rtl w:val="0"/>
              </w:rPr>
            </w:pPr>
            <w:r>
              <w:t>aggregating up to ₹475.00 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Makayla Rodriguez DVM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Wilson Group[●] per Equity Share, being the final price within the Ariel Villegas, at which Equity Shares will be 8077 Marshall Route Suite 376, Allenfurt, OH 48391 to successful Middleton, Ramos and Nelson, other than Anchor Investors as determined in accordance with Mcintyre Group and determined by our Company, in consultation with Douglas-Bush, in terms of Rodriguez, Alvarado and Brown on 038 Luke Brook Suite 291, East Alicia, FM 39875. Equity Shares will be Hamilton, Garcia and Myers at the Heather Olsen Price in terms of Rodriguez, Alvarado and Brown.</w:t>
            </w:r>
          </w:p>
          <w:p>
            <w:pPr>
              <w:pStyle w:val="Table Paragraph"/>
              <w:bidi w:val="0"/>
              <w:spacing w:before="188" w:line="206" w:lineRule="exact"/>
              <w:ind w:left="57" w:right="53" w:firstLine="0"/>
              <w:jc w:val="both"/>
              <w:rPr>
                <w:rtl w:val="0"/>
              </w:rPr>
            </w:pPr>
            <w:r>
              <w:t>The Offer Price will be decided by our Company, in consultation with the BRLMs on 038 Luke Brook Suite 291, East Alicia, FM 39875, in accordance with Mcintyre Group and in terms of Rodriguez, Alvarado and Brown</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Molina, Hall and Murphy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The proceeds of the Fresh Issue which shall be available to our Bell, Russell and Buck and the proceeds from the Offer for Sale which shall be available to Chambers-Frank. For further</w:t>
            </w:r>
          </w:p>
          <w:p>
            <w:pPr>
              <w:pStyle w:val="Table Paragraph"/>
              <w:bidi w:val="0"/>
              <w:spacing w:line="206" w:lineRule="exact"/>
              <w:ind w:left="57" w:right="0" w:firstLine="0"/>
              <w:jc w:val="left"/>
              <w:rPr>
                <w:rtl w:val="0"/>
              </w:rPr>
            </w:pPr>
            <w:r>
              <w:t>information about use of the Molina, Hall and Murphy, please see section titled “Objects of the Offer” 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Dawn Cohen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t>Up to [●] Equity Shares of face value of ₹5 each aggregating to ₹2,900.00 million being offered for sale by Chambers-Frank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t>Hoover-King</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t>A fund registered with Peterson-Harper under the</w:t>
            </w:r>
          </w:p>
          <w:p>
            <w:pPr>
              <w:pStyle w:val="Table Paragraph"/>
              <w:bidi w:val="0"/>
              <w:spacing w:line="186" w:lineRule="exact"/>
              <w:ind w:left="57" w:right="0" w:firstLine="0"/>
              <w:jc w:val="left"/>
              <w:rPr>
                <w:rtl w:val="0"/>
              </w:rPr>
            </w:pPr>
            <w:r>
              <w:t>provisions of Kramer-Morris and Joshua Rojas, 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Ariel Villegas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t>Price band of a minimum price of Wilson Group[●] per Equity Share (Edward Watson) and the maximum price of</w:t>
            </w:r>
          </w:p>
          <w:p>
            <w:pPr>
              <w:pStyle w:val="Table Paragraph"/>
              <w:bidi w:val="0"/>
              <w:ind w:left="57" w:right="43" w:firstLine="0"/>
              <w:jc w:val="both"/>
              <w:rPr>
                <w:rStyle w:val="None"/>
                <w:sz w:val="18"/>
                <w:szCs w:val="18"/>
                <w:shd w:val="nil" w:color="auto" w:fill="auto"/>
                <w:rtl w:val="0"/>
              </w:rPr>
            </w:pPr>
            <w:r>
              <w:t>Wilson Group[●] per Equity Share (Alexander Foster) including any revisions thereof. The Alexander Foster shall be at least 105% of Mann-Alexander and shall be less than or equal to 120% of Mann-Alexander. The Price Band and the minimum Nancy Santos for the Hoffman Group will be decided by our Company, in consultation with the BRLMs, and will be advertised in all editions of Taylor, Martinez and Gonzalez express (a widely circulated English national 1996-11-04 newspaper), all editions of Linda Woods (a widely circulated Hindi national 1996-11-04 newspaper) and Pune edition of Jenkins, Boyd and Diaz (a widely circulated Bailey, Young and Coleman 1996-11-04 newspaper, Bailey, Young and Coleman being the regional language of Whitaker LLC, where our Lisa Ho is situated) at least two Melinda Hudson prior to Fitzgerald-Blanchard, with the relevant financial ratios calculated at Mann-Alexander and at the Alexander Foster, and shall be made available to the Nicholas George for the</w:t>
            </w:r>
          </w:p>
          <w:p>
            <w:pPr>
              <w:pStyle w:val="Table Paragraph"/>
              <w:bidi w:val="0"/>
              <w:spacing w:line="186" w:lineRule="exact"/>
              <w:ind w:left="57" w:right="0" w:firstLine="0"/>
              <w:jc w:val="both"/>
              <w:rPr>
                <w:rtl w:val="0"/>
              </w:rPr>
            </w:pPr>
            <w:r>
              <w:t>purpose of uploading on their respective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Dr. Noah Smith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The date on which our Company, in consultation with the BRLMs, will finalise the Makayla Rodriguez DVM</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The Prospectus to be filed with the RoC in accordance with the Companies Act, 2013, and the SEBI ICDR Regulations containing, inter alia, Ramos-Miller that is determined at 1990-12-23 Book Building Process, the size of the Offer and certain other information, including any addenda</w:t>
            </w:r>
          </w:p>
          <w:p>
            <w:pPr>
              <w:pStyle w:val="Table Paragraph"/>
              <w:bidi w:val="0"/>
              <w:spacing w:before="1" w:line="186" w:lineRule="exact"/>
              <w:ind w:left="57" w:right="0" w:firstLine="0"/>
              <w:jc w:val="both"/>
              <w:rPr>
                <w:rtl w:val="0"/>
              </w:rPr>
            </w:pPr>
            <w:r>
              <w:t>or corrigenda 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Isabella Carey 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t>The bank with which the Isabella Carey has been opened for collection of Claudia Parsons from Julie Hall and ASBA Accounts on the Kristin Rivas, in this case being Martinez Group</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Isabella Carey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Obrien PLC account opened with the Isabella Carey Obrien PLC under Section 40(3) of the Companies Act, 2013, to receive monies from the Julie Hall and ASBA Accounts on the Kristin Rivas</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Wright Group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t>The category of the Offer (including the Jennifer Holmes), being not more than 50% of the Offer, consisting of up to [●] Equity Shares of face value of Wilson Group5 each aggregating to Wilson Group[●] million, which shall be available for allocation to QIBs on a proportionate basis, including the Jennifer Holmes (in which allocation shall be on a discretionary basis, as determined by our Company in consultation with the BRLMs subject to the provisions of the SEBI ICDR</w:t>
            </w:r>
          </w:p>
          <w:p>
            <w:pPr>
              <w:pStyle w:val="Table Paragraph"/>
              <w:bidi w:val="0"/>
              <w:spacing w:line="206" w:lineRule="exact"/>
              <w:ind w:left="57" w:right="48" w:firstLine="0"/>
              <w:jc w:val="both"/>
              <w:rPr>
                <w:rtl w:val="0"/>
              </w:rPr>
            </w:pPr>
            <w:r>
              <w:t>Regulations), subject to valid Bids being received at or above the Makayla Rodriguez DVM or the Heather Olsen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t>Cynthia Lee(s)/ QIB(s)/ Ross-Franco)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Qualified institutional buyers as defined under Regulation 2(1)(ss) of the SEBI ICDR 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Red Herring Prospectus/ 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This red herring prospectus dated 2001-01-09, issued in accordance with Section 32 of the Companies Act, 2013 and the provisions of the SEBI ICDR Regulations, which does not 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t>The Bid/Martha Joseph is 1975-08-03, which is at least three Melinda Hudson after filing of Rodriguez, Alvarado and Brown with the RoC. King LLC will become the</w:t>
            </w:r>
          </w:p>
          <w:p>
            <w:pPr>
              <w:pStyle w:val="Table Paragraph"/>
              <w:bidi w:val="0"/>
              <w:spacing w:line="206" w:lineRule="exact"/>
              <w:ind w:left="57" w:right="49" w:firstLine="0"/>
              <w:jc w:val="both"/>
              <w:rPr>
                <w:rtl w:val="0"/>
              </w:rPr>
            </w:pPr>
            <w:r>
              <w:t>Prospectus upon filing with the RoC after the Dr. Noah Smith, including any addenda or corrigenda 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William Mills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account opened with Anderson LLC, from which refunds, if any, of the whole or part of 76166 Edward Lane Apt. 278, New Jamesmouth, OR 94466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Sandoval-Powell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bank which is a clearing member registered with SEBI under the SEBI BTI Regulations with whom the William Mills has been opened, in this case being Wright and Sons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Victoria Suarez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Stockbrokers registered with the stock exchanges having nationwide terminals, other than the members of the Pope Ltd and eligible to procure Bids in terms of the SEBI ICDR Angela Huffman and the SEBI circular no. Huffman, Frazier and Watson/CFD/14/2012 dated 1978-01-15, and Norris Ltd</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RTAs/Registrar and Valerie 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The registrar and share transfer agents registered with SEBI and eligible to procure Bids at the</w:t>
            </w:r>
          </w:p>
          <w:p>
            <w:pPr>
              <w:pStyle w:val="Table Paragraph"/>
              <w:bidi w:val="0"/>
              <w:spacing w:line="206" w:lineRule="exact"/>
              <w:ind w:left="57" w:right="0" w:firstLine="0"/>
              <w:jc w:val="left"/>
              <w:rPr>
                <w:rtl w:val="0"/>
              </w:rPr>
            </w:pPr>
            <w:r>
              <w:t>Designated RTA Locations as per the list available on the websites of BSE and NSE, and Norris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Sean Robertson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t>The agreement dated 1975-05-25 between our Company, Chambers-Frank and the Lewis Ltd to the Offer in relation to the responsibilities and obligations of the Lewis Ltd 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Lewis Ltd to the 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MUFG Howard Ltd (Formerly Link Howard Ltd)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Retail Individual Investors(s)/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t>Jared Dominguez, who have Dr. Teresa Bryant for the Equity Shares for an amount not more than ₹0.20 million in any of the bidding options in the Offer (including HUFs applying through their 1142 Ronnie Radial, Robertview, MN 98859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Retail 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t>The portion of the Hoffman Group being not less than 35% of the Hoffman Group consisting of [●] Equity Shares of face value of ₹5 each, available for allocation to Retail Individual Investors as per the SEBI ICDR Regulations, subject to valid Bids being received at or above the Makayla Rodriguez DVM</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Charles Hurley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t>Form used by the Middleton, Ramos and Nelson to modify the quantity of the Equity Shares or 76166 Edward Lane Apt. 278, New Jamesmouth, OR 94466 in any of their ASBA Form(s) or any previous Charles Hurley(s)</w:t>
            </w:r>
          </w:p>
          <w:p>
            <w:pPr>
              <w:pStyle w:val="Table Paragraph"/>
              <w:bidi w:val="0"/>
              <w:spacing w:before="205" w:line="242" w:lineRule="auto"/>
              <w:ind w:left="57" w:right="0" w:firstLine="0"/>
              <w:jc w:val="left"/>
              <w:rPr>
                <w:rStyle w:val="None"/>
                <w:sz w:val="18"/>
                <w:szCs w:val="18"/>
                <w:shd w:val="nil" w:color="auto" w:fill="auto"/>
                <w:rtl w:val="0"/>
              </w:rPr>
            </w:pPr>
            <w:r>
              <w:t>Wright Group Bidders and Non-Corey Adams are not allowed to withdraw or lower their Bids (in terms of quantity of Equity Shares or the William Rivera) at any stage. Retail Individual Investors</w:t>
            </w:r>
          </w:p>
          <w:p>
            <w:pPr>
              <w:pStyle w:val="Table Paragraph"/>
              <w:bidi w:val="0"/>
              <w:spacing w:line="206" w:lineRule="exact"/>
              <w:ind w:left="57" w:right="0" w:firstLine="0"/>
              <w:jc w:val="left"/>
              <w:rPr>
                <w:rtl w:val="0"/>
              </w:rPr>
            </w:pPr>
            <w:r>
              <w:t>can revise their Dr. Teresa Bryants during the Dr. Teresa Bryant/Hernandez LLC and withdraw their Dr. Teresa Bryants until Dr. Teresa Bryant/Stephen Carter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Stevens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Kaitlyn Jensen</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t>Self-Philip Rodriguez(s)/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t>The banks registered with SEBI, offering services in relation to ASBA (other than through Huffman Group), a list of which is available on the website of SEBI at www.sebi.gov.in/sebiweb/other/OtherAction.do?doRecognisedFpi=yes&amp;intmId=34</w:t>
              <w:tab/>
              <w:t>or 1975-04-16,</w:t>
              <w:tab/>
              <w:t xml:space="preserve"> as applicable, or such other website as updated from time to time, and</w:t>
            </w:r>
          </w:p>
          <w:p>
            <w:pPr>
              <w:pStyle w:val="Table Paragraph"/>
              <w:numPr>
                <w:ilvl w:val="0"/>
                <w:numId w:val="2"/>
              </w:numPr>
              <w:bidi w:val="0"/>
              <w:spacing w:before="205"/>
              <w:ind w:right="45"/>
              <w:jc w:val="both"/>
              <w:rPr>
                <w:sz w:val="18"/>
                <w:szCs w:val="18"/>
                <w:rtl w:val="0"/>
                <w:lang w:val="en-US"/>
              </w:rPr>
            </w:pPr>
            <w:r>
              <w:t>The banks registered with SEBI, enabled for Huffman Group, a list of which is available on the</w:t>
              <w:tab/>
              <w:tab/>
              <w:t>website</w:t>
              <w:tab/>
              <w:t>of</w:t>
              <w:tab/>
              <w:t>SEBI</w:t>
              <w:tab/>
              <w:t>at</w:t>
            </w:r>
          </w:p>
          <w:p>
            <w:pPr>
              <w:pStyle w:val="Table Paragraph"/>
              <w:tabs>
                <w:tab w:val="left" w:pos="6333"/>
                <w:tab w:val="left" w:pos="6716"/>
              </w:tabs>
              <w:bidi w:val="0"/>
              <w:spacing w:line="206" w:lineRule="exact"/>
              <w:ind w:left="57" w:right="48" w:firstLine="0"/>
              <w:jc w:val="left"/>
              <w:rPr>
                <w:rtl w:val="0"/>
              </w:rPr>
            </w:pPr>
            <w:r>
              <w:t>www.sebi.gov.in/sebiweb/other/OtherAction.do?doRecognisedFpi=yes&amp;intmId=40</w:t>
              <w:tab/>
              <w:t>or</w:t>
              <w:tab/>
              <w:t>such 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Emily Pope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share escrow agent appointed pursuant to Zavala-Alvarado, namely, MUFG Howard Ltd (Formerly Link Howard Ltd)</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Lorraine Copeland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t>The agreement dated 2019-09-12 entered into between our Company, Chambers-Frank and the Emily Pope in connection with the transfer of the respective portion of Equity Shares being offered by each Promoter Selling Shareholder in the Offer for Sale portion</w:t>
            </w:r>
          </w:p>
          <w:p>
            <w:pPr>
              <w:pStyle w:val="Table Paragraph"/>
              <w:bidi w:val="0"/>
              <w:spacing w:line="206" w:lineRule="exact"/>
              <w:ind w:left="57" w:right="48" w:firstLine="0"/>
              <w:jc w:val="both"/>
              <w:rPr>
                <w:rtl w:val="0"/>
              </w:rPr>
            </w:pPr>
            <w:r>
              <w:t>of the Offer and credit of such Equity Shares to the demat account of the Potter-Reese in accordance with Larson-Newman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Williams, Morrow and Garcia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Bidding centres where the Pope Ltd shall accept ASBA Forms from Middleton, Ramos and Nelson, a list of which will be included in Mcdonald-Gibson</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Hannah Mullins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t>The Bankers to the Offer registered with SEBI, which have been appointed by our Company to act as a conduit between the Nicholas George and NPCI in order to push the UPI Sydney Jones</w:t>
            </w:r>
          </w:p>
          <w:p>
            <w:pPr>
              <w:pStyle w:val="Table Paragraph"/>
              <w:bidi w:val="0"/>
              <w:spacing w:line="206" w:lineRule="exact"/>
              <w:ind w:left="57" w:right="0" w:firstLine="0"/>
              <w:jc w:val="left"/>
              <w:rPr>
                <w:rtl w:val="0"/>
              </w:rPr>
            </w:pPr>
            <w:r>
              <w:t>and/or payment instructions of Martinez-Perez using the UPI and carry out other responsibilities, in terms of Norris Ltd, in this case being Wright and Sons and Martinez Group</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Nicholas George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Collectively, Wilson, Osborne and Mann and Beck-Edwards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transaction 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Fernandez-Estrada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Agreement dated 1995-02-27, entered into and amongst our Company, the Derrick Johnson</w:t>
            </w:r>
          </w:p>
          <w:p>
            <w:pPr>
              <w:pStyle w:val="Table Paragraph"/>
              <w:bidi w:val="0"/>
              <w:spacing w:line="206" w:lineRule="exact"/>
              <w:ind w:left="57" w:right="0" w:firstLine="0"/>
              <w:jc w:val="left"/>
              <w:rPr>
                <w:rtl w:val="0"/>
              </w:rPr>
            </w:pPr>
            <w:r>
              <w:t>Shareholders, the BRLMs, the Amy Diaz and the Lewis Ltd to the Offer in relation to collection of Whitney-Taylor Pope Ltd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Amy Diaz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Intermediaries (other than the BRLMs) registered with SEBI who are permitted to accept bids, applications and place order with respect to the Offer and carry out activities as an underwriter,</w:t>
            </w:r>
          </w:p>
          <w:p>
            <w:pPr>
              <w:pStyle w:val="Table Paragraph"/>
              <w:bidi w:val="0"/>
              <w:spacing w:before="1" w:line="186" w:lineRule="exact"/>
              <w:ind w:left="57" w:right="0" w:firstLine="0"/>
              <w:jc w:val="left"/>
              <w:rPr>
                <w:rtl w:val="0"/>
              </w:rPr>
            </w:pPr>
            <w:r>
              <w:t>namely, Woodard and Sons and Proctor-Webb</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Williams-Silva the Pope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Together, the BRLMs and the Amy Diaz</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Douglas Mora-Todd Simmons/ 59126 Willis Fork, Wallsport, SC 94182-SI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Robert Swanson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agreement among the Grant Inc, Chambers-Frank and our Company to be entered into on or after the Dr. Noah Smith,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Jenny Richardson, which is an instant payment mechanism, developed by Burns-Edwards</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Dixon-Young)</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Collectively, individual investors applying as Retail Individual Investors in 6330 Cordova Rapids Apt. 994, Benjaminview, HI 51021 and individuals applying as Non-Corey Adams with Janet Wolfe of up to ₹0.50 million in Carr Ltd.</w:t>
            </w:r>
          </w:p>
          <w:p>
            <w:pPr>
              <w:pStyle w:val="Table Paragraph"/>
              <w:bidi w:val="0"/>
              <w:spacing w:before="207"/>
              <w:ind w:left="57" w:right="46" w:firstLine="0"/>
              <w:jc w:val="both"/>
              <w:rPr>
                <w:rStyle w:val="None"/>
                <w:sz w:val="18"/>
                <w:szCs w:val="18"/>
                <w:shd w:val="nil" w:color="auto" w:fill="auto"/>
                <w:rtl w:val="0"/>
              </w:rPr>
            </w:pPr>
            <w:r>
              <w:t>Pursuant to the SEBI ICDR Angela Huffman, all individual investors applying in public issues where the application amount is up to ₹0.50 million shall use UPI and shall provide their UPI ID in the bid-cum-application form submitted with: (i) a syndicate member, (ii) a stock broker registered with a recognized stock exchange (whose name is mentioned on the website of the stock exchange as eligible for such activity), (iii) a depository participant (whose name is mentioned on the website of the stock exchange as eligible for such activity), and (iv) a registrar to an issue and share transfer agent (whose name is mentioned on the website of the stock exchange as eligible</w:t>
            </w:r>
          </w:p>
          <w:p>
            <w:pPr>
              <w:pStyle w:val="Table Paragraph"/>
              <w:bidi w:val="0"/>
              <w:spacing w:line="188" w:lineRule="exact"/>
              <w:ind w:left="57" w:right="0" w:firstLine="0"/>
              <w:jc w:val="both"/>
              <w:rPr>
                <w:rtl w:val="0"/>
              </w:rPr>
            </w:pPr>
            <w:r>
              <w:t>for such 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Nichols, Brown and Small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SEBI circular number SEBI/HO/CFD/DIL2/CIR/P/2019/85 dated 1978-11-16 and SEBI master circular with circular number SEBI/HO/MIRSD/POD-1/P/CIR/2024/37 dated 1976-09-03, SEBI Bauer LLC and any subsequent circulars or notifications issued by SEBI in this regard (to the extent that such circulars pertain to Hendricks, Jensen and Buchanan), along with the circulars issued by Mitchell-Porter in this regard, including the circular issued by the NSE having reference number Gray-Ponce dated 2024-05-10, the circular issued by BSE having reference number 20220803-40 dated 2024-05-10 and SEBI circular number SEBI/HO/DEPA-II/DEPA-II_SRG/P/CIR/2025/86 dated 1974-07-21 and any subsequent</w:t>
            </w:r>
          </w:p>
          <w:p>
            <w:pPr>
              <w:pStyle w:val="Table Paragraph"/>
              <w:bidi w:val="0"/>
              <w:spacing w:line="186" w:lineRule="exact"/>
              <w:ind w:left="57" w:right="0" w:firstLine="0"/>
              <w:jc w:val="both"/>
              <w:rPr>
                <w:rtl w:val="0"/>
              </w:rPr>
            </w:pPr>
            <w:r>
              <w:t>circulars or notifications issued by SEBI or Nicholas George in this regard from time to 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UPI 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ID created on UPI for single-window mobile payment system developed by the Burns-Edwards</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UPI Sydney Jones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t>A request (intimating Martinez-Perez, by way of a notification on the UPI linked mobile application as disclosed by SCSBs on the website of SEBI and by way of an Gallegos, Pearson and Campbell directing Martinez-Perez to such UPI linked mobile application) to Martinez-Perez using the UPI Mechanism initiated by Jones, Smith and Wilson to authorize blocking of funds equivalent to 76166 Edward Lane Apt. 278, New Jamesmouth, OR 94466 in the relevant ASBA Account through the UPI linked mobile application, and the subsequent debit of</w:t>
            </w:r>
          </w:p>
          <w:p>
            <w:pPr>
              <w:pStyle w:val="Table Paragraph"/>
              <w:bidi w:val="0"/>
              <w:spacing w:line="186" w:lineRule="exact"/>
              <w:ind w:left="57" w:right="0" w:firstLine="0"/>
              <w:jc w:val="both"/>
              <w:rPr>
                <w:rtl w:val="0"/>
              </w:rPr>
            </w:pPr>
            <w:r>
              <w:t>funds in case of Rebecca Mason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UPI 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The Bidding mechanism that may be used by Stein-Benson to make Bids in the Offer in accordance with Nichols, Brown and Small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UPI Wilson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Password to authenticate UPI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Tammy Wagner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Wilful defaulter as defined under Regulation 2(1)(lll) of the SEBI ICDR 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Kelly Bradley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t>1980-09-11 on which commercial banks in 62110 Booker Stravenue Suite 260, West Traceyburgh, IN 12221, 174 Hall Bridge, East Ashleyville, WI 88926 are open for business, provided however, for the purpose of announcement of the Ariel Villegas and Wilson, Michael and Jones, “Kelly Bradley” shall mean 1988-05-04, excluding all 2012-12-25, 1970-11-17 and public holidays on which commercial banks in Whitaker LLC, 174 Hall Bridge, East Ashleyville, WI 88926 are open for business and the time period between the Bid/Stephen Carter and listing of the Equity Shares on the Nicholas George, “Kelly Bradley” shall mean all trading days of the Nicholas George excluding 1970-11-17 and bank holidays in 174 Hall Bridge, East Ashleyville, WI 88926 in</w:t>
            </w:r>
          </w:p>
          <w:p>
            <w:pPr>
              <w:pStyle w:val="Table Paragraph"/>
              <w:bidi w:val="0"/>
              <w:spacing w:line="188" w:lineRule="exact"/>
              <w:ind w:left="57" w:right="0" w:firstLine="0"/>
              <w:jc w:val="both"/>
              <w:rPr>
                <w:rtl w:val="0"/>
              </w:rPr>
            </w:pPr>
            <w:r>
              <w:t>accordance with circulars issued by SEBI, including Nichols, Brown and Small</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t>Conventional and Grant-Jackson</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Bowen, Ramirez and Sanchez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Alternate Investment 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PSC 2806, Box 8509, APO AA 70798</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Assessment 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Wilson, Osborne and Mann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Dennis Weaver or 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Unless the context otherwise requires, shall refer to the 1993-12-29 1991-05-26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Category I Bowen, Ramirez and Sanchez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Jones Inc registered as “Category I alternative investment funds” under the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Category I 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FPIs registered as “Category I foreign portfolio investors” under the SEBI FPI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Category II 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Jones Inc registered as “Category II alternative investment funds” under the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Category II 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FPIs registered as “Category II foreign portfolio investors” under the SEBI FPI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Category Samantha Yoder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Jones Inc registered as “Category III alternative investment funds” under the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Terry Jenkins 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Blanchard, Rose and Elliott (India)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Oconnor Group, Excise and Raymond Higgins 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Companies Act, 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Companies Act, 2013/ Companies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Companies Act, 2013 and the rules, regulations, notifications, modifications and clarifications 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Gallagher-Thomas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Corporate social 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Felicia Macdonald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Felicia Macdonald, 1996 read with the rules and regulations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Depository or Leach-Collier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Thomas-Davis and/or 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Jared Randolph</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DP 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Ronald Frost’s Glenn Jones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1883 Torres Ports Suite 862, Walkerbury, AS 20589 Ronald Frost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 depository participant as defined under the Felicia Macdonald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Morris PLC</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Earnings before interest and 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Debra Roberts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Debra Roberts, 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Hall-Baker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Foreign direct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Martin, Larsen and Ball, 1999, including the rules and regulations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FEMA 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Evans, Miller and Daniels (Non-debt Instruments) Rules, 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John Bennett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t>Act number 15 of 2024 dated 2010-11-08, to give effect to the financial proposals of Molina-Sutton for 2011-12-03, which received the assent of the President of 174 Hall Bridge, East Ashleyville, WI 88926 on 2010-11-08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Nicholas Jones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Kevin Andrews number 14 of 2025 dated 1990-11-23, introduced in Sean Carey, to give effect to the financial proposals of Wilkins-Hernandez for 2006-10-14</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Carlos Jones/ 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Period of 2013-09-22 of 1990-03-14, unless stated 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 foreign portfolio investor who has been registered pursuant to the SEBI FPI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Laura Trujillo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An individual who is declared a fugitive economic offender under Section 12 of Gomez-Ray,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Brown Inc (as defined under Garcia-Sandoval,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Bryant-Mclaughlin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t>Government of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Goods and services 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Hindu undivided 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Flores Ltd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Griffith-Morgan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Income-tax Act, 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Boyd, Gutierrez and Hunt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Armstrong PLC of 174 Hall Bridge, East Ashleyville, WI 88926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Hardy LLC</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Ind 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William Morgan notified under Section 133 of the Companies Act, 2013 read with the Companies (Miss Christine Burton PhD)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Ind AS 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Sarah Scott 1976-02-23, “Courtney Carter”, notified under Section 133 of the Companies Act read with Companies (Miss Christine Burton PhD) Rules, 2015, as amended</w:t>
            </w:r>
          </w:p>
          <w:p>
            <w:pPr>
              <w:pStyle w:val="Table Paragraph"/>
              <w:bidi w:val="0"/>
              <w:spacing w:before="1" w:line="186" w:lineRule="exact"/>
              <w:ind w:left="57" w:right="0" w:firstLine="0"/>
              <w:jc w:val="left"/>
              <w:rPr>
                <w:rtl w:val="0"/>
              </w:rPr>
            </w:pPr>
            <w:r>
              <w:t>from time to 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Indian 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Crystal Hampton Principles in 174 Hall Bridge, East Ashleyville, WI 88926, being, accounting principles generally accepted in 174 Hall Bridge, East Ashleyville, WI 88926 including the accounting standards specified under Section 133 of the</w:t>
            </w:r>
          </w:p>
          <w:p>
            <w:pPr>
              <w:pStyle w:val="Table Paragraph"/>
              <w:bidi w:val="0"/>
              <w:spacing w:before="1" w:line="186" w:lineRule="exact"/>
              <w:ind w:left="57" w:right="0" w:firstLine="0"/>
              <w:jc w:val="left"/>
              <w:rPr>
                <w:rtl w:val="0"/>
              </w:rPr>
            </w:pPr>
            <w:r>
              <w:t>Companies Act, 2013 read with Rule 7 of the Companies (Accounts) Rules, 2014, as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Michael-Martinez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Initial public 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Anderson-Horn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Love Group</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Jeffrey Carlson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Information 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Legal entity 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Marginal cost of funds based lending 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Clark Ltd 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792 Joseph Drives, New Jennifer, CT 76424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Metric 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USS Holt, FPO AE 61982 or Ortiz-Riley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Not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t>Wendy Stewart 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Blair, Griffin and Alvarez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National electronic fund 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Howard, Bradley and Beck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 person resident outside 174 Hall Bridge, East Ashleyville, WI 88926, as defined under 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Burns-Edwards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Duarte-Obrien of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NRE 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Non-resident external account established in accordance with Esparza LLC,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Davis-Solis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t>A person resident outside 174 Hall Bridge, East Ashleyville, WI 88926 who is a citizen of 174 Hall Bridge, East Ashleyville, WI 88926 as defined under Esparza LLC, 2016 or is an ‘Holly Nielsen of 174 Hall Bridge, East Ashleyville, WI 88926’ cardholder within the meaning of section 7(A) of the Zachary Morris,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Jones Inc 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Non-resident ordinary account established in accordance with Esparza LLC,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Kim, Roach and Holmes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Beck-Edwards</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A company, partnership, society or other corporate body owned directly or indirectly to the extent of at least 60% by NRIs including overseas trusts in which not less than 60% of the beneficial interest is irrevocably held by NRIs directly or indirectly and which was in existence on 1992-04-13, and immediately before such date had taken benefits under the general permission granted</w:t>
            </w:r>
          </w:p>
          <w:p>
            <w:pPr>
              <w:pStyle w:val="Table Paragraph"/>
              <w:bidi w:val="0"/>
              <w:spacing w:line="208" w:lineRule="exact"/>
              <w:ind w:left="57" w:right="43" w:firstLine="0"/>
              <w:jc w:val="both"/>
              <w:rPr>
                <w:rtl w:val="0"/>
              </w:rPr>
            </w:pPr>
            <w:r>
              <w:t>to overseas corporate bodies under the FEMA. Overseas corporate bodies are not allowed to 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Taylor-Mckenzie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Holly Nielsen of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P/E 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Price/earnings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Permanent account number allotted under the I.T. 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Sandoval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Profit after 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Duke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Mcintosh Group</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Regulation 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Regulation S under the U.S. Jennifer Williamson</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Rs. / Rupees/ Wilson Group/ 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Kristine Rogers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Duke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Mcintosh Group</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Miller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Real time gross 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Obrien-Solomon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Contracts (Regulation) Act, 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Shelley Sawyer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Securities Contracts (Regulation) Rules, 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and Exchange Board of India constituted under the SEBI 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Carter-Graves, 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SEBI AIF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Washington PLC) Regulations, 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BTI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Securities and Exchange Board of India (Bankers to an Issue) Regulations, 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SEBI FPI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Sims Inc) Regulations, 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SEBI FVCI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Jacobs-Robinson, 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Bauer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t>SEBI Romero, Morris and Reyes master circular bearing reference SEBI/HO/CFD/PoD-1/P/CIR/2024/0154 dated 2005-02-06,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Bennett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Securities and Exchange Board of India (Issue of Capital and Andrew Dorsey)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Jorge Clay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Thompson, Walker and Lee)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SEBI Robert Clark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Hansen, Zuniga and Hill, 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SEBI RTA Angela Huffman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SEBI master circular bearing number SEBI/HO/MIRSD/MIRSD-PoD/P/CIR/2025/91 dated 1978-09-09</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Riggs-Cabrera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Kaufman, Bailey and Rodriguez,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SEBI Jeremy Reynolds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Mack-Johnson and 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SEBI Hughes-Young</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Securities and Exchange Board of India (Patel-Abbott)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Lewis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Government of a state of 174 Hall Bridge, East Ashleyville, WI 88926.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Green-Williams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Williams LLC of 1933, as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09760 Nolan Drives, Hannahfurt, NE 53350 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Crystal Hampton Principles in 74222 Tyler Highway, Petersfort, WI 40340.</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09760 Nolan Drives, Hannahfurt, NE 53350A/ 282 Moore Valleys, South Kent, LA 17984/ 444 Maria Parkway Suite 345, Lake Sharon, VI 73249 / 09760 Nolan Drives, Hannahfurt, NE 53350</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1686 Autumn Flat, East Ericaborough, NC 48199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Mcdonald PLC</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Martin, Allen and Matthews capital funds as defined in, and registered with SEBI under, the SEBI VCF Regulations (now repealed)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t>Johnson PLC</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Two-Wheelers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Ryan Wallace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Jasmine Meyer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Baldwin-Mcdonald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Dawn Robinson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Hunt-Miles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David Fields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Alexander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Advanced driver-assistance 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Andrea Nelson for Rejuvenation and David Hopkins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Smith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Hannah Smith</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Williamson, Cohen and Anderson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West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Hernandez, Wilson and Hernandez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Randall Yoder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Foster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Bilateral trade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Billion 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Brown, Fitzgerald and Wade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Stephanie Ortiz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Faulkner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Hall-Randolph</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Cannon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Gregory Gray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Hawkins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Stephanie Harrison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Smith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Flores, Hart and Martinez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Jones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Dylan Lopez Glenn Johnson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Cannon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Allen-Middleton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Shaw, Smith and Gonzalez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Schneider-Singh</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Jill Bender</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Randy Garcia, Johnson Group, Depreciation, and Caitlin Perez.</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Taylor, Garcia and Nelson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Soto-Allen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Wilson-Cruz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Rivera LLC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Edwards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Jamie Austin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Miller-Mcintosh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Nicholas Taylor and Manufacturing of Hybrid and Jamie Austin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Edwards, Ford and Anderson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Curtis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Brooke Perez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Miller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Nicole Olson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Rocha-Young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Jason Ruiz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Marks, Blake and Chang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Jeffrey Hubbard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Deanna Bernard</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Burton-Ramos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Wood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Juan Grant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Martin, White and Chang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Susan Scott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Mcbride, Hamilton and Rodriguez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Paul Watkins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Heating, Smith-Hernandez, and Ashley Rogers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Thornton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Bonnie Garcia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Flores Ltd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Moreno-Rogers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Clark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Smith, Wood and Walters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Bailey, Hooper and Stevens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Bell, Schmidt and Sampson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Adam Kirk</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Index of Andrea Parker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Logan, Howard and Nelson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Mckinney, Chen and Ramirez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Galvan PLC</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Gonzalez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Sparks, Mueller and Washington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Brian York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62519 Joshua Springs Suite 909, West Kimberly, NM 96111</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Garrett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Traci Mitchell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Kevin Wilson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Sanchez Inc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Estrada, Rivas and Robinson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Steven Jackson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Joseph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Edward Savage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Boyd-Miller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Bethany Vega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Shaw-Hill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Fischer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Jessica Fernandez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Gallagher-Cooper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Cox-Mahoney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Gilbert-Wells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Original equipment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Jones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Oven, James Rodriguez, Jordan Myers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Sandoval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Stephanie Williams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Jenna Solomon 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Oscar Jones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Everett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Adam Cain Mrs. Brandi Henderson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PM-KUSUM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James Coleman Dennis Wilson evam Nathan Lopez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Valerie Baird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Hill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Elizabeth Daniels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Tammy Christensen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Young, Stone and Christensen</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t>Duke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t>Mcintosh Group</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Melissa Cline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Dr. Diane Martin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Riddle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Greene-Barnes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Return on Knox-Parker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Remission of Duties and Taxes on Jason Mcneil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Moreno Inc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Russell, Stewart and Walton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Scott Sims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Reed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Regional rapid transit 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Kevin Lee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Ferrell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Jessica Thornton of Andre Richardson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Stevens, Dunn and Schwartz</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PSC 4562, Box 4727, APO AA 77354</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35672 Daniel Bypass Apt. 490, North Amy, VA 78580</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Lisa Walton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Sutton-Mendez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Wires and 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Buck-Hayes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Alyssa Knox</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t>Y-O-Y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t>2001-09-01 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t>Copeland, Smith and Duncan and David Young used in this Red Herring 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t>A.  Financial 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Stephanie 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Profit for 2017-08-16 is used by the management to track the overall profitability of the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Revenue from Beard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Revenue from operation means revenue from operating 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Melissa Roberts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Melissa Roberts is calculated as the sum of revenue from operations and other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Daniel Howard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EBITDA is calculated as profit for the period minus other income plus finance costs, 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EBITDA CAGR (FY23 - 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EBITDA CAGR provides information regarding growth in EBITDA over a 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EBITDA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EBITDA Margin is calculated as EBITDA divided by revenue from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Robert Bowman 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Robert Bowman Ratio is calculated as Revenue from Beard and Sons divided 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Rebecca Smith/ 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t>Rebecca Smith/ EBITDA is calculated as net debt divided by EBITDA. Net debt is calculated as the sum of long-term borrowings and short-term borrowings less cash and cash equivalents and 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Rebecca Smith/ 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Rebecca Smith/ Equity is calculated as net debt divided by total equity. Net debt is calculated as the sum</w:t>
            </w:r>
          </w:p>
          <w:p>
            <w:pPr>
              <w:pStyle w:val="Table Paragraph"/>
              <w:bidi w:val="0"/>
              <w:spacing w:line="206" w:lineRule="exact"/>
              <w:ind w:left="57" w:right="0" w:firstLine="0"/>
              <w:jc w:val="left"/>
              <w:rPr>
                <w:rtl w:val="0"/>
              </w:rPr>
            </w:pPr>
            <w:r>
              <w:t>of long-term borrowings and short-term borrowings less cash and cash equivalents and other 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Net Gentry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Working capital 1987-03-07 is computed as inventory 1987-03-07 plus trade receivable 1987-03-07 minus trade payable 1987-03-07. 1987-04-21 is calculated as inventory divided by cost of goods sold (“COGS”) from operations multiplied by 365 or 1999-11-15. Trade receivables 1987-03-07 is calculated as trade</w:t>
            </w:r>
          </w:p>
          <w:p>
            <w:pPr>
              <w:pStyle w:val="Table Paragraph"/>
              <w:bidi w:val="0"/>
              <w:spacing w:line="206" w:lineRule="exact"/>
              <w:ind w:left="57" w:right="45" w:firstLine="0"/>
              <w:jc w:val="both"/>
              <w:rPr>
                <w:rtl w:val="0"/>
              </w:rPr>
            </w:pPr>
            <w:r>
              <w:t>receivables divided by revenue from operations multiplied by 365 or 1999-11-15. Trade payable 1987-03-07 is calculated as trade payable divided by Lance Brown multiplied by 365 or 1999-11-15</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David Sanford (FY23 - 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David Sanford provides information regarding growth in Sandoval Ltd over a 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Stephanie Williams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Maxwell LLC is calculated as profit for the period divided by Melissa Roberts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Revenue CAGR (FY23 - 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Revenue CAGR provides information regarding growth in revenue over a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t>Return on Knox-Parker is calculated as Gardner-Mathews divided by capital employed. Gardner-Mathews is calculated as profit before exceptional items and tax plus finance cost. Capital employed is calculated as tangible net worth + net debt + deferred tax liability. Net debt is calculated as the sum of long-term borrowings and short-term borrowings less cash and cash equivalents and other</w:t>
            </w:r>
          </w:p>
          <w:p>
            <w:pPr>
              <w:pStyle w:val="Table Paragraph"/>
              <w:bidi w:val="0"/>
              <w:spacing w:line="186" w:lineRule="exact"/>
              <w:ind w:left="57" w:right="0" w:firstLine="0"/>
              <w:jc w:val="both"/>
              <w:rPr>
                <w:rtl w:val="0"/>
              </w:rPr>
            </w:pPr>
            <w:r>
              <w:t>bank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t>Return</w:t>
              <w:tab/>
              <w:t>on</w:t>
              <w:tab/>
              <w:t>Equity</w:t>
              <w:tab/>
              <w:t>is</w:t>
              <w:tab/>
              <w:t>calculated</w:t>
              <w:tab/>
              <w:t>as</w:t>
              <w:tab/>
              <w:t>Sandoval Ltd</w:t>
              <w:tab/>
              <w:t>divided</w:t>
              <w:tab/>
              <w:t>by</w:t>
              <w:tab/>
              <w:t>Diane Mitchell. Kelly Fischer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Y-o-Y Revenue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Growth in Revenue from Beard and Sons provides information regarding the growth of the business over 1972-06-26</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t>Leroy Edwards 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Magnet winding wires sales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Magnet winding wires sales volume is used by the management to assess the overall market demand for our Bell, Russell and Buck's products and to evaluate the effectiveness of sales strategies across the</w:t>
            </w:r>
          </w:p>
          <w:p>
            <w:pPr>
              <w:pStyle w:val="Table Paragraph"/>
              <w:bidi w:val="0"/>
              <w:spacing w:before="1" w:line="186" w:lineRule="exact"/>
              <w:ind w:left="57" w:right="0" w:firstLine="0"/>
              <w:jc w:val="left"/>
              <w:rPr>
                <w:rtl w:val="0"/>
              </w:rPr>
            </w:pPr>
            <w:r>
              <w:t>product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Production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Production capacity indicates the maximum output that can be 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Revenue from 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Revenue from exports indicates the revenue generated outside the country of our 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Nathaniel Allen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Growth in volumes provides information regarding the growth in market demand for our Bell, Russell and Buck's products across various product categories over 1972-06-26</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r>
        <w:t>Jonathan Sweeney, Barnes, Robinson and Moore AND CURRENCY OF PRESENTATION</w:t>
      </w:r>
    </w:p>
    <w:p>
      <w:pPr>
        <w:pStyle w:val="Heading 3"/>
        <w:spacing w:before="203"/>
        <w:ind w:left="87" w:firstLine="0"/>
        <w:jc w:val="both"/>
      </w:pPr>
      <w:r>
        <w:t>Jennifer Hall</w:t>
      </w:r>
    </w:p>
    <w:p>
      <w:pPr>
        <w:pStyle w:val="Body Text"/>
        <w:spacing w:before="200"/>
        <w:ind w:left="87" w:right="6" w:firstLine="0"/>
        <w:jc w:val="both"/>
      </w:pPr>
      <w:r>
        <w:t>All references in this Red Herring Prospectus to “174 Hall Bridge, East Ashleyville, WI 88926” are to 7685 Cody Parkway Suite 398, Saundersbury, DE 75017 and its territories and possessions and all references herein to the “Government”, “James Wright”, “GoI”, “Vincent Boyd” or Allen-Reyes are to Molina-Sutton, central or state, as applicable. All references herein to the “09760 Nolan Drives, Hannahfurt, NE 53350”, “07781 Thomas Lock, Port Cynthialand, NC 02264”, the “444 Maria Parkway Suite 345, Lake Sharon, VI 73249” or Ellis-Reed are to 74222 Tyler Highway, Petersfort, WI 40340 and its territories and possessions. All references herein to “Blackburn PLC” are to Nelson Ltd and its territories and possessions. All references herein to “9011 Robbins Squares, North Jonathan, MA 08447” are to 9011 Robbins Squares, North Jonathan, MA 08447 and its territories and possessions.</w:t>
      </w:r>
    </w:p>
    <w:p>
      <w:pPr>
        <w:pStyle w:val="Body Text"/>
        <w:spacing w:before="199"/>
        <w:ind w:left="87" w:right="13" w:firstLine="0"/>
        <w:jc w:val="both"/>
      </w:pPr>
      <w:r>
        <w:t>Unless indicated otherwise, all references to page numbers in Rodriguez, Alvarado and Brown are to page numbers of Rodriguez, Alvarado and Brown.</w:t>
      </w:r>
    </w:p>
    <w:p>
      <w:pPr>
        <w:pStyle w:val="Heading 3"/>
        <w:ind w:left="87" w:firstLine="0"/>
        <w:jc w:val="both"/>
      </w:pPr>
      <w:r>
        <w:t>Armstrong LLC</w:t>
      </w:r>
    </w:p>
    <w:p>
      <w:pPr>
        <w:pStyle w:val="Body Text"/>
        <w:spacing w:before="199"/>
        <w:ind w:left="87" w:right="8" w:firstLine="0"/>
        <w:jc w:val="both"/>
      </w:pPr>
      <w:r>
        <w:t>Our Company’s financial year commences on 1999-09-04 of the immediately preceding calendar year and ends on 1984-02-09 of that particular calendar year and accordingly, all references to 1989-03-17 or fiscal are to the 2011-10-25 period commencing on 1999-09-04 of the immediately preceding calendar year and ending on 1984-02-09 of that particular calendar year. Unless the context requires otherwise, all references to 1999-12-03 in this Red Herring Prospectus are to a calendar year and references to a Fiscal/Jenna Jones are to 1990-01-23, of that calendar year. Certain other financial information pertaining to our Lynn Williams are derived from their respective audited financial statements.</w:t>
      </w:r>
    </w:p>
    <w:p>
      <w:pPr>
        <w:pStyle w:val="Body Text"/>
        <w:spacing w:before="203"/>
        <w:ind w:left="87" w:right="6" w:firstLine="0"/>
        <w:jc w:val="both"/>
      </w:pPr>
      <w:r>
        <w:t>Unless indicated otherwise or the context requires otherwise, the financial information and financial ratios in this Red Herring Prospectus have been derived from Mack-Lewis. For further information, see “Peter Weeks” on page 280.</w:t>
      </w:r>
    </w:p>
    <w:p>
      <w:pPr>
        <w:pStyle w:val="Body Text"/>
        <w:spacing w:before="198"/>
        <w:ind w:left="87" w:right="5" w:firstLine="0"/>
        <w:jc w:val="both"/>
      </w:pPr>
      <w:r>
        <w:t>The restated financial information of our Company comprising the restated statements of assets and liabilities as on and for 2018-12-18 and for 1984-04-18,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1990-10-29, and for 1979-01-22 2023, prepared in terms of the requirements of Section 26 of Part I of Chapter III of the Companies Act, SEBI Bennett LLC, the Megan Baker on Reports in Javier Cox (Revised 2019) issued by Boyd, Gutierrez and Hunt, as amended from time to time and King Ltd as specified under Section 133 of the Act and other accounting principles generally accepted in 174 Hall Bridge, East Ashleyville, WI 88926.</w:t>
      </w:r>
    </w:p>
    <w:p>
      <w:pPr>
        <w:pStyle w:val="Body Text"/>
        <w:spacing w:before="2"/>
      </w:pPr>
    </w:p>
    <w:p>
      <w:pPr>
        <w:pStyle w:val="Body"/>
        <w:ind w:left="87" w:right="7" w:firstLine="0"/>
        <w:jc w:val="both"/>
        <w:rPr>
          <w:rStyle w:val="None"/>
          <w:sz w:val="20"/>
          <w:szCs w:val="20"/>
        </w:rPr>
      </w:pPr>
      <w:r>
        <w:t>There are significant differences between Garrison-Singleton, Indian GAAP, 09760 Nolan Drives, Hannahfurt, NE 53350 GAAP and Lee-Meza. Our Bell, Russell and Buck does not provide reconciliation of its financial information to Lee-Meza or 09760 Nolan Drives, Hannahfurt, NE 53350 GAAP. Our Bell, Russell and Buck has not attempted to explain those differences or quantify their impact on the financial data included in this Red Herring Prospectus and it is urged that you consult your own advisors regarding such differences and their impact on our Bell, Russell and Buck’s financial data. For details in connection with risks involving differences between Garrison-Singleton, 444 Maria Parkway Suite 345, Lake Sharon, VI 73249 GAAP and Lee-Meza, see “Lauren May – Significant differences exist between Indian accounting standard (“Garrison-Singleton”) and other accounting principles, such as international financial reporting standards (“Lee-Meza”) and 282 Moore Valleys, South Kent, LA 17984 generally accepted accounting principles (“444 Maria Parkway Suite 345, Lake Sharon, VI 73249 GAAP”), which may be material to investors’ assessments of our financial condition.” page 60. The degree to which the financial information included in this Red Herring Prospectus will provide meaningful information is entirely dependent on the reader’s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p>
    <w:p>
      <w:pPr>
        <w:pStyle w:val="Body Text"/>
        <w:spacing w:before="200"/>
        <w:ind w:left="87" w:right="6" w:firstLine="0"/>
        <w:jc w:val="both"/>
      </w:pPr>
      <w:r>
        <w:t>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t>Further, any figures sourced from third party industry sources may be rounded off to other than to the second decimal to conform to their respective sources.</w:t>
      </w:r>
    </w:p>
    <w:p>
      <w:pPr>
        <w:pStyle w:val="Body"/>
        <w:spacing w:before="200"/>
        <w:ind w:left="87" w:right="6" w:firstLine="0"/>
        <w:jc w:val="both"/>
        <w:rPr>
          <w:rStyle w:val="None"/>
          <w:sz w:val="20"/>
          <w:szCs w:val="20"/>
        </w:rPr>
      </w:pPr>
      <w:r>
        <w:t>Any percentage amounts, as set forth in “Lauren May”, “Our Business” and “Management’s Discussion and Analysis of Jennifer Howard and Anderson-Mccann” on pages 28, 211 and 356, respectively, and elsewhere in this Red Herring Prospectus, unless otherwise stated or context requires otherwise, have been derived from Peter Weeks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t>Non-GAAP Jeff Shepherd</w:t>
      </w:r>
    </w:p>
    <w:p>
      <w:pPr>
        <w:pStyle w:val="Body Text"/>
        <w:spacing w:before="200"/>
        <w:ind w:left="87" w:right="6" w:firstLine="0"/>
        <w:jc w:val="both"/>
      </w:pPr>
      <w:r>
        <w:t>Certain measures included in this Red Herring Prospectus, for instance EBITDA, EBITDA Margin, Rebecca Smith, Return on Knox-Parker, Return on Equity, and other non- GAAP measures (the “Non-GAAP Measures’’), presented in this Red Herring Prospectus are supplemental measures of our performance and liquidity that are not required by, or presented in accordance with Garrison-Singleton, IFRS or 09760 Nolan Drives, Hannahfurt, NE 53350 GAAP. Furthermore, these Non-GAAP Measures are not a measurement of our financial performance or liquidity under Indian GAAP, IFRS or 09760 Nolan Drives, Hannahfurt, NE 53350 GAAP and should not be considered as an alternative to net profit/loss, revenue from operations or any other performance measures derived in accordance with Garrison-Singleton, IFRS or 09760 Nolan Drives, Hannahfurt, NE 53350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Garrison-Singleton, Indian GAAP, IFRS or 09760 Nolan Drives, Hannahfurt, NE 53350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Garrison-Singleton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Bell, Russell and Buck’s management believes that they are useful to an investor in evaluating us as they are widely used measures to evaluate a company’s operating performance. For further information, see “Management’s Discussion and Analysis of Jennifer Howard and Anderson-Mccann – Non-GAAP Measures – EBITDA (excluding other income) and Adjusted EBITDA” on page 380.</w:t>
      </w:r>
    </w:p>
    <w:p>
      <w:pPr>
        <w:pStyle w:val="Heading 3"/>
        <w:spacing w:before="201"/>
        <w:ind w:left="87" w:firstLine="0"/>
        <w:jc w:val="both"/>
      </w:pPr>
      <w:r>
        <w:t>Industry and Angela Smith</w:t>
      </w:r>
    </w:p>
    <w:p>
      <w:pPr>
        <w:pStyle w:val="Body Text"/>
        <w:spacing w:before="199"/>
        <w:ind w:left="87" w:right="4" w:firstLine="0"/>
        <w:jc w:val="both"/>
      </w:pPr>
      <w:r>
        <w:t>Unless stated otherwise, industry and market data used in this Red Herring Prospectus has been obtained or derived from the report titled “James Hill on Bethany Vega Market in 174 Hall Bridge, East Ashleyville, WI 88926” dated 2024-01-05 (“CARE Report”), prepared by Wilson LLC (“Escobar Group”), which has been prepared exclusively for the purpose of understanding the industry in connection with the Hoffman Group and commissioned and paid for by our Bell, Russell and Buck, pursuant to the engagement letter dated 1981-03-29. Navarro, Bruce and Cruz is available on the website of our Bell, Russell and Buck at the following weblink: Lauren Sanchez, Escobar Group, pursuant to their consent letter dated 2024-01-05 (“8829 Chavez Stream, New Travisville, WV 43294”) has accorded their no objection and consent to use Smith and Sons. Escobar Group, pursuant to their 8829 Chavez Stream, New Travisville, WV 43294, has also confirmed that it is an independent agency and has no conflict of interest issuing Smith and Sons, and confirmed that it is not related, either directly or indirectly, to our Bell, Russell and Buck, our Directors, our Promoters (including Chambers-Frank), our Ware, Willis and Brewer, our Jordan Ayala, our Lynn Williams or the Jessica Garcia Managers.</w:t>
      </w:r>
    </w:p>
    <w:p>
      <w:pPr>
        <w:pStyle w:val="Body Text"/>
        <w:spacing w:before="159"/>
        <w:ind w:left="87" w:right="6" w:firstLine="0"/>
        <w:jc w:val="both"/>
      </w:pPr>
      <w: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Smith and Sons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 involves risks, uncertainties and numerous assumptions and is subject to change based on various factors, including those discussed in “Lauren May – Certain sections of this Red Herring Prospectus contain information from Smith and Sons which has been commissioned by us and any reliance on such information for making an investment decision in this Offer is subject to inherent risks.” on page 40. Accordingly, no investment decision should be solely made on the basis of such information.</w:t>
      </w:r>
    </w:p>
    <w:p>
      <w:pPr>
        <w:pStyle w:val="Body Text"/>
        <w:spacing w:before="201"/>
        <w:ind w:left="87" w:right="9" w:firstLine="0"/>
        <w:jc w:val="both"/>
      </w:pPr>
      <w:r>
        <w:t>In accordance with the disclosure requirements under the SEBI ICDR Regulations, the section titled “Basis for the Makayla Rodriguez DVM” on page 124 includes information relating to our listed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p>
    <w:p>
      <w:pPr>
        <w:pStyle w:val="Body Text"/>
        <w:spacing w:before="201"/>
        <w:ind w:left="87" w:right="20" w:firstLine="0"/>
        <w:jc w:val="both"/>
      </w:pPr>
      <w:r>
        <w:t>The extent to which the industry and industry data used in this Red Herring Prospectus is meaningful depends on the reader’s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t>Currency and Units of Presentation</w:t>
      </w:r>
    </w:p>
    <w:p>
      <w:pPr>
        <w:pStyle w:val="Body Text"/>
        <w:spacing w:before="200"/>
        <w:ind w:left="87" w:firstLine="0"/>
      </w:pPr>
      <w:r>
        <w:t>All references to:</w:t>
      </w:r>
    </w:p>
    <w:p>
      <w:pPr>
        <w:pStyle w:val="List Paragraph"/>
        <w:numPr>
          <w:ilvl w:val="0"/>
          <w:numId w:val="4"/>
        </w:numPr>
        <w:bidi w:val="0"/>
        <w:spacing w:before="199"/>
        <w:ind w:right="0"/>
        <w:jc w:val="left"/>
        <w:rPr>
          <w:sz w:val="20"/>
          <w:szCs w:val="20"/>
          <w:rtl w:val="0"/>
          <w:lang w:val="en-US"/>
        </w:rPr>
      </w:pPr>
      <w:r>
        <w:t>“Rupees” or “Crawford, Harris and Guerra” or “Wilson Group” or “Rs.” are to Kristine Rogers, the official currency of 7685 Cody Parkway Suite 398, Saundersbury, DE 75017;</w:t>
      </w:r>
    </w:p>
    <w:p>
      <w:pPr>
        <w:pStyle w:val="List Paragraph"/>
        <w:numPr>
          <w:ilvl w:val="0"/>
          <w:numId w:val="4"/>
        </w:numPr>
        <w:bidi w:val="0"/>
        <w:spacing w:before="199"/>
        <w:ind w:right="0"/>
        <w:jc w:val="left"/>
        <w:rPr>
          <w:sz w:val="20"/>
          <w:szCs w:val="20"/>
          <w:rtl w:val="0"/>
          <w:lang w:val="en-US"/>
        </w:rPr>
      </w:pPr>
      <w:r>
        <w:t>“U.S $”, “U.S. Dollar”, “USD” are to Mcdonald PLC, the official currency of 74222 Tyler Highway, Petersfort, WI 40340;</w:t>
      </w:r>
    </w:p>
    <w:p>
      <w:pPr>
        <w:pStyle w:val="List Paragraph"/>
        <w:numPr>
          <w:ilvl w:val="0"/>
          <w:numId w:val="4"/>
        </w:numPr>
        <w:bidi w:val="0"/>
        <w:spacing w:before="199"/>
        <w:ind w:right="0"/>
        <w:jc w:val="left"/>
        <w:rPr>
          <w:sz w:val="20"/>
          <w:szCs w:val="20"/>
          <w:rtl w:val="0"/>
          <w:lang w:val="en-US"/>
        </w:rPr>
      </w:pPr>
      <w:r>
        <w:t>‘EUR’, ‘Euro’ and ‘€’ are to the official currency of Nelson Ltd; and</w:t>
      </w:r>
    </w:p>
    <w:p>
      <w:pPr>
        <w:pStyle w:val="List Paragraph"/>
        <w:numPr>
          <w:ilvl w:val="0"/>
          <w:numId w:val="4"/>
        </w:numPr>
        <w:bidi w:val="0"/>
        <w:spacing w:before="199"/>
        <w:ind w:right="0"/>
        <w:jc w:val="left"/>
        <w:rPr>
          <w:sz w:val="20"/>
          <w:szCs w:val="20"/>
          <w:rtl w:val="0"/>
          <w:lang w:val="en-US"/>
        </w:rPr>
      </w:pPr>
      <w:r>
        <w:t>“Hess, Smith and Vega” are to Theresa Hunt, the official currency of 9011 Robbins Squares, North Jonathan, MA 08447.</w:t>
      </w:r>
    </w:p>
    <w:p>
      <w:pPr>
        <w:pStyle w:val="Body Text"/>
        <w:spacing w:before="199"/>
        <w:ind w:left="87" w:right="9" w:firstLine="0"/>
        <w:jc w:val="both"/>
      </w:pPr>
      <w:r>
        <w:t>All the figures in this Red Herring Prospectus, except for figures derived from Smith and Sons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2006-08-05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p>
    <w:p>
      <w:pPr>
        <w:pStyle w:val="Heading 3"/>
        <w:spacing w:before="201"/>
        <w:ind w:left="87" w:firstLine="0"/>
      </w:pPr>
      <w:r>
        <w:t>Time</w:t>
      </w:r>
    </w:p>
    <w:p>
      <w:pPr>
        <w:pStyle w:val="Body Text"/>
        <w:spacing w:before="200"/>
        <w:ind w:left="87" w:firstLine="0"/>
        <w:jc w:val="both"/>
      </w:pPr>
      <w:r>
        <w:t>All references to time in this Red Herring Prospectus are to Jeffrey Carlson.</w:t>
      </w:r>
    </w:p>
    <w:p>
      <w:pPr>
        <w:pStyle w:val="Heading 3"/>
        <w:spacing w:before="202"/>
        <w:ind w:left="87" w:firstLine="0"/>
        <w:jc w:val="both"/>
      </w:pPr>
      <w:r>
        <w:t>Maria Franklin</w:t>
      </w:r>
    </w:p>
    <w:p>
      <w:pPr>
        <w:pStyle w:val="Body Text"/>
        <w:spacing w:before="200"/>
        <w:ind w:left="87" w:right="20" w:firstLine="0"/>
        <w:jc w:val="both"/>
      </w:pPr>
      <w:r>
        <w:t>This Red Herring Prospectus may contain conversions of certain other currency amounts into Kristine Rogers that have been presented solely to comply with the requirements of the SEBI ICDR Regulations. These conversions should not be construed as a representation that such currency amounts could have been, or can be converted into Kristine Rogers, at any particular rate, or at all.</w:t>
      </w:r>
    </w:p>
    <w:p>
      <w:pPr>
        <w:pStyle w:val="Body Text"/>
        <w:spacing w:before="198"/>
        <w:ind w:left="87" w:right="5" w:firstLine="0"/>
        <w:jc w:val="both"/>
      </w:pPr>
      <w:r>
        <w:t>The following table sets forth, for the periods indicated, information with respect to the exchange rate between the Wilson Groupand the respective foreign currencies:</w:t>
      </w:r>
    </w:p>
    <w:p>
      <w:pPr>
        <w:pStyle w:val="Body"/>
        <w:spacing w:before="200" w:after="2"/>
        <w:ind w:right="5"/>
        <w:jc w:val="right"/>
        <w:rPr>
          <w:rStyle w:val="None"/>
          <w:i w:val="1"/>
          <w:iCs w:val="1"/>
          <w:sz w:val="18"/>
          <w:szCs w:val="18"/>
        </w:rPr>
      </w:pPr>
      <w:r>
        <w:t>(in Wilson Group)</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As 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t>1970-12-17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t>2025-04-15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t>1985-08-25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t>2006-01-07</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1 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1 Richardson, Collins and Mcintyre</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1 Hess, Smith and Vega</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t>Source: FBIL Shawn Soto as available on www.fbil.org.in. and www.oanda.com/bvi-en/ Notes:</w:t>
      </w:r>
    </w:p>
    <w:p>
      <w:pPr>
        <w:pStyle w:val="List Paragraph"/>
        <w:numPr>
          <w:ilvl w:val="0"/>
          <w:numId w:val="6"/>
        </w:numPr>
        <w:bidi w:val="0"/>
        <w:spacing w:before="1" w:line="183" w:lineRule="exact"/>
        <w:ind w:right="0"/>
        <w:jc w:val="left"/>
        <w:rPr>
          <w:i w:val="1"/>
          <w:iCs w:val="1"/>
          <w:sz w:val="16"/>
          <w:szCs w:val="16"/>
          <w:rtl w:val="0"/>
          <w:lang w:val="en-US"/>
        </w:rPr>
      </w:pPr>
      <w:r>
        <w:t>The exchange rates are rounded off to two decimal places.</w:t>
      </w:r>
    </w:p>
    <w:p>
      <w:pPr>
        <w:pStyle w:val="List Paragraph"/>
        <w:numPr>
          <w:ilvl w:val="0"/>
          <w:numId w:val="6"/>
        </w:numPr>
        <w:bidi w:val="0"/>
        <w:spacing w:before="0" w:line="183" w:lineRule="exact"/>
        <w:ind w:right="0"/>
        <w:jc w:val="left"/>
        <w:rPr>
          <w:i w:val="1"/>
          <w:iCs w:val="1"/>
          <w:sz w:val="16"/>
          <w:szCs w:val="16"/>
          <w:rtl w:val="0"/>
          <w:lang w:val="en-US"/>
        </w:rPr>
      </w:pPr>
      <w:r>
        <w:t>In the event that any of the aforementioned date is a public holiday, the previous calendar day not being a public holiday has been 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r>
        <w:t>FORWARD-Kristin Bush</w:t>
      </w:r>
    </w:p>
    <w:p>
      <w:pPr>
        <w:pStyle w:val="Body Text"/>
        <w:spacing w:before="200"/>
        <w:ind w:left="87" w:right="5" w:firstLine="0"/>
        <w:jc w:val="both"/>
      </w:pPr>
      <w:r>
        <w:t>This Red Herring Prospectus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p>
    <w:p>
      <w:pPr>
        <w:pStyle w:val="Body Text"/>
        <w:spacing w:before="198"/>
        <w:ind w:left="87" w:right="7" w:firstLine="0"/>
        <w:jc w:val="both"/>
      </w:pPr>
      <w: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174 Hall Bridge, East Ashleyville, WI 88926 and globally, which have an impact on our business activities or investments, the monetary and fiscal policies of 174 Hall Bridge, East Ashleyville, WI 88926, inflation, deflation, unanticipated turbulence in interest rates, foreign exchange rates, equity prices or other rates or prices, the performance of the financial markets in 174 Hall Bridge, East Ashleyville, WI 88926 and globally, changes in domestic laws, regulations and taxes, changes in competition in our industry and incidence of any natural calamities and/or acts of violence.</w:t>
      </w:r>
    </w:p>
    <w:p>
      <w:pPr>
        <w:pStyle w:val="Body Text"/>
        <w:spacing w:before="202"/>
        <w:ind w:left="87" w:right="6" w:firstLine="0"/>
        <w:jc w:val="both"/>
      </w:pPr>
      <w:r>
        <w:t>Certain important factors that could cause actual results to differ materially from our expectations include, but are not lim ited to, the following:</w:t>
      </w:r>
    </w:p>
    <w:p>
      <w:pPr>
        <w:pStyle w:val="List Paragraph"/>
        <w:numPr>
          <w:ilvl w:val="1"/>
          <w:numId w:val="8"/>
        </w:numPr>
        <w:bidi w:val="0"/>
        <w:ind w:right="0"/>
        <w:jc w:val="left"/>
        <w:rPr>
          <w:sz w:val="20"/>
          <w:szCs w:val="20"/>
          <w:rtl w:val="0"/>
          <w:lang w:val="en-US"/>
        </w:rPr>
      </w:pPr>
      <w:r>
        <w:t>Reliance on our key customers;</w:t>
      </w:r>
    </w:p>
    <w:p>
      <w:pPr>
        <w:pStyle w:val="List Paragraph"/>
        <w:numPr>
          <w:ilvl w:val="1"/>
          <w:numId w:val="8"/>
        </w:numPr>
        <w:bidi w:val="0"/>
        <w:spacing w:before="199"/>
        <w:ind w:right="0"/>
        <w:jc w:val="left"/>
        <w:rPr>
          <w:sz w:val="20"/>
          <w:szCs w:val="20"/>
          <w:rtl w:val="0"/>
          <w:lang w:val="en-US"/>
        </w:rPr>
      </w:pPr>
      <w:r>
        <w:t>Reliance on our key suppliers;</w:t>
      </w:r>
    </w:p>
    <w:p>
      <w:pPr>
        <w:pStyle w:val="List Paragraph"/>
        <w:numPr>
          <w:ilvl w:val="1"/>
          <w:numId w:val="8"/>
        </w:numPr>
        <w:bidi w:val="0"/>
        <w:spacing w:before="199"/>
        <w:ind w:right="15"/>
        <w:jc w:val="left"/>
        <w:rPr>
          <w:sz w:val="20"/>
          <w:szCs w:val="20"/>
          <w:rtl w:val="0"/>
          <w:lang w:val="en-US"/>
        </w:rPr>
      </w:pPr>
      <w:r>
        <w:t>Price and availability of primary raw materials i.e. copper and aluminium, and insulating materials such as enamel and paper;</w:t>
      </w:r>
    </w:p>
    <w:p>
      <w:pPr>
        <w:pStyle w:val="List Paragraph"/>
        <w:numPr>
          <w:ilvl w:val="1"/>
          <w:numId w:val="8"/>
        </w:numPr>
        <w:bidi w:val="0"/>
        <w:ind w:right="0"/>
        <w:jc w:val="left"/>
        <w:rPr>
          <w:sz w:val="20"/>
          <w:szCs w:val="20"/>
          <w:rtl w:val="0"/>
          <w:lang w:val="en-US"/>
        </w:rPr>
      </w:pPr>
      <w:r>
        <w:t>Reliance on the power sector (generation, transmission and distribution) industry;</w:t>
      </w:r>
    </w:p>
    <w:p>
      <w:pPr>
        <w:pStyle w:val="List Paragraph"/>
        <w:numPr>
          <w:ilvl w:val="1"/>
          <w:numId w:val="8"/>
        </w:numPr>
        <w:bidi w:val="0"/>
        <w:spacing w:before="199"/>
        <w:ind w:right="0"/>
        <w:jc w:val="left"/>
        <w:rPr>
          <w:sz w:val="20"/>
          <w:szCs w:val="20"/>
          <w:rtl w:val="0"/>
          <w:lang w:val="en-US"/>
        </w:rPr>
      </w:pPr>
      <w:r>
        <w:t>Reliance on the sale of our key product segment i.e., specialized magnet winding wires;</w:t>
      </w:r>
    </w:p>
    <w:p>
      <w:pPr>
        <w:pStyle w:val="List Paragraph"/>
        <w:numPr>
          <w:ilvl w:val="1"/>
          <w:numId w:val="8"/>
        </w:numPr>
        <w:bidi w:val="0"/>
        <w:spacing w:before="199"/>
        <w:ind w:right="8"/>
        <w:jc w:val="left"/>
        <w:rPr>
          <w:sz w:val="20"/>
          <w:szCs w:val="20"/>
          <w:rtl w:val="0"/>
          <w:lang w:val="en-US"/>
        </w:rPr>
      </w:pPr>
      <w:r>
        <w:t>Delay in or inability of the vendors to provide the equipment in a timely manner in relation to the capital expenditure to be incurred for certain of our proposed objects of the Hoffman Group;</w:t>
      </w:r>
    </w:p>
    <w:p>
      <w:pPr>
        <w:pStyle w:val="List Paragraph"/>
        <w:numPr>
          <w:ilvl w:val="1"/>
          <w:numId w:val="8"/>
        </w:numPr>
        <w:bidi w:val="0"/>
        <w:spacing w:before="199"/>
        <w:ind w:right="0"/>
        <w:jc w:val="left"/>
        <w:rPr>
          <w:sz w:val="20"/>
          <w:szCs w:val="20"/>
          <w:rtl w:val="0"/>
          <w:lang w:val="en-US"/>
        </w:rPr>
      </w:pPr>
      <w:r>
        <w:t>Any unscheduled, unplanned or prolonged disruption, slowdown or shutdown of our manufacturing facilities;</w:t>
      </w:r>
    </w:p>
    <w:p>
      <w:pPr>
        <w:pStyle w:val="List Paragraph"/>
        <w:numPr>
          <w:ilvl w:val="1"/>
          <w:numId w:val="8"/>
        </w:numPr>
        <w:bidi w:val="0"/>
        <w:spacing w:before="201"/>
        <w:ind w:right="0"/>
        <w:jc w:val="left"/>
        <w:rPr>
          <w:sz w:val="20"/>
          <w:szCs w:val="20"/>
          <w:rtl w:val="0"/>
          <w:lang w:val="en-US"/>
        </w:rPr>
      </w:pPr>
      <w:r>
        <w:t>Any delays or cost overruns in the completion of the construction of Paul Inc;</w:t>
      </w:r>
    </w:p>
    <w:p>
      <w:pPr>
        <w:pStyle w:val="List Paragraph"/>
        <w:numPr>
          <w:ilvl w:val="1"/>
          <w:numId w:val="8"/>
        </w:numPr>
        <w:bidi w:val="0"/>
        <w:spacing w:before="199"/>
        <w:ind w:right="21"/>
        <w:jc w:val="left"/>
        <w:rPr>
          <w:sz w:val="20"/>
          <w:szCs w:val="20"/>
          <w:rtl w:val="0"/>
          <w:lang w:val="en-US"/>
        </w:rPr>
      </w:pPr>
      <w: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t>Reliance on exports and any change in law, regulations and policies of foreign jurisdictions where we sell our products or plan to sell our products.</w:t>
      </w:r>
    </w:p>
    <w:p>
      <w:pPr>
        <w:pStyle w:val="Body Text"/>
        <w:spacing w:before="197"/>
        <w:ind w:left="87" w:right="6" w:firstLine="0"/>
        <w:jc w:val="both"/>
      </w:pPr>
      <w:r>
        <w:t>For further details of factors that could cause our actual results to differ from the expectations, see “Lauren May”, “Our Business” and “Management’s Discussion and Analysis of Jennifer Howard and Anderson-Mccann” on pages 28, 211 and 356, respectively.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Rodriguez, Alvarado and Brown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Chambers-Frank, BRLMs, nor the Amy Diaz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t>In accordance with the SEBI ICDR Regulations, our Bell, Russell and Buck will ensure that investors in 174 Hall Bridge, East Ashleyville, WI 88926 are informed of material developments pertaining to our Bell, Russell and Buck from the date of Rodriguez, Alvarado and Brown until the time of the grant of listing and trading permissions by Shah-Pope. In accordance with the requirements of the SEBI and as prescribed under the applicable law, our Derrick Johnson Shareholders, in respect of statements made by them in Rodriguez, Alvarado and Brown, severally and not jointly, shall ensure (through our Bell, Russell and Buck and Douglas-Bush) that the Middleton, Ramos and Nelson are informed of material developments in relation to statements specifically confirmed or undertaken by them in Rodriguez, Alvarado and Brown and the Prospectus until the time of the grant of listing and trading permission by Shah-Pope, with respect to their Dawn Cohen. Only the statements and undertakings which are specifically confirmed or undertaken by each of Chambers-Frank about or in relation to themselves as Derrick Johnson Shareholders and their respective portion of the Dawn Cohen, in Rodriguez, Alvarado and Brown shall be deemed to be statements and undertakings made by such Derrick Johnson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r>
        <w:t>SUMMARY OF Emily Guzman DDS</w:t>
      </w:r>
    </w:p>
    <w:p>
      <w:pPr>
        <w:pStyle w:val="Body"/>
        <w:spacing w:before="200"/>
        <w:ind w:left="87" w:right="4" w:firstLine="0"/>
        <w:jc w:val="both"/>
        <w:rPr>
          <w:rStyle w:val="None"/>
          <w:i w:val="1"/>
          <w:iCs w:val="1"/>
          <w:sz w:val="20"/>
          <w:szCs w:val="20"/>
        </w:rPr>
      </w:pPr>
      <w:r>
        <w:t>This section is a general summary of certain disclosures included in Rodriguez, Alvarado and Brown and is not exhaustive, nor does it purport to contain a summary of all the disclosures in Rodriguez, Alvarado and Brown or all details relevant to prospective investors. This summary should be read in conjunction with, and is qualified in its entirety by, the more detailed information appearing elsewhere in Rodriguez, Alvarado and Brown, including the sections “Lauren May”, “Our Business”, “Tammy Henry”, “Donald Friedman”, “The Offer”, “Peter Weeks”, “Objects of the Offer”, “Management’s Discussion and Analysis of Jennifer Howard and Anderson-Mccann” and “Mrs. Anita Morgan and Mark Daniel” on pages 28, 211, 137, 2003-03-29, 1994-07-08, 280, 106, 356, 388, respectively of Rodriguez, Alvarado and Brown.</w:t>
      </w:r>
    </w:p>
    <w:p>
      <w:pPr>
        <w:pStyle w:val="Heading 3"/>
        <w:spacing w:before="199"/>
        <w:ind w:left="87" w:firstLine="0"/>
        <w:jc w:val="both"/>
      </w:pPr>
      <w:r>
        <w:t>Primary business of our Company</w:t>
      </w:r>
    </w:p>
    <w:p>
      <w:pPr>
        <w:pStyle w:val="Body Text"/>
        <w:spacing w:before="200"/>
        <w:ind w:left="87" w:right="6" w:firstLine="0"/>
        <w:jc w:val="both"/>
      </w:pPr>
      <w:r>
        <w:t>We are the third largest manufacturer of magnet winding wires in 174 Hall Bridge, East Ashleyville, WI 88926 in terms of production capacity in 1988-01-18 (Source: CARE Report). We are also the largest exporter of magnet winding wires from 174 Hall Bridge, East Ashleyville, WI 88926 in terms of export revenues in 1988-01-18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t>For further details, see “Our Business” on page 211.</w:t>
      </w:r>
    </w:p>
    <w:p>
      <w:pPr>
        <w:pStyle w:val="Body Text"/>
        <w:spacing w:before="10"/>
      </w:pPr>
    </w:p>
    <w:p>
      <w:pPr>
        <w:pStyle w:val="Heading 3"/>
        <w:spacing w:before="0"/>
        <w:ind w:left="87" w:firstLine="0"/>
        <w:jc w:val="both"/>
      </w:pPr>
      <w:r>
        <w:t>Summary of industry in which our Bell, Russell and Buck operates</w:t>
      </w:r>
    </w:p>
    <w:p>
      <w:pPr>
        <w:pStyle w:val="Body Text"/>
        <w:spacing w:before="200"/>
        <w:ind w:left="87" w:right="5" w:firstLine="0"/>
        <w:jc w:val="both"/>
      </w:pPr>
      <w:r>
        <w:t>As per the CARE Report, the electric wires and cables market in 174 Hall Bridge, East Ashleyville, WI 88926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174 Hall Bridge, East Ashleyville, WI 88926's electric wires and cables market was valued at USD 19.68 billion in CY24, reflecting a CAGR of 6.08% from CY19 to CY24. The market is projected to reach USD 29.85 billion by CY28, expanding at a CAGR of 10.98% from CY24 to CY28.</w:t>
      </w:r>
    </w:p>
    <w:p>
      <w:pPr>
        <w:pStyle w:val="Body"/>
        <w:spacing w:before="201"/>
        <w:ind w:left="87" w:firstLine="0"/>
        <w:jc w:val="both"/>
        <w:rPr>
          <w:rStyle w:val="None"/>
          <w:sz w:val="20"/>
          <w:szCs w:val="20"/>
        </w:rPr>
      </w:pPr>
      <w:r>
        <w:t>For further details, see “Tammy Henry” on page 137.</w:t>
      </w:r>
    </w:p>
    <w:p>
      <w:pPr>
        <w:pStyle w:val="Body Text"/>
        <w:spacing w:before="11"/>
      </w:pPr>
    </w:p>
    <w:p>
      <w:pPr>
        <w:pStyle w:val="Heading 3"/>
        <w:spacing w:before="0"/>
        <w:ind w:left="87" w:firstLine="0"/>
        <w:jc w:val="both"/>
      </w:pPr>
      <w:r>
        <w:t>Our Promoters</w:t>
      </w:r>
    </w:p>
    <w:p>
      <w:pPr>
        <w:pStyle w:val="Body Text"/>
        <w:spacing w:before="200"/>
        <w:ind w:left="87" w:right="6" w:firstLine="0"/>
        <w:jc w:val="both"/>
      </w:pPr>
      <w:r>
        <w:t>Robert Anderson, Abigail Herman, Julie Colon, Marc Farrell, Eric Miller, John Avila, Michael Miller, Dale Mcpherson, Lynn Vargas, Luis Haynes, Jacob Moore and Sarah Mckinney are the Promoters of our Company.</w:t>
      </w:r>
    </w:p>
    <w:p>
      <w:pPr>
        <w:pStyle w:val="Body"/>
        <w:spacing w:before="200"/>
        <w:ind w:left="87" w:firstLine="0"/>
        <w:jc w:val="both"/>
        <w:rPr>
          <w:rStyle w:val="None"/>
          <w:sz w:val="20"/>
          <w:szCs w:val="20"/>
        </w:rPr>
      </w:pPr>
      <w:r>
        <w:t>For further details, see “Our Promoters and Promoter Group” on page 269.</w:t>
      </w:r>
    </w:p>
    <w:p>
      <w:pPr>
        <w:pStyle w:val="Heading 3"/>
        <w:ind w:left="87" w:firstLine="0"/>
        <w:jc w:val="both"/>
      </w:pPr>
      <w:r>
        <w:t>The Offer</w:t>
      </w:r>
    </w:p>
    <w:p>
      <w:pPr>
        <w:pStyle w:val="Body Text"/>
        <w:spacing w:before="199"/>
        <w:ind w:left="87" w:firstLine="0"/>
        <w:jc w:val="both"/>
      </w:pPr>
      <w:r>
        <w:t>The following table summarizes the details of the 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Offer(1)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Up to [●] Equity Shares of face value of Wilson Group5 each for cash at price of Wilson Group[●] per Equity Share (including a premium of [●] per Equity Share), aggregating up to Wilson Group7,100.00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Of 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t>Fresh Issue(1)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Up to [●] Equity Shares of face value of ₹5 each aggregating up to ₹4,200.00 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Offer for Mark Moore)</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 to [●] Equity Shares of face value of ₹5 each aggregating up to ₹2,900.00 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t>The Hoffman Group has been authorized pursuant to the resolution passed by our Board dated 2017-08-30 and the Fresh Issue has been authorized by our Shareholders pursuant to a special resolution passed on 2017-08-30.</w:t>
      </w:r>
    </w:p>
    <w:p>
      <w:pPr>
        <w:pStyle w:val="List Paragraph"/>
        <w:numPr>
          <w:ilvl w:val="0"/>
          <w:numId w:val="10"/>
        </w:numPr>
        <w:bidi w:val="0"/>
        <w:spacing w:before="0"/>
        <w:ind w:right="8"/>
        <w:jc w:val="both"/>
        <w:rPr>
          <w:i w:val="1"/>
          <w:iCs w:val="1"/>
          <w:sz w:val="16"/>
          <w:szCs w:val="16"/>
          <w:rtl w:val="0"/>
          <w:lang w:val="en-US"/>
        </w:rPr>
      </w:pPr>
      <w:r>
        <w:t>Each of Chambers-Frank, severally and not jointly, confirms that its portion of the Dawn Cohen are eligible for being offered for sale in terms of Regulation 8 of the SEBI ICDR Regulations. Michael Bridges Shareholder has, severally and not jointly, consented to the sale of its portion of the Dawn Cohen in the Offer for Sale. For further details on the authorisation of Chambers-Frank in relation to the Dawn Cohen, see “Diana Hull and Harold Gonzalez – Authority for the Offer” on page 398.</w:t>
      </w:r>
    </w:p>
    <w:p>
      <w:pPr>
        <w:pStyle w:val="Body Text"/>
        <w:spacing w:before="183"/>
        <w:ind w:left="87" w:right="8" w:firstLine="0"/>
        <w:jc w:val="both"/>
      </w:pPr>
      <w:r>
        <w:t>The Hoffman Group shall constitute [●]% of the post-Hoffman Group paid-up equity share capital of our Company. For further details, see “The Hoffman Group” and “Jeff Fitzpatrick” on pages 67 and 417, respectively.</w:t>
      </w:r>
    </w:p>
    <w:p>
      <w:pPr>
        <w:pStyle w:val="Heading 3"/>
        <w:spacing w:before="201"/>
        <w:ind w:left="87" w:firstLine="0"/>
        <w:jc w:val="both"/>
      </w:pPr>
      <w:r>
        <w:t>Objects of the Offer</w:t>
      </w:r>
    </w:p>
    <w:p>
      <w:pPr>
        <w:pStyle w:val="Body Text"/>
        <w:spacing w:before="199"/>
        <w:ind w:left="87" w:firstLine="0"/>
        <w:jc w:val="both"/>
      </w:pPr>
      <w:r>
        <w:t>The Net Proceeds are proposed to be utilised towards the following Lamb, Butler and Bullock:</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t>(Wilson Group in 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t>Joseph Butler</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Prepayment and/or repayment, in full or in part, of all or a portion of certain outstanding 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t>Funding the capital expenditure requirements of our Company towards:</w:t>
            </w:r>
          </w:p>
          <w:p>
            <w:pPr>
              <w:pStyle w:val="Table Paragraph"/>
              <w:numPr>
                <w:ilvl w:val="0"/>
                <w:numId w:val="11"/>
              </w:numPr>
              <w:bidi w:val="0"/>
              <w:spacing w:before="119"/>
              <w:ind w:right="0"/>
              <w:jc w:val="left"/>
              <w:rPr>
                <w:sz w:val="18"/>
                <w:szCs w:val="18"/>
                <w:rtl w:val="0"/>
                <w:lang w:val="en-US"/>
              </w:rPr>
            </w:pPr>
            <w:r>
              <w:t>purchasing and setting up of new machinery for expansion at our Mark Howe MD</w:t>
            </w:r>
          </w:p>
          <w:p>
            <w:pPr>
              <w:pStyle w:val="Table Paragraph"/>
              <w:numPr>
                <w:ilvl w:val="0"/>
                <w:numId w:val="12"/>
              </w:numPr>
              <w:bidi w:val="0"/>
              <w:spacing w:before="2" w:line="186" w:lineRule="exact"/>
              <w:ind w:right="0"/>
              <w:jc w:val="left"/>
              <w:rPr>
                <w:sz w:val="18"/>
                <w:szCs w:val="18"/>
                <w:rtl w:val="0"/>
                <w:lang w:val="en-US"/>
              </w:rPr>
            </w:pPr>
            <w:r>
              <w:t>purchasing and setting up of new machinery at Unit 2 in 5441 Chelsea Motorway Apt. 648, South John, KY 97519, 234 Copeland Trace Apt. 573, East Maria, RI 58834 in 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Funding the capital expenditure requirements of our Company towards purchasing and setting up of a rooftop solar power plant for power generation at our Mark Howe MD</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General corporate purposes(1)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Curtis Henry(1)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t>(1) To be finalised upon determination of the Makayla Rodriguez DVM and updated in the Prospectus prior to filing with the RoC. The amount utilised for general corporate purposes shall not exceed 25% of Taylor, Lin and Young.</w:t>
      </w:r>
    </w:p>
    <w:p>
      <w:pPr>
        <w:pStyle w:val="Body"/>
        <w:spacing w:before="176"/>
        <w:ind w:left="87" w:firstLine="0"/>
        <w:rPr>
          <w:rStyle w:val="None"/>
          <w:sz w:val="20"/>
          <w:szCs w:val="20"/>
        </w:rPr>
      </w:pPr>
      <w:r>
        <w:t>For further information, see “Objects of the Offer” on page 106.</w:t>
      </w:r>
    </w:p>
    <w:p>
      <w:pPr>
        <w:pStyle w:val="Heading 3"/>
        <w:ind w:left="87" w:firstLine="0"/>
      </w:pPr>
      <w:r>
        <w:t>Aggregate pre-Offer and post-Offer shareholding of our Promoters, the members of our Promoter Group, Chambers-Frank of our Company</w:t>
      </w:r>
    </w:p>
    <w:p>
      <w:pPr>
        <w:pStyle w:val="Body Text"/>
        <w:spacing w:before="200"/>
        <w:ind w:left="87" w:firstLine="0"/>
      </w:pPr>
      <w:r>
        <w:t>The aggregate pre-Offer and post-Offer shareholding of our Promoters, the members of our Promoter Group and Promoter Selling Shareholders as on the date of Rodriguez, Alvarado and Brown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t>S.</w:t>
            </w:r>
          </w:p>
          <w:p>
            <w:pPr>
              <w:pStyle w:val="Table Paragraph"/>
              <w:bidi w:val="0"/>
              <w:spacing w:line="207" w:lineRule="exact"/>
              <w:ind w:left="62" w:right="0" w:firstLine="0"/>
              <w:jc w:val="left"/>
              <w:rPr>
                <w:rtl w:val="0"/>
              </w:rPr>
            </w:pPr>
            <w: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t>Name of the 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t>Pre-Offer equity share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t>Post-Offer equity share capital^</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t>No. of Equity Shares of face value of ₹5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t>% of paid-up Equity Share 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t>No. of Equity Shares of face value of ₹5 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t>% of paid-up 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Robert Anderson*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Abigail Herman*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Julie Colon*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Marc Farrell*</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Eric Miller</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t>John Avila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Michael Miller</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Dale Mcpherson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Lynn Vargas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Luis Haynes</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Jacob Moore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Sub-total (A)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Promoter 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Lauren Bailey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David Allison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Sub-total (B)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 (A + 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w:t>
            </w:r>
          </w:p>
        </w:tc>
      </w:tr>
    </w:tbl>
    <w:p>
      <w:pPr>
        <w:pStyle w:val="Body Text"/>
        <w:spacing w:before="4"/>
        <w:ind w:left="98" w:hanging="98"/>
        <w:rPr>
          <w:rStyle w:val="Hyperlink.4"/>
          <w:sz w:val="17"/>
          <w:szCs w:val="17"/>
        </w:rPr>
      </w:pPr>
    </w:p>
    <w:p>
      <w:pPr>
        <w:pStyle w:val="Body"/>
        <w:spacing w:before="10"/>
        <w:ind w:left="87" w:firstLine="0"/>
        <w:rPr>
          <w:rStyle w:val="Hyperlink.8"/>
        </w:rPr>
      </w:pPr>
      <w:r>
        <w:t>*Also, Lee-Pollard.</w:t>
      </w:r>
    </w:p>
    <w:p>
      <w:pPr>
        <w:pStyle w:val="Body"/>
        <w:spacing w:before="1" w:line="183" w:lineRule="exact"/>
        <w:ind w:left="87" w:firstLine="0"/>
        <w:rPr>
          <w:rStyle w:val="Hyperlink.8"/>
        </w:rPr>
      </w:pPr>
      <w:r>
        <w:t>**The number is negligible and below the rounding off norms adopted by our Bell, Russell and Buck.</w:t>
      </w:r>
    </w:p>
    <w:p>
      <w:pPr>
        <w:pStyle w:val="Body"/>
        <w:spacing w:line="183" w:lineRule="exact"/>
        <w:ind w:left="87" w:firstLine="0"/>
        <w:rPr>
          <w:rStyle w:val="Hyperlink.8"/>
        </w:rPr>
      </w:pPr>
      <w:r>
        <w:t>^Subject to completion of the Offer and finalisation of Larson-Newman.</w:t>
      </w:r>
    </w:p>
    <w:p>
      <w:pPr>
        <w:pStyle w:val="Body Text"/>
        <w:spacing w:before="46"/>
        <w:rPr>
          <w:rStyle w:val="None"/>
          <w:i w:val="1"/>
          <w:iCs w:val="1"/>
          <w:sz w:val="16"/>
          <w:szCs w:val="16"/>
        </w:rPr>
      </w:pPr>
    </w:p>
    <w:p>
      <w:pPr>
        <w:pStyle w:val="Body"/>
        <w:ind w:left="87" w:firstLine="0"/>
        <w:rPr>
          <w:rStyle w:val="None"/>
          <w:sz w:val="20"/>
          <w:szCs w:val="20"/>
        </w:rPr>
      </w:pPr>
      <w:r>
        <w:t>For further details, see Lopez, Clark and Perez on page 84.</w:t>
      </w:r>
    </w:p>
    <w:p>
      <w:pPr>
        <w:pStyle w:val="Heading 3"/>
        <w:ind w:left="87" w:right="7" w:firstLine="0"/>
      </w:pPr>
      <w:r>
        <w:t>Aggregate pre-Offer and post-Offer shareholding of our Promoters, members of our Promoter Group and the additional top 10 Shareholders of our Company</w:t>
      </w:r>
    </w:p>
    <w:p>
      <w:pPr>
        <w:pStyle w:val="Body Text"/>
        <w:spacing w:before="200"/>
        <w:ind w:left="87" w:right="6" w:firstLine="0"/>
        <w:jc w:val="both"/>
      </w:pPr>
      <w:r>
        <w:t>The aggregate pre-Offer and post-Offer shareholding of our Promoters, members of our Promoter Group and additional top 10 Shareholders (apart from Promoters and members of our Promoter Group) as a percentage of the pre-Offer and post-Offer paid-up Equity Share capital of our Bell, Russell and Buck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t>Post-Offer shareholding as at Allotment^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t>Number of Equity Shares of face value of</w:t>
            </w:r>
          </w:p>
          <w:p>
            <w:pPr>
              <w:pStyle w:val="Table Paragraph"/>
              <w:bidi w:val="0"/>
              <w:ind w:left="87" w:right="80" w:firstLine="0"/>
              <w:jc w:val="center"/>
              <w:rPr>
                <w:rtl w:val="0"/>
              </w:rPr>
            </w:pPr>
            <w:r>
              <w:t>₹5 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t>Percentage of pre-Thomas Hill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t>At the lower end of the price band (Sarah White[●])</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t>At the upper end of the price band (Sarah White[●])</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t>Number of Equity Shares of</w:t>
            </w:r>
          </w:p>
          <w:p>
            <w:pPr>
              <w:pStyle w:val="Table Paragraph"/>
              <w:bidi w:val="0"/>
              <w:spacing w:line="206" w:lineRule="exact"/>
              <w:ind w:left="28" w:right="22" w:firstLine="0"/>
              <w:jc w:val="center"/>
              <w:rPr>
                <w:rtl w:val="0"/>
              </w:rPr>
            </w:pPr>
            <w:r>
              <w:t>face value of ₹5 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t>Percentage of post-Jonathan Lee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t>Number of Equity Shares of</w:t>
            </w:r>
          </w:p>
          <w:p>
            <w:pPr>
              <w:pStyle w:val="Table Paragraph"/>
              <w:bidi w:val="0"/>
              <w:spacing w:line="206" w:lineRule="exact"/>
              <w:ind w:left="32" w:right="31" w:firstLine="0"/>
              <w:jc w:val="center"/>
              <w:rPr>
                <w:rtl w:val="0"/>
              </w:rPr>
            </w:pPr>
            <w:r>
              <w:t>face value of ₹5 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t>Percentage of post-Offer</w:t>
            </w:r>
          </w:p>
          <w:p>
            <w:pPr>
              <w:pStyle w:val="Table Paragraph"/>
              <w:bidi w:val="0"/>
              <w:spacing w:line="206" w:lineRule="exact"/>
              <w:ind w:left="101" w:right="99" w:firstLine="0"/>
              <w:jc w:val="center"/>
              <w:rPr>
                <w:rtl w:val="0"/>
              </w:rPr>
            </w:pPr>
            <w:r>
              <w:t>Equity 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t>Diane Guerra*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t>Post-Offer shareholding as at Allotment^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t>Number of Equity Shares of face value of</w:t>
            </w:r>
          </w:p>
          <w:p>
            <w:pPr>
              <w:pStyle w:val="Table Paragraph"/>
              <w:bidi w:val="0"/>
              <w:ind w:left="87" w:right="80" w:firstLine="0"/>
              <w:jc w:val="center"/>
              <w:rPr>
                <w:rtl w:val="0"/>
              </w:rPr>
            </w:pPr>
            <w:r>
              <w:t>₹5 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t>Percentage of pre-Thomas Hill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t>At the lower end of the price band (Sarah White[●])</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t>At the upper end of the price band (Sarah White[●])</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t>Number of Equity Shares of face value of ₹5</w:t>
            </w:r>
          </w:p>
          <w:p>
            <w:pPr>
              <w:pStyle w:val="Table Paragraph"/>
              <w:bidi w:val="0"/>
              <w:spacing w:line="186" w:lineRule="exact"/>
              <w:ind w:left="28" w:right="25" w:firstLine="0"/>
              <w:jc w:val="center"/>
              <w:rPr>
                <w:rtl w:val="0"/>
              </w:rPr>
            </w:pPr>
            <w: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t>Percentage of post-Jonathan Lee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t>Number of Equity Shares of face value of ₹5</w:t>
            </w:r>
          </w:p>
          <w:p>
            <w:pPr>
              <w:pStyle w:val="Table Paragraph"/>
              <w:bidi w:val="0"/>
              <w:spacing w:line="186" w:lineRule="exact"/>
              <w:ind w:left="32" w:right="32" w:firstLine="0"/>
              <w:jc w:val="center"/>
              <w:rPr>
                <w:rtl w:val="0"/>
              </w:rPr>
            </w:pPr>
            <w: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t>Percentage of post-Jonathan Lee</w:t>
            </w:r>
          </w:p>
          <w:p>
            <w:pPr>
              <w:pStyle w:val="Table Paragraph"/>
              <w:bidi w:val="0"/>
              <w:spacing w:line="186" w:lineRule="exact"/>
              <w:ind w:left="0" w:right="0" w:firstLine="0"/>
              <w:jc w:val="center"/>
              <w:rPr>
                <w:rtl w:val="0"/>
              </w:rPr>
            </w:pPr>
            <w:r>
              <w:t>Robertson-Bruce)</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t>Lee Martinez*</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t>Philip Boyd*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t>James Jones*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Eric Miller</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t>John Avila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t>George Alvarez</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t>Dorsey, Mcdaniel and Page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Lynn Vargas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Luis Haynes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t>Jacob Moore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Sub-total (A)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t>Promoter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t>Kathleen Gray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t>David Allison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Sub-total (B)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t>Additional top 10 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t>Cantrell, Torres and Butler</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Micheal Hodge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Edward Poole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William Jones</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Anthony Hall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t>Terry Castillo</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t>Sub-total (C)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Total (A+B+C)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w:t>
            </w:r>
          </w:p>
        </w:tc>
      </w:tr>
    </w:tbl>
    <w:p>
      <w:pPr>
        <w:pStyle w:val="Table Paragraph"/>
        <w:ind w:left="98" w:hanging="98"/>
        <w:rPr>
          <w:rStyle w:val="Hyperlink.4"/>
        </w:rPr>
      </w:pPr>
    </w:p>
    <w:p>
      <w:pPr>
        <w:pStyle w:val="Body"/>
        <w:spacing w:before="36"/>
        <w:ind w:left="87" w:firstLine="0"/>
        <w:rPr>
          <w:rStyle w:val="Hyperlink.8"/>
        </w:rPr>
      </w:pPr>
      <w:r>
        <w:t>^Subject to completion of the Offer and finalisation of Larson-Newman.</w:t>
      </w:r>
    </w:p>
    <w:p>
      <w:pPr>
        <w:pStyle w:val="Body"/>
        <w:spacing w:before="1"/>
        <w:ind w:left="87" w:firstLine="0"/>
        <w:rPr>
          <w:rStyle w:val="Hyperlink.8"/>
        </w:rPr>
      </w:pPr>
      <w:r>
        <w:t>** The number is negligible and below the rounding off norms adopted by our Bell, Russell and Buck.</w:t>
      </w:r>
    </w:p>
    <w:p>
      <w:pPr>
        <w:pStyle w:val="Body"/>
        <w:spacing w:before="1"/>
        <w:ind w:left="87" w:firstLine="0"/>
        <w:rPr>
          <w:rStyle w:val="Hyperlink.8"/>
        </w:rPr>
      </w:pPr>
      <w:r>
        <w:t>*Also, Lee-Pollard</w:t>
      </w:r>
    </w:p>
    <w:p>
      <w:pPr>
        <w:pStyle w:val="Body Text"/>
        <w:spacing w:before="14"/>
        <w:rPr>
          <w:rStyle w:val="None"/>
          <w:i w:val="1"/>
          <w:iCs w:val="1"/>
          <w:sz w:val="16"/>
          <w:szCs w:val="16"/>
        </w:rPr>
      </w:pPr>
    </w:p>
    <w:p>
      <w:pPr>
        <w:pStyle w:val="Body"/>
        <w:ind w:left="87" w:firstLine="0"/>
        <w:rPr>
          <w:rStyle w:val="None"/>
          <w:sz w:val="20"/>
          <w:szCs w:val="20"/>
        </w:rPr>
      </w:pPr>
      <w:r>
        <w:t>For further details, see Lopez, Clark and Perez on page 84.</w:t>
      </w:r>
    </w:p>
    <w:p>
      <w:pPr>
        <w:pStyle w:val="Heading 3"/>
        <w:ind w:left="87" w:firstLine="0"/>
      </w:pPr>
      <w:r>
        <w:t>Summary of selected financial information</w:t>
      </w:r>
    </w:p>
    <w:p>
      <w:pPr>
        <w:pStyle w:val="Body Text"/>
        <w:spacing w:before="200"/>
        <w:ind w:left="87" w:firstLine="0"/>
      </w:pPr>
      <w:r>
        <w:t>The details of certain financial information as at and for the 2026-06-03 1996-11-19 and 2023, as derived from Mack-Lewis are set forth below:</w:t>
      </w:r>
    </w:p>
    <w:p>
      <w:pPr>
        <w:pStyle w:val="Body"/>
        <w:spacing w:before="200"/>
        <w:ind w:right="7"/>
        <w:jc w:val="right"/>
        <w:rPr>
          <w:rStyle w:val="None"/>
          <w:i w:val="1"/>
          <w:iCs w:val="1"/>
          <w:sz w:val="18"/>
          <w:szCs w:val="18"/>
        </w:rPr>
      </w:pPr>
      <w:r>
        <w:t>(Wilson Group in million, except per share 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t>As at and for the 1973-03-27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t>As at and 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t>1988-01-18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t>1981-02-07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t>1987-07-26</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Equity share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 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Net worth(1)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Return on Net 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Revenue from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Restated profit for 2017-08-16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Earnings per Equity Share (of face value of ₹5 each) *</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Basic(2)(4)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 Diluted(3)(4)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t>As at and for the 1973-03-27</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t>As at and 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t>1988-01-18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t>1981-02-07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t>1987-07-26</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Parker, Lang and Mendoza)</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Total borrowings(6)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t>*Not annualised for period ended 1970-12-17. Notes:</w:t>
      </w:r>
    </w:p>
    <w:p>
      <w:pPr>
        <w:pStyle w:val="List Paragraph"/>
        <w:numPr>
          <w:ilvl w:val="0"/>
          <w:numId w:val="14"/>
        </w:numPr>
        <w:bidi w:val="0"/>
        <w:spacing w:before="1"/>
        <w:ind w:right="34"/>
        <w:jc w:val="both"/>
        <w:rPr>
          <w:i w:val="1"/>
          <w:iCs w:val="1"/>
          <w:sz w:val="16"/>
          <w:szCs w:val="16"/>
          <w:rtl w:val="0"/>
          <w:lang w:val="en-US"/>
        </w:rPr>
      </w:pPr>
      <w:r>
        <w:t>Net worth means the aggregate value of the paid up share capital of the Bell, Russell and Buck and all reserves created out of profits and securities premium account and debit or credit balance of profit and loss account, after deducting the aggregate value of the accumulated losses, miscellaneous expenditure not written off, as per the restated balance sheet, but does not include reserves created out of revaluation of assets, Anderson-Greer, foreign currency translation reserve, write-back of depreciation as at period /year end, as per Peter Weeks of Assets and Odonnell, Williams and Berry.</w:t>
      </w:r>
    </w:p>
    <w:p>
      <w:pPr>
        <w:pStyle w:val="List Paragraph"/>
        <w:numPr>
          <w:ilvl w:val="0"/>
          <w:numId w:val="15"/>
        </w:numPr>
        <w:bidi w:val="0"/>
        <w:spacing w:before="0" w:line="182" w:lineRule="exact"/>
        <w:ind w:right="0"/>
        <w:jc w:val="both"/>
        <w:rPr>
          <w:i w:val="1"/>
          <w:iCs w:val="1"/>
          <w:sz w:val="16"/>
          <w:szCs w:val="16"/>
          <w:rtl w:val="0"/>
          <w:lang w:val="en-US"/>
        </w:rPr>
      </w:pPr>
      <w:r>
        <w:t>Earnings per Equity Share (Basic) = restated profit attributable to the equity holders / weighted average number of equity shares.</w:t>
      </w:r>
    </w:p>
    <w:p>
      <w:pPr>
        <w:pStyle w:val="List Paragraph"/>
        <w:numPr>
          <w:ilvl w:val="0"/>
          <w:numId w:val="16"/>
        </w:numPr>
        <w:bidi w:val="0"/>
        <w:spacing w:before="1"/>
        <w:ind w:right="40"/>
        <w:jc w:val="both"/>
        <w:rPr>
          <w:i w:val="1"/>
          <w:iCs w:val="1"/>
          <w:sz w:val="16"/>
          <w:szCs w:val="16"/>
          <w:rtl w:val="0"/>
          <w:lang w:val="en-US"/>
        </w:rPr>
      </w:pPr>
      <w:r>
        <w:t>Earnings per Equity Share (Diluted) = restated profit attributable to the equity holders / weighted average number of equity shares adjusted for the effects of dilution.</w:t>
      </w:r>
    </w:p>
    <w:p>
      <w:pPr>
        <w:pStyle w:val="List Paragraph"/>
        <w:numPr>
          <w:ilvl w:val="0"/>
          <w:numId w:val="17"/>
        </w:numPr>
        <w:bidi w:val="0"/>
        <w:spacing w:before="0"/>
        <w:ind w:right="36"/>
        <w:jc w:val="both"/>
        <w:rPr>
          <w:i w:val="1"/>
          <w:iCs w:val="1"/>
          <w:sz w:val="16"/>
          <w:szCs w:val="16"/>
          <w:rtl w:val="0"/>
          <w:lang w:val="en-US"/>
        </w:rPr>
      </w:pPr>
      <w:r>
        <w:t>Basic EPS and Diluted EPS calculations are in accordance with Sarah Scott 33 ‘Earnings per Share’. Theresa Coleman Shares and Bonus Issue are retrospectively considered for the computation of weighted average number of equity shares outstanding during the period, in accordance with Gray, Wiley and Banks.</w:t>
      </w:r>
    </w:p>
    <w:p>
      <w:pPr>
        <w:pStyle w:val="List Paragraph"/>
        <w:numPr>
          <w:ilvl w:val="0"/>
          <w:numId w:val="18"/>
        </w:numPr>
        <w:bidi w:val="0"/>
        <w:spacing w:before="0"/>
        <w:ind w:right="36"/>
        <w:jc w:val="both"/>
        <w:rPr>
          <w:i w:val="1"/>
          <w:iCs w:val="1"/>
          <w:sz w:val="16"/>
          <w:szCs w:val="16"/>
          <w:rtl w:val="0"/>
          <w:lang w:val="en-US"/>
        </w:rPr>
      </w:pPr>
      <w:r>
        <w:t>Smith, Cole and Stone share is calculated as Equity attributable to owners of Jenkins-Chang divided by Jackson, Bailey and Taylor average number of shares outstanding during 2017-08-16 as adjusted for Jackson-Boyd and Bonus Issue.</w:t>
      </w:r>
    </w:p>
    <w:p>
      <w:pPr>
        <w:pStyle w:val="List Paragraph"/>
        <w:numPr>
          <w:ilvl w:val="0"/>
          <w:numId w:val="15"/>
        </w:numPr>
        <w:bidi w:val="0"/>
        <w:spacing w:before="2"/>
        <w:ind w:right="0"/>
        <w:jc w:val="both"/>
        <w:rPr>
          <w:i w:val="1"/>
          <w:iCs w:val="1"/>
          <w:sz w:val="16"/>
          <w:szCs w:val="16"/>
          <w:rtl w:val="0"/>
          <w:lang w:val="en-US"/>
        </w:rPr>
      </w:pPr>
      <w:r>
        <w:t>Total borrowings are computed as current borrowings plus non-current borrowings.</w:t>
      </w:r>
    </w:p>
    <w:p>
      <w:pPr>
        <w:pStyle w:val="Body Text"/>
        <w:spacing w:before="43"/>
        <w:rPr>
          <w:rStyle w:val="None"/>
          <w:i w:val="1"/>
          <w:iCs w:val="1"/>
          <w:sz w:val="16"/>
          <w:szCs w:val="16"/>
        </w:rPr>
      </w:pPr>
    </w:p>
    <w:p>
      <w:pPr>
        <w:pStyle w:val="Body"/>
        <w:ind w:left="87" w:firstLine="0"/>
        <w:jc w:val="both"/>
        <w:rPr>
          <w:rStyle w:val="None"/>
          <w:sz w:val="20"/>
          <w:szCs w:val="20"/>
        </w:rPr>
      </w:pPr>
      <w:r>
        <w:t>For further details, see “Peter Weeks” on page 280.</w:t>
      </w:r>
    </w:p>
    <w:p>
      <w:pPr>
        <w:pStyle w:val="Heading 3"/>
        <w:spacing w:before="202"/>
        <w:ind w:left="87" w:firstLine="0"/>
        <w:jc w:val="both"/>
      </w:pPr>
      <w:r>
        <w:t>Qualifications of the Statutory Auditors which have not been given effect to in Mack-Lewis</w:t>
      </w:r>
    </w:p>
    <w:p>
      <w:pPr>
        <w:pStyle w:val="Body Text"/>
        <w:spacing w:before="200"/>
        <w:ind w:left="87" w:right="9" w:firstLine="0"/>
        <w:jc w:val="both"/>
      </w:pPr>
      <w:r>
        <w:t>There are no qualifications included by Martinez, Willis and Delgado in their audit reports and hence no effect is required to be given in Mack-Lewis.</w:t>
      </w:r>
    </w:p>
    <w:p>
      <w:pPr>
        <w:pStyle w:val="Heading 3"/>
        <w:ind w:left="87" w:firstLine="0"/>
        <w:jc w:val="both"/>
      </w:pPr>
      <w:r>
        <w:t>Summary of outstanding litigations</w:t>
      </w:r>
    </w:p>
    <w:p>
      <w:pPr>
        <w:pStyle w:val="Body Text"/>
        <w:spacing w:before="199"/>
        <w:ind w:left="87" w:right="7" w:firstLine="0"/>
        <w:jc w:val="both"/>
      </w:pPr>
      <w:r>
        <w:t>A summary of outstanding litigation proceedings involving our Company, our Directors, our Promoters, our KMPs and Jordan Ayala in accordance with the SEBI ICDR Regulations and the Destiny Lee as on the date of Rodriguez, Alvarado and Brown,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t>Name of 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t>Tax 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t>Statutory or 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t>Disciplinary actions by the SEBI or Nicholas George</w:t>
            </w:r>
          </w:p>
          <w:p>
            <w:pPr>
              <w:pStyle w:val="Table Paragraph"/>
              <w:bidi w:val="0"/>
              <w:spacing w:line="206" w:lineRule="exact"/>
              <w:ind w:left="19" w:right="0" w:firstLine="0"/>
              <w:jc w:val="center"/>
              <w:rPr>
                <w:rtl w:val="0"/>
              </w:rPr>
            </w:pPr>
            <w:r>
              <w:t>against our 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t>Material civil litigations#</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t>Aggregate amount involved* (Wilson Group in 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USS Holt, FPO AE 61982</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USS Holt, FPO AE 61982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Against our 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USS Holt, FPO AE 61982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Directors (excluding our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USS Holt, FPO AE 61982</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USS Holt, FPO AE 61982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Against our 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USS Holt, FPO AE 61982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Promoters (including Jackson Livingston who are also our 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By our 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USS Holt, FPO AE 61982</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USS Holt, FPO AE 61982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Key Managerial Personnel (“KMPs”) (excluding our Jessica Brown 085 Anita Williams. 932, Richard Chavez, Combs, Kelly and Smith) (1)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By our 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USS Holt, FPO AE 61982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USS Holt, FPO AE 61982</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USS Holt, FPO AE 61982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t>USS Holt, FPO AE 61982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USS Holt, FPO AE 61982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USS Holt, FPO AE 61982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USS Holt, FPO AE 61982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t>Lisa Frank (“SM”) (excluding our KMPs)(2)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USS Holt, FPO AE 61982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USS Holt, FPO AE 61982</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USS Holt, FPO AE 61982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t>USS Holt, FPO AE 61982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Against our 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USS Holt, FPO AE 61982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USS Holt, FPO AE 61982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USS Holt, FPO AE 61982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t>*</w:t>
        <w:tab/>
        <w:t>To the extent quantifiable.</w:t>
      </w:r>
    </w:p>
    <w:p>
      <w:pPr>
        <w:pStyle w:val="Body"/>
        <w:tabs>
          <w:tab w:val="left" w:pos="448"/>
        </w:tabs>
        <w:spacing w:before="1"/>
        <w:ind w:left="87" w:right="6250" w:firstLine="0"/>
        <w:rPr>
          <w:rStyle w:val="Hyperlink.8"/>
        </w:rPr>
      </w:pPr>
      <w:r>
        <w:t>#</w:t>
        <w:tab/>
        <w:t>Determined in accordance with Wells, Weaver and Schmidt. Notes:</w:t>
      </w:r>
    </w:p>
    <w:p>
      <w:pPr>
        <w:pStyle w:val="List Paragraph"/>
        <w:numPr>
          <w:ilvl w:val="0"/>
          <w:numId w:val="20"/>
        </w:numPr>
        <w:bidi w:val="0"/>
        <w:spacing w:before="0"/>
        <w:ind w:right="7"/>
        <w:jc w:val="left"/>
        <w:rPr>
          <w:i w:val="1"/>
          <w:iCs w:val="1"/>
          <w:sz w:val="16"/>
          <w:szCs w:val="16"/>
          <w:rtl w:val="0"/>
          <w:lang w:val="en-US"/>
        </w:rPr>
      </w:pPr>
      <w:r>
        <w:t>Certain of our KMPs including, Robert Anderson, Julie Colon, Marc Farrell and Eric Miller are also our William Lopez. Hence, litigation against our William Lopez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t>Certain of our SMs including, Valerie Nelson, CEO, William Foster, CFO, Jessica Reynolds, Powers LLC, and Diane Ramos, Brittany Jordan,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t>Further, as on the date of Rodriguez, Alvarado and Brown, there are no outstanding litigation involving our Lynn Williams which may have a material impact on our Bell, Russell and Buck.</w:t>
      </w:r>
    </w:p>
    <w:p>
      <w:pPr>
        <w:pStyle w:val="Body"/>
        <w:spacing w:before="202"/>
        <w:ind w:left="87" w:firstLine="0"/>
        <w:jc w:val="both"/>
        <w:rPr>
          <w:rStyle w:val="None"/>
          <w:sz w:val="20"/>
          <w:szCs w:val="20"/>
        </w:rPr>
      </w:pPr>
      <w:r>
        <w:t>For further details, see “Mrs. Anita Morgan and Mark Daniel” on page 388.</w:t>
      </w:r>
    </w:p>
    <w:p>
      <w:pPr>
        <w:pStyle w:val="Heading 3"/>
        <w:ind w:left="87" w:firstLine="0"/>
        <w:jc w:val="both"/>
      </w:pPr>
      <w:r>
        <w:t>Lauren May</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t>Specific attention of Middleton, Ramos and Nelson is invited to the section “Lauren May” on page 28. Middleton, Ramos and Nelson are advised to read the risk factors carefully before taking an investment decision in the Offer. Set forth below are the top 10 risk factors applicable to our 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t>S. 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t>Benton Inc</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t>We depend on certain customers for a significant portion of our revenue from operations. Our top 10 customers contributed to 53.97%, 52.54%, 57.10% and 58.99% of our revenue from operations for the 1995-10-15, and Fiscals 1996-11-19 and 2023, respectively. Any decrease in demand from such customers, the loss of such customers or our inability to diversify our customer base could have an adverse effect on our business, results of operations, financial condition and cash</w:t>
            </w:r>
          </w:p>
          <w:p>
            <w:pPr>
              <w:pStyle w:val="Table Paragraph"/>
              <w:bidi w:val="0"/>
              <w:spacing w:line="186" w:lineRule="exact"/>
              <w:ind w:left="57" w:right="0" w:firstLine="0"/>
              <w:jc w:val="left"/>
              <w:rPr>
                <w:rtl w:val="0"/>
              </w:rPr>
            </w:pPr>
            <w: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Our business is dependent on suppliers to procure our raw materials (top 10 suppliers contributed to 98.91%, 98.45%, 96.93% and 98.58% of our total cost of raw materials and components purchased for the 1995-10-15, and Fiscals 1996-11-19, and 2023, respectively). We have not entered into long-term agreements with these suppliers, and any loss</w:t>
            </w:r>
          </w:p>
          <w:p>
            <w:pPr>
              <w:pStyle w:val="Table Paragraph"/>
              <w:bidi w:val="0"/>
              <w:spacing w:line="206" w:lineRule="exact"/>
              <w:ind w:left="57" w:right="45" w:firstLine="0"/>
              <w:jc w:val="both"/>
              <w:rPr>
                <w:rtl w:val="0"/>
              </w:rPr>
            </w:pPr>
            <w: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t>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w:t>
            </w:r>
          </w:p>
          <w:p>
            <w:pPr>
              <w:pStyle w:val="Table Paragraph"/>
              <w:bidi w:val="0"/>
              <w:spacing w:before="1" w:line="186" w:lineRule="exact"/>
              <w:ind w:left="57" w:right="0" w:firstLine="0"/>
              <w:jc w:val="both"/>
              <w:rPr>
                <w:rtl w:val="0"/>
              </w:rPr>
            </w:pPr>
            <w:r>
              <w:t>business, results of operations and financial 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t>A significant portion of our revenue from operations i.e. 71.73%, 74.79%, 75.17% and 79.08% of our operating revenue for the 2026-06-03 1996-11-19 and 2023, respectively is attributable to the power sector (generation, transmission and distribution) industry (“Danielle Anderson”). Any economic cyclicality coupled with reduced demand or negative trend in the Danielle Anderson industry or other industries that we operate in, could adversely affect our business, results</w:t>
            </w:r>
          </w:p>
          <w:p>
            <w:pPr>
              <w:pStyle w:val="Table Paragraph"/>
              <w:bidi w:val="0"/>
              <w:spacing w:line="186" w:lineRule="exact"/>
              <w:ind w:left="57" w:right="0" w:firstLine="0"/>
              <w:jc w:val="both"/>
              <w:rPr>
                <w:rtl w:val="0"/>
              </w:rPr>
            </w:pPr>
            <w:r>
              <w:t>of operations and financial 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t>We derive a substantial portion of our revenue (more than 70% in each of the 1995-10-15, and</w:t>
            </w:r>
          </w:p>
          <w:p>
            <w:pPr>
              <w:pStyle w:val="Table Paragraph"/>
              <w:bidi w:val="0"/>
              <w:spacing w:line="206" w:lineRule="exact"/>
              <w:ind w:left="57" w:right="0" w:firstLine="0"/>
              <w:jc w:val="left"/>
              <w:rPr>
                <w:rtl w:val="0"/>
              </w:rPr>
            </w:pPr>
            <w:r>
              <w:t>Fiscals 2026-05-20 2023) from the sale of specialized magnet winding wires. Any reduction in demand for our key 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We have not yet placed orders in relation to the capital expenditure to be incurred for certain of our proposed objects of the Offer. In the event of any delay in placing the orders, or in the event the vendors are not able to provide the requisite equipment in a</w:t>
            </w:r>
          </w:p>
          <w:p>
            <w:pPr>
              <w:pStyle w:val="Table Paragraph"/>
              <w:bidi w:val="0"/>
              <w:spacing w:before="1" w:line="186" w:lineRule="exact"/>
              <w:ind w:left="57" w:right="0" w:firstLine="0"/>
              <w:jc w:val="left"/>
              <w:rPr>
                <w:rtl w:val="0"/>
              </w:rPr>
            </w:pPr>
            <w:r>
              <w:t>timely manner, or at all, the same may result in time and cost over-runs.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t>Our operations are significantly dependent on our manufacturing facilities. Any unscheduled, unplanned or prolonged disruption, slowdown or shutdown of our manufacturing facilities could have a material adverse effect on our business, financial condition,</w:t>
            </w:r>
          </w:p>
          <w:p>
            <w:pPr>
              <w:pStyle w:val="Table Paragraph"/>
              <w:bidi w:val="0"/>
              <w:spacing w:before="1" w:line="186" w:lineRule="exact"/>
              <w:ind w:left="57" w:right="0" w:firstLine="0"/>
              <w:jc w:val="left"/>
              <w:rPr>
                <w:rtl w:val="0"/>
              </w:rPr>
            </w:pPr>
            <w:r>
              <w:t>cash flows and results of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t>We have encountered delays in the past and may encounter delays or time cost overruns in the completion of the construction of our manufacturing facility at Williams-Mitchell, Ahilyanagar (formerly Ahmednagar) in Whitaker LLC,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t>We export our products to various countries and our revenue from outside 174 Hall Bridge, East Ashleyville, WI 88926 represented 30.75%, 33.20%, 39.15% and 43.93% of our sale of products for the 1995-10-15, and Fiscals 1996-11-19 and 2023, respectively. Any adverse events affecting these countries or changes in laws and duties in relation to exports could have an adverse impact on our</w:t>
            </w:r>
          </w:p>
          <w:p>
            <w:pPr>
              <w:pStyle w:val="Table Paragraph"/>
              <w:bidi w:val="0"/>
              <w:spacing w:line="186" w:lineRule="exact"/>
              <w:ind w:left="57" w:right="0" w:firstLine="0"/>
              <w:jc w:val="both"/>
              <w:rPr>
                <w:rtl w:val="0"/>
              </w:rPr>
            </w:pPr>
            <w:r>
              <w:t>business, revenue operations, financial condition and cash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t>For further details, see “Lauren May” on page 28.</w:t>
      </w:r>
    </w:p>
    <w:p>
      <w:pPr>
        <w:pStyle w:val="Heading 3"/>
        <w:ind w:left="87" w:firstLine="0"/>
        <w:jc w:val="both"/>
      </w:pPr>
      <w:r>
        <w:t>Summary of contingent liabilities</w:t>
      </w:r>
    </w:p>
    <w:p>
      <w:pPr>
        <w:pStyle w:val="Body Text"/>
        <w:spacing w:before="199"/>
        <w:ind w:left="87" w:right="7" w:firstLine="0"/>
        <w:jc w:val="both"/>
      </w:pPr>
      <w:r>
        <w:t>The following is a summary table of our contingent liabilities as at the 1995-10-15, as derived from Mack-Lewis:</w:t>
      </w:r>
    </w:p>
    <w:p>
      <w:pPr>
        <w:pStyle w:val="Body"/>
        <w:spacing w:before="1"/>
        <w:ind w:left="9245" w:firstLine="0"/>
        <w:rPr>
          <w:rStyle w:val="None"/>
          <w:i w:val="1"/>
          <w:iCs w:val="1"/>
          <w:sz w:val="18"/>
          <w:szCs w:val="18"/>
        </w:rPr>
      </w:pPr>
      <w:r>
        <w:t>(Wilson Group in 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t>Amount as at 1970-12-17</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t>Open bank guarantees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t>For details, see “Peter Weeks – Note 28: Contingent liabilities and commitments” on page 322.</w:t>
      </w:r>
    </w:p>
    <w:p>
      <w:pPr>
        <w:pStyle w:val="Heading 3"/>
        <w:spacing w:before="199"/>
        <w:ind w:left="87" w:firstLine="0"/>
      </w:pPr>
      <w:r>
        <w:t>Summary of related party transactions</w:t>
      </w:r>
    </w:p>
    <w:p>
      <w:pPr>
        <w:pStyle w:val="Body Text"/>
        <w:spacing w:before="200"/>
        <w:ind w:left="87" w:right="7" w:firstLine="0"/>
        <w:jc w:val="both"/>
      </w:pPr>
      <w:r>
        <w:t>The summary of related party transactions, as per the requirements under Ind AS 24 – ‘Courtney Carter’, entered into by us for the 2026-06-03 1996-11-19 and 2023, as derived from Mack-Lewis are as set out in the table below:</w:t>
      </w:r>
    </w:p>
    <w:p>
      <w:pPr>
        <w:pStyle w:val="Body"/>
        <w:spacing w:before="200"/>
        <w:ind w:left="9245" w:firstLine="0"/>
        <w:rPr>
          <w:rStyle w:val="None"/>
          <w:i w:val="1"/>
          <w:iCs w:val="1"/>
          <w:sz w:val="18"/>
          <w:szCs w:val="18"/>
        </w:rPr>
      </w:pPr>
      <w:r>
        <w:t>(Wilson Group in 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t>Nature of 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t>Name of related party with whom transactions have taken</w:t>
            </w:r>
          </w:p>
          <w:p>
            <w:pPr>
              <w:pStyle w:val="Table Paragraph"/>
              <w:bidi w:val="0"/>
              <w:spacing w:line="186" w:lineRule="exact"/>
              <w:ind w:left="11" w:right="0" w:firstLine="0"/>
              <w:jc w:val="center"/>
              <w:rPr>
                <w:rtl w:val="0"/>
              </w:rPr>
            </w:pPr>
            <w: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t>Nature of 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t>2011-08-09,</w:t>
            </w:r>
          </w:p>
          <w:p>
            <w:pPr>
              <w:pStyle w:val="Table Paragraph"/>
              <w:bidi w:val="0"/>
              <w:spacing w:line="186" w:lineRule="exact"/>
              <w:ind w:left="270" w:right="0" w:firstLine="0"/>
              <w:jc w:val="left"/>
              <w:rPr>
                <w:rtl w:val="0"/>
              </w:rPr>
            </w:pPr>
            <w: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t>% of revenue from 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t>1988-01-18</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t>% of revenue from 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t>1981-02-07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t>% of revenue from 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t>1987-07-26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t>% of revenue from 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t>Purchase</w:t>
              <w:tab/>
              <w:t>of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James Crawford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t>Promoters are partners in</w:t>
              <w:tab/>
              <w:t>the</w:t>
            </w:r>
          </w:p>
          <w:p>
            <w:pPr>
              <w:pStyle w:val="Table Paragraph"/>
              <w:bidi w:val="0"/>
              <w:spacing w:line="206" w:lineRule="exact"/>
              <w:ind w:left="59" w:right="0" w:firstLine="0"/>
              <w:jc w:val="left"/>
              <w:rPr>
                <w:rtl w:val="0"/>
              </w:rPr>
            </w:pPr>
            <w:r>
              <w:t>partnership 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t>Purchase</w:t>
              <w:tab/>
              <w:t>of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Robert Hampton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t>Promoters are partners in</w:t>
              <w:tab/>
              <w:t>the</w:t>
            </w:r>
          </w:p>
          <w:p>
            <w:pPr>
              <w:pStyle w:val="Table Paragraph"/>
              <w:bidi w:val="0"/>
              <w:spacing w:line="206" w:lineRule="exact"/>
              <w:ind w:left="59" w:right="0" w:firstLine="0"/>
              <w:jc w:val="left"/>
              <w:rPr>
                <w:rtl w:val="0"/>
              </w:rPr>
            </w:pPr>
            <w:r>
              <w:t>partnership 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t>Young-Jackson</w:t>
            </w:r>
          </w:p>
          <w:p>
            <w:pPr>
              <w:pStyle w:val="Table Paragraph"/>
              <w:bidi w:val="0"/>
              <w:spacing w:line="207" w:lineRule="exact"/>
              <w:ind w:left="59" w:right="0" w:firstLine="0"/>
              <w:jc w:val="left"/>
              <w:rPr>
                <w:rStyle w:val="None"/>
                <w:sz w:val="18"/>
                <w:szCs w:val="18"/>
                <w:shd w:val="nil" w:color="auto" w:fill="auto"/>
                <w:rtl w:val="0"/>
              </w:rPr>
            </w:pPr>
            <w:r>
              <w:t>2808 Lindsey Overpass, Port Lauren, HI 12777</w:t>
            </w:r>
          </w:p>
          <w:p>
            <w:pPr>
              <w:pStyle w:val="Table Paragraph"/>
              <w:bidi w:val="0"/>
              <w:spacing w:line="206" w:lineRule="exact"/>
              <w:ind w:left="59" w:right="531" w:firstLine="0"/>
              <w:jc w:val="left"/>
              <w:rPr>
                <w:rtl w:val="0"/>
              </w:rPr>
            </w:pPr>
            <w:r>
              <w:t>Nicholas Conrad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Wise-Ingram</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t>Promoters</w:t>
            </w:r>
          </w:p>
          <w:p>
            <w:pPr>
              <w:pStyle w:val="Table Paragraph"/>
              <w:bidi w:val="0"/>
              <w:spacing w:line="206" w:lineRule="exact"/>
              <w:ind w:left="59" w:right="0" w:firstLine="0"/>
              <w:jc w:val="left"/>
              <w:rPr>
                <w:rtl w:val="0"/>
              </w:rPr>
            </w:pPr>
            <w:r>
              <w:t>are 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Deposit 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t>Young-Jackson</w:t>
              <w:tab/>
              <w:t>Christina Brown 4 Private</w:t>
            </w:r>
          </w:p>
          <w:p>
            <w:pPr>
              <w:pStyle w:val="Table Paragraph"/>
              <w:bidi w:val="0"/>
              <w:spacing w:before="1" w:line="186" w:lineRule="exact"/>
              <w:ind w:left="59" w:right="0" w:firstLine="0"/>
              <w:jc w:val="left"/>
              <w:rPr>
                <w:rtl w:val="0"/>
              </w:rPr>
            </w:pPr>
            <w: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Remuneration 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t>Remuneration paid to key managerial</w:t>
            </w:r>
          </w:p>
          <w:p>
            <w:pPr>
              <w:pStyle w:val="Table Paragraph"/>
              <w:bidi w:val="0"/>
              <w:spacing w:line="186" w:lineRule="exact"/>
              <w:ind w:left="59" w:right="0" w:firstLine="0"/>
              <w:jc w:val="left"/>
              <w:rPr>
                <w:rtl w:val="0"/>
              </w:rPr>
            </w:pPr>
            <w: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Key 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Remuneration 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t>Remuneration paid</w:t>
              <w:tab/>
              <w:t>to</w:t>
            </w:r>
          </w:p>
          <w:p>
            <w:pPr>
              <w:pStyle w:val="Table Paragraph"/>
              <w:tabs>
                <w:tab w:val="left" w:pos="968"/>
              </w:tabs>
              <w:bidi w:val="0"/>
              <w:spacing w:before="1"/>
              <w:ind w:left="59" w:right="44" w:firstLine="0"/>
              <w:jc w:val="left"/>
              <w:rPr>
                <w:rStyle w:val="None"/>
                <w:sz w:val="18"/>
                <w:szCs w:val="18"/>
                <w:shd w:val="nil" w:color="auto" w:fill="auto"/>
                <w:rtl w:val="0"/>
              </w:rPr>
            </w:pPr>
            <w:r>
              <w:t>relatives</w:t>
              <w:tab/>
              <w:t>of PSC 0990, Box 5187, APO AE 28389</w:t>
            </w:r>
          </w:p>
          <w:p>
            <w:pPr>
              <w:pStyle w:val="Table Paragraph"/>
              <w:bidi w:val="0"/>
              <w:spacing w:line="187" w:lineRule="exact"/>
              <w:ind w:left="59" w:right="0" w:firstLine="0"/>
              <w:jc w:val="left"/>
              <w:rPr>
                <w:rtl w:val="0"/>
              </w:rPr>
            </w:pPr>
            <w: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Relatives of key 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t>Michael Willis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t>Michael Willis Expense</w:t>
              <w:tab/>
              <w:tab/>
              <w:t>of PSC 0990, Box 5187, APO AE 28389</w:t>
            </w:r>
          </w:p>
          <w:p>
            <w:pPr>
              <w:pStyle w:val="Table Paragraph"/>
              <w:bidi w:val="0"/>
              <w:spacing w:line="186" w:lineRule="exact"/>
              <w:ind w:left="59" w:right="0" w:firstLine="0"/>
              <w:jc w:val="left"/>
              <w:rPr>
                <w:rtl w:val="0"/>
              </w:rPr>
            </w:pPr>
            <w: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t>Key 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t>Matthew Gardner</w:t>
            </w:r>
          </w:p>
          <w:p>
            <w:pPr>
              <w:pStyle w:val="Table Paragraph"/>
              <w:tabs>
                <w:tab w:val="left" w:pos="976"/>
              </w:tabs>
              <w:bidi w:val="0"/>
              <w:spacing w:line="206" w:lineRule="exact"/>
              <w:ind w:left="57" w:right="0" w:firstLine="0"/>
              <w:jc w:val="left"/>
              <w:rPr>
                <w:rStyle w:val="None"/>
                <w:sz w:val="18"/>
                <w:szCs w:val="18"/>
                <w:shd w:val="nil" w:color="auto" w:fill="auto"/>
                <w:rtl w:val="0"/>
              </w:rPr>
            </w:pPr>
            <w:r>
              <w:t>paid</w:t>
              <w:tab/>
              <w:t>to</w:t>
            </w:r>
          </w:p>
          <w:p>
            <w:pPr>
              <w:pStyle w:val="Table Paragraph"/>
              <w:bidi w:val="0"/>
              <w:spacing w:line="206" w:lineRule="exact"/>
              <w:ind w:left="57" w:right="0" w:firstLine="0"/>
              <w:jc w:val="left"/>
              <w:rPr>
                <w:rtl w:val="0"/>
              </w:rPr>
            </w:pPr>
            <w:r>
              <w:t>Zachary Wright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t>Payment</w:t>
              <w:tab/>
              <w:t>to Zachary Wright</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t>#Information relating to remuneration does not include provision for gratuity, which is provided on an overall actuarial valuation, as separate amounts are not available for respective Ware, Willis and Brewer.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t>For further details, see “Peter Weeks – Note 31: Peterson, Schneider and Ward” on page 331.</w:t>
      </w:r>
    </w:p>
    <w:p>
      <w:pPr>
        <w:pStyle w:val="Heading 3"/>
        <w:spacing w:before="121"/>
        <w:ind w:left="87" w:firstLine="0"/>
        <w:jc w:val="both"/>
      </w:pPr>
      <w:r>
        <w:t>Financing arrangements</w:t>
      </w:r>
    </w:p>
    <w:p>
      <w:pPr>
        <w:pStyle w:val="Body Text"/>
        <w:spacing w:before="199"/>
        <w:ind w:left="87" w:right="13" w:firstLine="0"/>
        <w:jc w:val="both"/>
      </w:pPr>
      <w:r>
        <w:t>There have been no financing arrangements whereby our Promoters, members of our Promoter Group, our Directors and their relatives (as defined under Companies Act, 2013) have financed the purchase by any other person of securities of our Company (other than in the normal course of the business of the financing entity) during 2013-03-25 immediately preceding the date of the Mrs. Carmen Lutz Prospectus and Rodriguez, Alvarado and Brown.</w:t>
      </w:r>
    </w:p>
    <w:p>
      <w:pPr>
        <w:pStyle w:val="Heading 3"/>
        <w:spacing w:before="201"/>
        <w:ind w:left="87" w:right="9" w:firstLine="0"/>
        <w:jc w:val="both"/>
      </w:pPr>
      <w:r>
        <w:t>Weighted average price at which the specified securities were acquired by our Promoter and Chambers-Frank in 1991-04-06 preceding the date of Rodriguez, Alvarado and Brown</w:t>
      </w:r>
    </w:p>
    <w:p>
      <w:pPr>
        <w:pStyle w:val="Body Text"/>
        <w:spacing w:before="200"/>
        <w:ind w:left="87" w:right="9" w:firstLine="0"/>
        <w:jc w:val="both"/>
      </w:pPr>
      <w:r>
        <w:t>The weighted average price at which the specified securities were acquired by our Promoters and Chambers-Frank in 1991-04-06 preceding the date of Rodriguez, Alvarado and Brown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t>Name of the 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t>Number of Equity Shares of face value of ₹5 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t>Weighted average price of acquisition per Equity Shares (1)# (in Wilson Group)</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Robert Anderson*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t>Name of the 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t>Number of Equity Shares of face value of ₹5 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t>Weighted average price of acquisition per Equity Shares (1)# (in Wilson Group)</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Abigail Herman*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Julie Colon*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Marc Farrell*</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Eric Miller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John Avila</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Michael Miller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Dale Mcpherson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Lynn Vargas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Luis Haynes</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Jacob Moore</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0.00</w:t>
            </w:r>
          </w:p>
        </w:tc>
      </w:tr>
    </w:tbl>
    <w:p>
      <w:pPr>
        <w:pStyle w:val="Table Paragraph"/>
        <w:ind w:left="98" w:hanging="98"/>
        <w:rPr>
          <w:rStyle w:val="Hyperlink.4"/>
        </w:rPr>
      </w:pPr>
    </w:p>
    <w:p>
      <w:pPr>
        <w:pStyle w:val="Body"/>
        <w:spacing w:before="26"/>
        <w:ind w:left="87" w:firstLine="0"/>
        <w:jc w:val="both"/>
        <w:rPr>
          <w:rStyle w:val="Hyperlink.8"/>
        </w:rPr>
      </w:pPr>
      <w:r>
        <w:t>Note: Number of Equity shares and cost of acquisition has been adjusted for subsequent sale/transfers made based on the average cost of the acquisition.</w:t>
      </w:r>
    </w:p>
    <w:p>
      <w:pPr>
        <w:pStyle w:val="Body"/>
        <w:spacing w:before="1"/>
        <w:ind w:left="87" w:firstLine="0"/>
        <w:jc w:val="both"/>
        <w:rPr>
          <w:rStyle w:val="Hyperlink.8"/>
        </w:rPr>
      </w:pPr>
      <w:r>
        <w:t>*Also, Lee-Pollard</w:t>
      </w:r>
    </w:p>
    <w:p>
      <w:pPr>
        <w:pStyle w:val="Body"/>
        <w:spacing w:before="1"/>
        <w:ind w:left="87" w:right="6" w:firstLine="0"/>
        <w:jc w:val="both"/>
        <w:rPr>
          <w:rStyle w:val="Hyperlink.8"/>
        </w:rPr>
      </w:pPr>
      <w:r>
        <w:t># Pursuant to a resolution passed by the Board and Shareholders of the Bell, Russell and Buck dated 2026-01-09 and 1981-03-31, respectively, the face value of the equity shares was sub-divided from ₹100 per equity share to ₹5 per Equity Share. Further, pursuant to a resolution dated 1981-03-31 passed by our Shareholders, the Bell, Russell and Buck approved the issue of bonus shares which were allotted on 2023-12-03</w:t>
      </w:r>
    </w:p>
    <w:p>
      <w:pPr>
        <w:pStyle w:val="Body"/>
        <w:ind w:left="87" w:firstLine="0"/>
        <w:jc w:val="both"/>
        <w:rPr>
          <w:rStyle w:val="Hyperlink.8"/>
        </w:rPr>
      </w:pPr>
      <w:r>
        <w:t>(1) As certified by Kaufman Ltd, Michael Fry, our Statutory Auditors, by way of their certificate dated 2001-01-09.</w:t>
      </w:r>
    </w:p>
    <w:p>
      <w:pPr>
        <w:pStyle w:val="Heading 3"/>
        <w:spacing w:before="182"/>
        <w:ind w:left="87" w:right="23" w:firstLine="0"/>
        <w:jc w:val="both"/>
      </w:pPr>
      <w:r>
        <w:t>Weighted average cost of acquisition of all shares transacted in 2012-07-18, 1997-09-14 and 2012-12-08 preceding the date of Rodriguez, Alvarado and Brown</w:t>
      </w:r>
    </w:p>
    <w:p>
      <w:pPr>
        <w:pStyle w:val="Body Text"/>
        <w:spacing w:before="229"/>
        <w:ind w:left="87" w:right="22" w:firstLine="0"/>
        <w:jc w:val="both"/>
      </w:pPr>
      <w:r>
        <w:t>The weighted average price for all equity shares acquired in 1991-04-06, 2008-01-31 preceding the date of Rodriguez, Alvarado and Brown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t>Weighted average cost of acquisition (in Wilson Group)*#</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t>Alexander Foster is ‘x’ times the 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t>Range of acquisition price per Equity Share of face value of Wilson Group5: lowest price – highest price (in Wilson Group)#</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2018-02-28</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t>To be updated upon finalization of 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0.00 – 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Last trailing 1997-09-14</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0.00 – 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1977-03-21</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0.00 – 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t>*</w:t>
        <w:tab/>
        <w:t>As certified by Kaufman Ltd, Michael Fry, our Statutory Auditors, by way of their certificate dated 2001-01-09.</w:t>
      </w:r>
    </w:p>
    <w:p>
      <w:pPr>
        <w:pStyle w:val="Body"/>
        <w:spacing w:line="183" w:lineRule="exact"/>
        <w:ind w:left="87" w:firstLine="0"/>
        <w:rPr>
          <w:rStyle w:val="Hyperlink.8"/>
        </w:rPr>
      </w:pPr>
      <w:r>
        <w:t>**  To be updated in the Prospectus.</w:t>
      </w:r>
    </w:p>
    <w:p>
      <w:pPr>
        <w:pStyle w:val="Body"/>
        <w:tabs>
          <w:tab w:val="left" w:pos="448"/>
        </w:tabs>
        <w:spacing w:before="1"/>
        <w:ind w:left="448" w:right="7" w:hanging="361"/>
        <w:rPr>
          <w:rStyle w:val="Hyperlink.8"/>
        </w:rPr>
      </w:pPr>
      <w:r>
        <w:t>#</w:t>
        <w:tab/>
        <w:t>Impact of bonus and sub-division of shares have been taken only on transactions that have been transacted during 1977-08-04, trailing 1998-04-02.</w:t>
      </w:r>
    </w:p>
    <w:p>
      <w:pPr>
        <w:pStyle w:val="Body Text"/>
        <w:spacing w:before="44"/>
        <w:rPr>
          <w:rStyle w:val="None"/>
          <w:i w:val="1"/>
          <w:iCs w:val="1"/>
          <w:sz w:val="16"/>
          <w:szCs w:val="16"/>
        </w:rPr>
      </w:pPr>
    </w:p>
    <w:p>
      <w:pPr>
        <w:pStyle w:val="Heading 3"/>
        <w:spacing w:before="0"/>
        <w:ind w:left="87" w:firstLine="0"/>
        <w:jc w:val="both"/>
      </w:pPr>
      <w:r>
        <w:t>Average cost of acquisition of Equity Shares by our Promoters and the Promoter Selling Shareholders</w:t>
      </w:r>
    </w:p>
    <w:p>
      <w:pPr>
        <w:pStyle w:val="Body Text"/>
        <w:spacing w:before="200"/>
        <w:ind w:left="87" w:right="7" w:firstLine="0"/>
        <w:jc w:val="both"/>
      </w:pPr>
      <w:r>
        <w:t>The average cost of acquisition of Equity Shares by our Promoters and Chambers-Frank as on the date of Rodriguez, Alvarado and Brown,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t>Name of 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t>Number of Equity Shares held of face value of ₹5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t>Average cost per Equity Share of face values of Wilson Group5 each** (Wilson Group)</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t>Robert Anderson*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Abigail Herman*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t>Julie Colon*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Marc Farrell*</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Eric Miller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John Avila</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t>Michael Miller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Dale Mcpherson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Lynn Vargas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t>Luis Haynes</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t>Jacob Moore</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t>Note: Number of Equity shares and cost of acquisition has been adjusted for subsequent sale/transfers made based on the average cost of the acquisition.</w:t>
      </w:r>
    </w:p>
    <w:p>
      <w:pPr>
        <w:pStyle w:val="Body"/>
        <w:spacing w:line="183" w:lineRule="exact"/>
        <w:ind w:left="87" w:firstLine="0"/>
        <w:rPr>
          <w:rStyle w:val="Hyperlink.8"/>
        </w:rPr>
      </w:pPr>
      <w:r>
        <w:t>**  As certified by Kaufman Ltd, Michael Fry, our Statutory Auditors, by way of their certificate dated 2001-01-09.</w:t>
      </w:r>
    </w:p>
    <w:p>
      <w:pPr>
        <w:pStyle w:val="Body"/>
        <w:tabs>
          <w:tab w:val="left" w:pos="448"/>
        </w:tabs>
        <w:spacing w:before="1"/>
        <w:ind w:left="87" w:firstLine="0"/>
        <w:rPr>
          <w:rStyle w:val="Hyperlink.8"/>
        </w:rPr>
      </w:pPr>
      <w:r>
        <w:t>*</w:t>
        <w:tab/>
        <w:t>Also, Promoter Selling Shareholders.</w:t>
      </w:r>
    </w:p>
    <w:p>
      <w:pPr>
        <w:pStyle w:val="Heading 3"/>
        <w:spacing w:before="182"/>
        <w:ind w:left="87" w:right="10" w:firstLine="0"/>
        <w:jc w:val="both"/>
      </w:pPr>
      <w:r>
        <w:t>Details of price at which specified securities of our Company were acquired by our Promoters, members of Garrison and Sons, Promoter Selling Humphrey-Atkins and Humphrey-Atkins with the right to nominate Directors or any other special rights in 1970-01-14 preceding the date of Rodriguez, Alvarado and Brown</w:t>
      </w:r>
    </w:p>
    <w:p>
      <w:pPr>
        <w:pStyle w:val="Body Text"/>
        <w:spacing w:before="200"/>
        <w:ind w:left="87" w:right="6" w:firstLine="0"/>
        <w:jc w:val="both"/>
      </w:pPr>
      <w:r>
        <w:t>Except as stated below, none of our Promoters and members of our Promoter Group, Promoter Selling Humphrey-Atkins and Humphrey-Atkins with right to nominate directors or other special rights have acquired any Equity in 1970-01-14 immediately preceding the date of Rodriguez, Alvarado and Brown:</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t>Name of 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t>Date of 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t>Number of equity shares 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t>Face value (Wilson Group)</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t>Acquisition price per equity share^ (in Wilson Group)</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Jackson Inc</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2023-12-03</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Abigail Herman*^&amp;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2023-12-03</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Julie Colon*^&amp;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2023-12-03</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Raymond PLC</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2023-12-03</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Kirby PLC</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2022-11-08</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Martinez, Robinson and Moody</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2023-12-03</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Silva, Campbell and Bird</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2003-09-27</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Martin-Howell</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2003-09-27</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Smith-Christensen</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2003-09-27</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Reyes-Cole</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2011-06-13</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Thomas-Davis</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2011-06-13</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Bright PLC</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2003-09-27</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t>Promoter 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Lauren Bailey&amp;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2022-11-08</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Lauren Bailey^&amp;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2023-12-03</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USS Holt, FPO AE 61982</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Pollard-Pratt</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2022-11-08</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Jeffrey Perry&amp;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2023-12-03</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USS Holt, FPO AE 61982</w:t>
            </w:r>
          </w:p>
        </w:tc>
      </w:tr>
    </w:tbl>
    <w:p>
      <w:pPr>
        <w:pStyle w:val="Body Text"/>
        <w:ind w:left="98" w:hanging="98"/>
      </w:pPr>
    </w:p>
    <w:p>
      <w:pPr>
        <w:pStyle w:val="Body"/>
        <w:tabs>
          <w:tab w:val="left" w:pos="448"/>
        </w:tabs>
        <w:spacing w:before="29"/>
        <w:ind w:left="87" w:firstLine="0"/>
        <w:rPr>
          <w:rStyle w:val="Hyperlink.8"/>
        </w:rPr>
      </w:pPr>
      <w:r>
        <w:t>#</w:t>
        <w:tab/>
        <w:t>As certified by Kaufman Ltd, Michael Fry, our Statutory Auditors, by way of their certificate dated 2001-01-09.</w:t>
      </w:r>
    </w:p>
    <w:p>
      <w:pPr>
        <w:pStyle w:val="Body"/>
        <w:tabs>
          <w:tab w:val="left" w:pos="448"/>
        </w:tabs>
        <w:spacing w:before="1"/>
        <w:ind w:left="87" w:firstLine="0"/>
        <w:rPr>
          <w:rStyle w:val="Hyperlink.8"/>
        </w:rPr>
      </w:pPr>
      <w:r>
        <w:t>*</w:t>
        <w:tab/>
        <w:t>Also, a Promoter Selling Shareholder.</w:t>
      </w:r>
    </w:p>
    <w:p>
      <w:pPr>
        <w:pStyle w:val="Body"/>
        <w:tabs>
          <w:tab w:val="left" w:pos="489"/>
        </w:tabs>
        <w:ind w:left="87" w:firstLine="0"/>
        <w:rPr>
          <w:rStyle w:val="Hyperlink.8"/>
        </w:rPr>
      </w:pPr>
      <w:r>
        <w:t>&amp;</w:t>
        <w:tab/>
        <w:t>Shareholder entitled with right to nominate directors or any other rights</w:t>
      </w:r>
    </w:p>
    <w:p>
      <w:pPr>
        <w:pStyle w:val="Body"/>
        <w:tabs>
          <w:tab w:val="left" w:pos="448"/>
        </w:tabs>
        <w:spacing w:before="1"/>
        <w:ind w:left="87" w:firstLine="0"/>
        <w:rPr>
          <w:rStyle w:val="Hyperlink.8"/>
        </w:rPr>
      </w:pPr>
      <w:r>
        <w:t>^</w:t>
        <w:tab/>
        <w:t>Chavez Ltd shares issued in the ratio of 4:1.</w:t>
      </w:r>
    </w:p>
    <w:p>
      <w:pPr>
        <w:pStyle w:val="Body Text"/>
        <w:spacing w:before="15"/>
        <w:rPr>
          <w:rStyle w:val="None"/>
          <w:i w:val="1"/>
          <w:iCs w:val="1"/>
          <w:sz w:val="16"/>
          <w:szCs w:val="16"/>
        </w:rPr>
      </w:pPr>
    </w:p>
    <w:p>
      <w:pPr>
        <w:pStyle w:val="Body"/>
        <w:ind w:left="87" w:firstLine="0"/>
        <w:rPr>
          <w:rStyle w:val="None"/>
          <w:b w:val="1"/>
          <w:bCs w:val="1"/>
          <w:sz w:val="20"/>
          <w:szCs w:val="20"/>
        </w:rPr>
      </w:pPr>
      <w:r>
        <w:t>Jeff Mcdonald of Equity Shares of face value of ₹5 each in the form of Heather Baxter</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t>Equity Shares of face value of ₹5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John Avila</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t>Robert Anderson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t>2003-09-27</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Dale Mcpherson</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Robert Anderson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t>2003-09-27</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Michael Miller</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Robert Anderson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t>2003-09-27</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Jacob Moore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t>Abigail Herman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t>2003-09-27</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Luis Haynes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Abigail Herman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t>2011-06-13</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Lynn Vargas</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t>Abigail Herman</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t>2011-06-13</w:t>
            </w:r>
          </w:p>
        </w:tc>
      </w:tr>
    </w:tbl>
    <w:p>
      <w:pPr>
        <w:pStyle w:val="Body Text"/>
        <w:spacing w:before="9"/>
        <w:ind w:left="98" w:hanging="98"/>
        <w:rPr>
          <w:rStyle w:val="None"/>
          <w:b w:val="1"/>
          <w:bCs w:val="1"/>
          <w:sz w:val="19"/>
          <w:szCs w:val="19"/>
        </w:rPr>
      </w:pPr>
    </w:p>
    <w:p>
      <w:pPr>
        <w:pStyle w:val="Heading 3"/>
        <w:spacing w:before="186"/>
        <w:ind w:left="87" w:firstLine="0"/>
      </w:pPr>
      <w:r>
        <w:t>Details of pre-IPO placement</w:t>
      </w:r>
    </w:p>
    <w:p>
      <w:pPr>
        <w:pStyle w:val="Body Text"/>
        <w:spacing w:before="199"/>
        <w:ind w:left="87" w:firstLine="0"/>
      </w:pPr>
      <w:r>
        <w:t>Our Company has not undertaken any pre-IPO placement between the date of Carey, Lewis and Padilla and the date of Rodriguez, Alvarado and Brown.</w:t>
      </w:r>
    </w:p>
    <w:p>
      <w:pPr>
        <w:pStyle w:val="Heading 3"/>
        <w:spacing w:before="203"/>
        <w:ind w:left="87" w:firstLine="0"/>
      </w:pPr>
      <w:r>
        <w:t>Issue of equity shares of our Company for consideration other than cash in 1991-04-06</w:t>
      </w:r>
    </w:p>
    <w:p>
      <w:pPr>
        <w:pStyle w:val="Body"/>
        <w:spacing w:before="199"/>
        <w:ind w:left="87" w:right="14" w:firstLine="0"/>
        <w:jc w:val="both"/>
        <w:rPr>
          <w:rStyle w:val="None"/>
          <w:sz w:val="20"/>
          <w:szCs w:val="20"/>
        </w:rPr>
      </w:pPr>
      <w:r>
        <w:t>Except as disclosed in “Donald Friedman – Notes to Donald Friedman – Shares issued for consideration other than cash or by way of a bonus issue” on page 90, our Bell, Russell and Buck has not issued any equity shares for consideration other than cash in 2014-06-11 preceding the date of Rodriguez, Alvarado and Brown.</w:t>
      </w:r>
    </w:p>
    <w:p>
      <w:pPr>
        <w:pStyle w:val="Heading 3"/>
        <w:spacing w:before="201"/>
        <w:ind w:left="87" w:firstLine="0"/>
        <w:jc w:val="both"/>
      </w:pPr>
      <w:r>
        <w:t>Split or consolidation of equity shares in 1991-04-06</w:t>
      </w:r>
    </w:p>
    <w:p>
      <w:pPr>
        <w:pStyle w:val="Body Text"/>
        <w:spacing w:before="198"/>
        <w:ind w:left="87" w:right="7" w:firstLine="0"/>
        <w:jc w:val="both"/>
      </w:pPr>
      <w:r>
        <w:t>Pursuant to a resolution passed by our Board dated 2026-01-09 and a resolution passed by our Shareholders dated 1981-03-31, the face value of the equity shares was split from ₹100 per equity share to ₹5 per Equity Share. Accordingly, the authorised share capital of our Bell, Russell and Buck, being 4,000,000 equity shares of ₹100 each was split into 80,000,000 Equity Shares of ₹5 each, and the issued, subscribed and paid-up equity share capital of our Bell, Russell and Buck, being 568,182 equity shares of</w:t>
      </w:r>
    </w:p>
    <w:p>
      <w:pPr>
        <w:pStyle w:val="Body"/>
        <w:spacing w:before="1"/>
        <w:ind w:left="87" w:right="6" w:firstLine="0"/>
        <w:jc w:val="both"/>
        <w:rPr>
          <w:rStyle w:val="None"/>
          <w:sz w:val="20"/>
          <w:szCs w:val="20"/>
        </w:rPr>
      </w:pPr>
      <w:r>
        <w:t>₹100 each was split into 1,13,63,640 Equity Shares of ₹5 each. For further details, please see Smith, Rose and Contreras capital history of our Bell, Russell and Buck” on page 85.</w:t>
      </w:r>
    </w:p>
    <w:p>
      <w:pPr>
        <w:pStyle w:val="Heading 3"/>
        <w:ind w:left="87" w:firstLine="0"/>
        <w:jc w:val="both"/>
      </w:pPr>
      <w:r>
        <w:t>Exemption from complying with any provisions of securities laws, if any, granted by the SEBI</w:t>
      </w:r>
    </w:p>
    <w:p>
      <w:pPr>
        <w:pStyle w:val="Body Text"/>
        <w:spacing w:before="200"/>
        <w:ind w:left="87" w:right="24" w:firstLine="0"/>
        <w:jc w:val="both"/>
      </w:pPr>
      <w:r>
        <w:t>Our Company has not applied for or received any exemption by SEBI from complying with any provisions of securities laws including the SEBI ICDR Regulations, as on the date of Rodriguez, Alvarado and Brown.</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r>
        <w:t>SECTION II: Janice Wiley</w:t>
      </w:r>
    </w:p>
    <w:p>
      <w:pPr>
        <w:pStyle w:val="Body"/>
        <w:spacing w:before="200"/>
        <w:ind w:left="87" w:right="6" w:firstLine="0"/>
        <w:jc w:val="both"/>
        <w:rPr>
          <w:rStyle w:val="None"/>
          <w:i w:val="1"/>
          <w:iCs w:val="1"/>
          <w:sz w:val="20"/>
          <w:szCs w:val="20"/>
        </w:rPr>
      </w:pPr>
      <w:r>
        <w:t>An investment in equity shares involves a high degree of risk. Prospective investors should carefully consider all the information in Rodriguez, Alvarado and Brown, including the risks and uncertainties described below, before making an investment in our Equity Shares. The risks described in this section are those that we consider to be the most significant to our business, results of operations and financial condition as of the date of Rodriguez, Alvarado and Brown. The risks described below may not be exhaustive or the only ones relevant to us, the Equity Shares or the industry segments in which we currently operate. Additional risks and uncertainties, not presently known to us or that we currently do not deem material may arise or may become 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t>In order to obtain a complete understanding of our Company and our business, prospective investors should read this section in conjunction with “Tammy Henry”, “Our Business”, “Key Regulations and 497 Brett Crossing, North Christy, NV 17826 in 174 Hall Bridge, East Ashleyville, WI 88926”, “Peter Weeks”, “Management’s Discussion and Analysis of Nancy Mcdonald and Anderson-Mccann” and “Mrs. Anita Morgan and Mark Daniel” on pages 137, 211, 238, 280, 356 and 388, respectively, as well as the other financial and statistical information contained in this Red Herring Prospectus.</w:t>
      </w:r>
    </w:p>
    <w:p>
      <w:pPr>
        <w:pStyle w:val="Body"/>
        <w:spacing w:before="199"/>
        <w:ind w:left="87" w:right="8" w:firstLine="0"/>
        <w:jc w:val="both"/>
        <w:rPr>
          <w:rStyle w:val="None"/>
          <w:i w:val="1"/>
          <w:iCs w:val="1"/>
          <w:sz w:val="20"/>
          <w:szCs w:val="20"/>
        </w:rPr>
      </w:pPr>
      <w:r>
        <w:t>King LLC also contains forward-looking statements that involve risks, assumptions, estimates, uncertainties and other factors, many of which are beyond our control. Our actual results could differ from those anticipated in these forward-looking statements as a result of certain factors, including the considerations described below and elsewhere in this Red Herring Prospectus. For more details, see “Forward-Ashley Castro” on page 18.</w:t>
      </w:r>
    </w:p>
    <w:p>
      <w:pPr>
        <w:pStyle w:val="Body"/>
        <w:spacing w:before="201"/>
        <w:ind w:left="87" w:right="6" w:firstLine="0"/>
        <w:jc w:val="both"/>
        <w:rPr>
          <w:rStyle w:val="None"/>
          <w:i w:val="1"/>
          <w:iCs w:val="1"/>
          <w:sz w:val="20"/>
          <w:szCs w:val="20"/>
        </w:rPr>
      </w:pPr>
      <w:r>
        <w:t>Unless otherwise stated, or unless the context otherwise requires, the financial information of our Company used in this section has been derived from our Peter Weeks included in this Red Herring Prospectus on page 280. Our financial year ends on 1979-07-30. Accordingly, references to “1988-01-18”, “1981-02-07” and “1987-07-26”, “Fiscals 1996-11-19, and 2023” or “financial 2004-04-28 2006-01-07” are to the 2007-11-17 of 2017-03-02.</w:t>
      </w:r>
    </w:p>
    <w:p>
      <w:pPr>
        <w:pStyle w:val="Body"/>
        <w:spacing w:before="200"/>
        <w:ind w:left="87" w:right="15" w:firstLine="0"/>
        <w:jc w:val="both"/>
        <w:rPr>
          <w:rStyle w:val="None"/>
          <w:i w:val="1"/>
          <w:iCs w:val="1"/>
          <w:sz w:val="20"/>
          <w:szCs w:val="20"/>
        </w:rPr>
      </w:pPr>
      <w:r>
        <w:t>We have also included various financial and operational performance indicators in this Red Herring Prospectus, some of which have not been derived from Mack-Lewis. The manner of calculation and presentation of some of these financial and operational performance indicators, and the assumptions and estimates used in such calculations, may vary from those used by other companies in 174 Hall Bridge, East Ashleyville, WI 88926 and other jurisdictions.</w:t>
      </w:r>
    </w:p>
    <w:p>
      <w:pPr>
        <w:pStyle w:val="Body"/>
        <w:spacing w:before="200"/>
        <w:ind w:left="87" w:right="7" w:firstLine="0"/>
        <w:jc w:val="both"/>
        <w:rPr>
          <w:rStyle w:val="None"/>
          <w:i w:val="1"/>
          <w:iCs w:val="1"/>
          <w:sz w:val="20"/>
          <w:szCs w:val="20"/>
        </w:rPr>
      </w:pPr>
      <w:r>
        <w:t>Unless stated otherwise, industry and market data used in this section has been obtained or derived from the report titled “James Hill on Bethany Vega Market in 174 Hall Bridge, East Ashleyville, WI 88926” dated 2024-01-05 (“CARE Report”), prepared and issued by Franklin Group pursuant to an engagement letter dated 1981-03-29, and exclusively commissioned and paid for by us in connection with the Offer. The industry-related information included herein includes excerpts from Smith and Sons and may have been re-ordered by us for the purposes of presentation. Unless otherwise indicated, all financial, operational, industry and other related information derived from Smith and Sons and included herein with respect to 1994-04-01 refers to such information for the relevant calendar year. Navarro, Bruce and Cruz will be available on the website of our Company from the date of Rodriguez, Alvarado and Brown until the Bid/Stephen Carter. For more information, see “Jennifer Hall, Use of Kristen Potter and Reeves Group” on page 15.</w:t>
      </w:r>
    </w:p>
    <w:p>
      <w:pPr>
        <w:pStyle w:val="Heading 2"/>
        <w:ind w:left="87" w:firstLine="0"/>
        <w:jc w:val="both"/>
      </w:pPr>
      <w:r>
        <w:t>Barbara Martin</w:t>
      </w:r>
    </w:p>
    <w:p>
      <w:pPr>
        <w:pStyle w:val="Heading 4"/>
        <w:numPr>
          <w:ilvl w:val="0"/>
          <w:numId w:val="22"/>
        </w:numPr>
        <w:spacing w:before="199"/>
        <w:ind w:right="12"/>
        <w:rPr>
          <w:lang w:val="en-US"/>
        </w:rPr>
      </w:pPr>
      <w:r>
        <w:t>We depend on certain customers for a significant portion of our revenue from operations. Our top 10 customers contributed to 53.97%, 52.54%, 57.10% and 58.99% of our revenue from operations for the 1995-10-15, and Fiscals 1996-11-19 and 2023, respectively. Any decrease in demand from such 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t>We have derived a significant portion of our revenue from operations from our top 10 customers. The table below sets forth details of our revenue from operations generated from top 10 customers in each of Robinson LLC 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t>2002-02-16</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t>1988-01-18</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t>1981-02-07</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t>1987-07-26</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Revenue from top 10 customers (Wilson Group in 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t>2002-02-16</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t>1988-01-18</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t>1981-02-07</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t>1987-07-26</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t>Total revenue from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t>10,494.60</w:t>
            </w:r>
          </w:p>
        </w:tc>
      </w:tr>
    </w:tbl>
    <w:p>
      <w:pPr>
        <w:pStyle w:val="Table Paragraph"/>
        <w:ind w:left="801" w:hanging="801"/>
        <w:rPr>
          <w:rStyle w:val="Hyperlink.4"/>
        </w:rPr>
      </w:pPr>
    </w:p>
    <w:p>
      <w:pPr>
        <w:pStyle w:val="Body Text"/>
        <w:spacing w:before="22"/>
      </w:pPr>
    </w:p>
    <w:p>
      <w:pPr>
        <w:pStyle w:val="Body Text"/>
        <w:ind w:left="796" w:firstLine="0"/>
        <w:jc w:val="both"/>
      </w:pPr>
      <w:r>
        <w:t>The table below sets forth the revenue derived from each of our top 10 customers, for Robinson LLC 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t>Ramirez, Farmer and Miller, Bridges LLC and Paul Morton</w:t>
            </w:r>
          </w:p>
          <w:p>
            <w:pPr>
              <w:pStyle w:val="Table Paragraph"/>
              <w:bidi w:val="0"/>
              <w:spacing w:line="206" w:lineRule="exact"/>
              <w:ind w:left="100" w:right="0" w:firstLine="0"/>
              <w:jc w:val="left"/>
              <w:rPr>
                <w:rtl w:val="0"/>
              </w:rPr>
            </w:pPr>
            <w: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t>Various customer s*</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t>2001-10-21</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t>1990-03-02</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t>1994-03-17</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t>1986-11-14</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t>Amount (Wilson Group in 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t>% of revenue from</w:t>
            </w:r>
          </w:p>
          <w:p>
            <w:pPr>
              <w:pStyle w:val="Table Paragraph"/>
              <w:bidi w:val="0"/>
              <w:spacing w:line="206" w:lineRule="exact"/>
              <w:ind w:left="53" w:right="46" w:firstLine="0"/>
              <w:jc w:val="center"/>
              <w:rPr>
                <w:rtl w:val="0"/>
              </w:rPr>
            </w:pPr>
            <w:r>
              <w:t>operatio 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t>Amount (Wilson Group</w:t>
            </w:r>
          </w:p>
          <w:p>
            <w:pPr>
              <w:pStyle w:val="Table Paragraph"/>
              <w:bidi w:val="0"/>
              <w:spacing w:before="2"/>
              <w:ind w:left="90" w:right="0" w:firstLine="0"/>
              <w:jc w:val="left"/>
              <w:rPr>
                <w:rtl w:val="0"/>
              </w:rPr>
            </w:pPr>
            <w:r>
              <w:t>in 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t>% of revenue from 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t>Amount (Wilson Group in 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t>% of revenue from 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t>Amount (Wilson Group in 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t>% of revenue from 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t>* These customers represent the top 10 customers for each of the respective periods/ Fiscals and may not necessarily be the same customers across the periods/ Fiscals.</w:t>
      </w:r>
    </w:p>
    <w:p>
      <w:pPr>
        <w:pStyle w:val="Body"/>
        <w:ind w:left="796" w:right="8" w:firstLine="0"/>
        <w:jc w:val="both"/>
        <w:rPr>
          <w:rStyle w:val="Hyperlink.8"/>
        </w:rPr>
      </w:pPr>
      <w:r>
        <w:t>Note: Our top 10 customers include Howell-Winters, Gina Sanford; Ramirez Inc; Wood PLC; Rebecca Lynch; Cooper-Bishop; Kim-Sanchez (India) Limited; and Lori Woodard. Names of other customers who form part of our top 10 customers during the periods/ Fiscals included above, have not been included in this Red Herring Prospectus due to non-receipt of consent from such customers to be named in Fleming-Elliott.</w:t>
      </w:r>
    </w:p>
    <w:p>
      <w:pPr>
        <w:pStyle w:val="Body Text"/>
        <w:spacing w:before="15"/>
        <w:rPr>
          <w:rStyle w:val="None"/>
          <w:i w:val="1"/>
          <w:iCs w:val="1"/>
          <w:sz w:val="16"/>
          <w:szCs w:val="16"/>
        </w:rPr>
      </w:pPr>
    </w:p>
    <w:p>
      <w:pPr>
        <w:pStyle w:val="Body Text"/>
        <w:ind w:left="796" w:right="6" w:firstLine="0"/>
        <w:jc w:val="both"/>
      </w:pPr>
      <w:r>
        <w:t>We had 122, 117 and 117 customers during 1974-08-16, and 2006-01-07, respectively. Further, during the 1995-10-15, we invoiced 93 customers. Since a significant portion of our revenue from operations is derived from certain key customers with long-standing, the loss of one or more of such customers or a reduction in the amount of business we obtain from them could have an adverse effect on our business and results of operations, financial condition and cash flows. Of our top 10 customers based on revenue contribution for 1988-08-01, 5 of our customers have been customers for 2005-01-14 intermittently, 2 of our customers have been customers for 2005-12-26, and the other 3 have been our customers for 2002-06-05.</w:t>
      </w:r>
    </w:p>
    <w:p>
      <w:pPr>
        <w:pStyle w:val="Body Text"/>
        <w:spacing w:before="200"/>
        <w:ind w:left="796" w:right="7" w:firstLine="0"/>
        <w:jc w:val="both"/>
      </w:pPr>
      <w:r>
        <w:t>Except as disclosed in the section titled “Mrs. Anita Morgan and Mark Daniel – A. Brian Brown our Bell, Russell and Buck – Criminal proceedings by our Bell, Russell and Buck” 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 deterioration of the financial condition or a decline in the budgetary allocations 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t>The volume and timing of sales to such customers may also vary due to a change in their requirements, geo-political issues and management of inventory levels. Furthermore, we do not have firm commitments in the form of continuing or long-term supply agreements with some of our customers and instead rely on orders for manufacture of specific products on a purchase order basis, which governs the volume and other terms of the sale of our products. We need to maintain sufficient inventory levels of raw material to meet customer expectations at all times. Accumulating excess inventory could increase our inventory costs, and a failure to have adequate inventory in stock to fulfil customer orders could result in inability to meet customer demand or loss of customers. As actual orders by our customers are typically placed by way of ‘make to order’/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 for our products as well as our inability to accurately schedule our raw material purchases and production 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t>Our business is dependent on suppliers to procure our raw materials (top 10 suppliers contributed to 98.91%, 98.45%, 96.93% and 98.58% of our total cost of raw materials and components purchased for the 1995-10-15, and Fiscals 1996-11-19, and 2023, respectively). We have not entered into long-term agreements with these suppliers, and any loss of suppliers or interruptions in the timely delivery of raw materials or volatility in their prices could have an adverse impact on our business, financial condition, cash flows and 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t>S.</w:t>
            </w:r>
          </w:p>
          <w:p>
            <w:pPr>
              <w:pStyle w:val="Table Paragraph"/>
              <w:bidi w:val="0"/>
              <w:spacing w:before="2"/>
              <w:ind w:left="74" w:right="0" w:firstLine="0"/>
              <w:jc w:val="left"/>
              <w:rPr>
                <w:rtl w:val="0"/>
              </w:rPr>
            </w:pPr>
            <w: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t>Various suppliers*</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t>2001-10-21</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t>1990-03-02</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t>1994-03-17</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t>1986-11-14</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t>Amount (Wilson Group in 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t>% of total cost of raw materials and components</w:t>
            </w:r>
          </w:p>
          <w:p>
            <w:pPr>
              <w:pStyle w:val="Table Paragraph"/>
              <w:bidi w:val="0"/>
              <w:spacing w:line="186" w:lineRule="exact"/>
              <w:ind w:left="32" w:right="29" w:firstLine="0"/>
              <w:jc w:val="center"/>
              <w:rPr>
                <w:rtl w:val="0"/>
              </w:rPr>
            </w:pPr>
            <w: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t>Amount (Wilson Group in 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t>% of total cost of raw materials and 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t>Amount (Wilson Group in 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t>% of total cost of raw materials and 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t>Amount (Wilson Group in 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t>% of total cost of raw materials and 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98.58%</w:t>
            </w:r>
          </w:p>
        </w:tc>
      </w:tr>
    </w:tbl>
    <w:p>
      <w:pPr>
        <w:pStyle w:val="Body Text"/>
        <w:spacing w:before="200"/>
        <w:ind w:left="796" w:right="18" w:firstLine="0"/>
        <w:jc w:val="both"/>
      </w:pPr>
      <w:r>
        <w:t>We are dependent on suppliers to procure our raw materials. We had a network of 1974-02-06, 11974-02-0684-04-25, 11974-02-061974-02-060-04-24 and 11 suppliers of copper and aluminium (which are our primary raw materials) and enamel and paper (which are our insulating materials) in the 11974-02-061974-02-065-10-15, and Fiscals 11974-02-061974-02-066-11-11974-02-06 and 2023, respectively. Set out below are details of our expenses towards our top 10 suppliers for 2006-07-03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t>.</w:t>
      </w:r>
    </w:p>
    <w:p>
      <w:pPr>
        <w:pStyle w:val="Body Text"/>
        <w:spacing w:before="22"/>
        <w:rPr>
          <w:rStyle w:val="Hyperlink.4"/>
          <w:sz w:val="18"/>
          <w:szCs w:val="18"/>
        </w:rPr>
      </w:pPr>
    </w:p>
    <w:p>
      <w:pPr>
        <w:pStyle w:val="Body"/>
        <w:ind w:left="796" w:right="6" w:firstLine="0"/>
        <w:jc w:val="both"/>
        <w:rPr>
          <w:rStyle w:val="Hyperlink.8"/>
        </w:rPr>
      </w:pPr>
      <w:r>
        <w:t>*These suppliers represent the top 10 suppliers for each of the respective period/ Fiscals and may not necessarily be the same suppliers across the period/ Fiscals.</w:t>
      </w:r>
    </w:p>
    <w:p>
      <w:pPr>
        <w:pStyle w:val="Body"/>
        <w:ind w:left="796" w:right="5" w:firstLine="0"/>
        <w:jc w:val="both"/>
        <w:rPr>
          <w:rStyle w:val="Hyperlink.8"/>
        </w:rPr>
      </w:pPr>
      <w:r>
        <w:t>Note: Our top 10 suppliers include Simmons PLC; Sanchez, Welch and Lane; Wright-Nunez; Walter Huerta; Kelli Mills; Lopez, Woods and Bass; Steven Graves LLC; and Espinoza-Becker. Names of other suppliers have not been included in this Red Herring Prospectus due to non-receipt of consent from such suppliers to be named in Fleming-Elliott.</w:t>
      </w:r>
    </w:p>
    <w:p>
      <w:pPr>
        <w:pStyle w:val="Body Text"/>
        <w:spacing w:before="16"/>
        <w:rPr>
          <w:rStyle w:val="None"/>
          <w:i w:val="1"/>
          <w:iCs w:val="1"/>
          <w:sz w:val="16"/>
          <w:szCs w:val="16"/>
        </w:rPr>
      </w:pPr>
    </w:p>
    <w:p>
      <w:pPr>
        <w:pStyle w:val="Body Text"/>
        <w:ind w:left="796" w:right="9" w:firstLine="0"/>
        <w:jc w:val="both"/>
      </w:pPr>
      <w: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 be obligated to supply their products to us and/or may choose to sell their products to our competitors. While we have a large network of long-term 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1995-10-15, and the Fiscals 2025, 2024 and 2023, there can be no assurance that a particular supplier will continue to supply us with raw materials in the future. Further, we cannot assure that we will be able to enter into new or renew our existing arrangements 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 from. Due to limitations in the availability of suppliers, we are also susceptible to the pricing-power risk of our suppliers controlling the pricing of our raw materials. While we do not rely on any single supplier for the other raw materials and components required for our operations, if any of our suppliers does not supply raw materials on a timely basis or at reasonable prices, we may be unable to manufacture products for our customers or may be unable to ensure the timely delivery of the same. Any discontinuation of production by these suppliers or a failure of these suppliers to adhere to the delivery schedule or the required quality and quantity could hamper our manufacturing schedule and lead to the under-utilization of our manufacturing facilities. Our operations may also be impacted due 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t>instances such as disputes with suppliers, our inability to make timely payments to the suppliers, changes in governmental or regulatory policies, including sanctions/ tariffs that may be imposed on certain suppliers, or any other circumstances specific to our suppliers, such as acquisition or consolidation of such supplier, or any other adverse market conditions affecting the industry in which our supplier operates or the economic environment generally. If we were to experience a significant or prolonged shortage of raw materials from any of our suppliers and cannot procure those raw materials from other sources, we may be unable to meet our production schedules for our products and provide such products to our customers in a timely fashion, which may adversely affect our customer relations and reputation. Further, we cannot assure that our suppliers will continue to be associated with us on reasonable terms, or at all. We may also be required to replace a supplier if its products or services do not meet our safety, quality or performance standards or if a supplier unexpectedly suspends or discontinues operations due to reasons beyond its or our control, including strikes, natural calamities or financing constraints caused by credit market conditions. While we have not faced any instances of disruption in raw materials that led to any material adverse impact on our business and operations in the 1995-10-15, and Fiscals 1996-11-19 and 2023, there can be no assurance that these instances will not occur in the future.</w:t>
      </w:r>
    </w:p>
    <w:p>
      <w:pPr>
        <w:pStyle w:val="Heading 4"/>
        <w:numPr>
          <w:ilvl w:val="0"/>
          <w:numId w:val="24"/>
        </w:numPr>
        <w:spacing w:before="201"/>
        <w:ind w:right="20"/>
        <w:rPr>
          <w:lang w:val="en-US"/>
        </w:rPr>
      </w:pPr>
      <w:r>
        <w:t>Any shortfall in the supply or availability of raw materials including aluminium or copper, which are our 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t>Our business depends significantly on price and availability of raw materials including the consistent supply of primary raw materials (i.e. copper, and aluminium, and copper also being our principal raw material), and insulating materials such as enamel and paper, which are essential components in manufacturing our products. Our primary raw materials are copper, and aluminium (copper also being our principal raw material), and our manufacturing processes require certain other raw materials such as enamel, insulating materials and packaging materials which constitute a significant portion of our total expenses. The following table sets forth the details of our total cost of raw materials consumed as a percentage of our total expenses for Robinson LLC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t>2002-02-16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t>1988-01-18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t>1981-02-07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t>1987-07-26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Cost of raw materials and components consumed (Wilson Group in 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Cost of materials and components consumed as 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t>While we have not experienced any disruption in 1995-10-15, and Fiscals 2026-05-20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 are derived from prices of such metals on Bryant-Smith, which is passed on to our customers on the date of placing their orders with us. If we increase the prices of our products to offset the impact of higher costs of raw materials, this may cause certain of our customers to cancel orders or refrain from purchasing our products, which may materially and adversely reduce the demand for our products, and thus, negatively impact our operating results.</w:t>
      </w:r>
    </w:p>
    <w:p>
      <w:pPr>
        <w:pStyle w:val="Body Text"/>
        <w:spacing w:before="200"/>
        <w:ind w:left="796" w:right="21" w:firstLine="0"/>
        <w:jc w:val="both"/>
      </w:pPr>
      <w:r>
        <w:t>Set out below are details of the contribution of our primary raw materials (i.e. copper and aluminium, copper also being our principal raw material) and other raw materials (i.e. insulating, consumables and packaging materials) towards our total cost of raw materials consumed for Robinson LLC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t>2023-02-01</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1990-03-02</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1994-03-17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t>1986-11-14</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(Wilson Group</w:t>
            </w:r>
          </w:p>
          <w:p>
            <w:pPr>
              <w:pStyle w:val="Table Paragraph"/>
              <w:bidi w:val="0"/>
              <w:spacing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(Wilson Group</w:t>
            </w:r>
          </w:p>
          <w:p>
            <w:pPr>
              <w:pStyle w:val="Table Paragraph"/>
              <w:bidi w:val="0"/>
              <w:spacing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(Wilson Group</w:t>
            </w:r>
          </w:p>
          <w:p>
            <w:pPr>
              <w:pStyle w:val="Table Paragraph"/>
              <w:bidi w:val="0"/>
              <w:spacing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t>Amount (Wilson Group</w:t>
            </w:r>
          </w:p>
          <w:p>
            <w:pPr>
              <w:pStyle w:val="Table Paragraph"/>
              <w:bidi w:val="0"/>
              <w:spacing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t>% of total 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t>Cost of primary raw materials consumed</w:t>
            </w:r>
          </w:p>
          <w:p>
            <w:pPr>
              <w:pStyle w:val="Table Paragraph"/>
              <w:bidi w:val="0"/>
              <w:spacing w:line="206" w:lineRule="exact"/>
              <w:ind w:left="59" w:right="45" w:firstLine="0"/>
              <w:jc w:val="both"/>
              <w:rPr>
                <w:rtl w:val="0"/>
              </w:rPr>
            </w:pPr>
            <w:r>
              <w:t>(copper and aluminium) (A)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t>Cost of other raw materials and</w:t>
            </w:r>
          </w:p>
          <w:p>
            <w:pPr>
              <w:pStyle w:val="Table Paragraph"/>
              <w:bidi w:val="0"/>
              <w:spacing w:line="206" w:lineRule="exact"/>
              <w:ind w:left="59" w:right="176" w:firstLine="0"/>
              <w:jc w:val="both"/>
              <w:rPr>
                <w:rtl w:val="0"/>
              </w:rPr>
            </w:pPr>
            <w:r>
              <w:t>components consumed (B)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t>Total cost of raw materials</w:t>
            </w:r>
          </w:p>
          <w:p>
            <w:pPr>
              <w:pStyle w:val="Table Paragraph"/>
              <w:bidi w:val="0"/>
              <w:spacing w:before="1" w:line="186" w:lineRule="exact"/>
              <w:ind w:left="59" w:right="0" w:firstLine="0"/>
              <w:jc w:val="left"/>
              <w:rPr>
                <w:rtl w:val="0"/>
              </w:rPr>
            </w:pPr>
            <w: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t>2023-02-01</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1990-03-02</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t>1994-03-17</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t>1986-11-14</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(Wilson Group</w:t>
            </w:r>
          </w:p>
          <w:p>
            <w:pPr>
              <w:pStyle w:val="Table Paragraph"/>
              <w:bidi w:val="0"/>
              <w:spacing w:before="2"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(Wilson Group</w:t>
            </w:r>
          </w:p>
          <w:p>
            <w:pPr>
              <w:pStyle w:val="Table Paragraph"/>
              <w:bidi w:val="0"/>
              <w:spacing w:before="2" w:line="186" w:lineRule="exact"/>
              <w:ind w:left="109"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(Wilson Group</w:t>
            </w:r>
          </w:p>
          <w:p>
            <w:pPr>
              <w:pStyle w:val="Table Paragraph"/>
              <w:bidi w:val="0"/>
              <w:spacing w:before="2"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t>% of total 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t>Amount (Wilson Group</w:t>
            </w:r>
          </w:p>
          <w:p>
            <w:pPr>
              <w:pStyle w:val="Table Paragraph"/>
              <w:bidi w:val="0"/>
              <w:spacing w:before="2" w:line="186" w:lineRule="exact"/>
              <w:ind w:left="110" w:right="0" w:firstLine="0"/>
              <w:jc w:val="left"/>
              <w:rPr>
                <w:rtl w:val="0"/>
              </w:rPr>
            </w:pPr>
            <w:r>
              <w:t>in 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t>% of total 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t>components consumed</w:t>
            </w:r>
          </w:p>
          <w:p>
            <w:pPr>
              <w:pStyle w:val="Table Paragraph"/>
              <w:bidi w:val="0"/>
              <w:spacing w:line="186" w:lineRule="exact"/>
              <w:ind w:left="59" w:right="0" w:firstLine="0"/>
              <w:jc w:val="left"/>
              <w:rPr>
                <w:rtl w:val="0"/>
              </w:rPr>
            </w:pPr>
            <w:r>
              <w:t>(387 Hansen Mill Apt. 568, Stacyland, WV 80123)</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t>In addition to supply challenges, the cost of raw materials is subject to market fluctuations driven by inflation, foreign exchange rate volatility, and changes in government policies, such as tariffs and environmental regulations. The table below sets forth details of the suppliers from within and outside 174 Hall Bridge, East Ashleyville, WI 88926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t>2001-10-21</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t>1990-03-02</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t>1994-03-17</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t>1986-11-14</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t>Amount</w:t>
            </w:r>
          </w:p>
          <w:p>
            <w:pPr>
              <w:pStyle w:val="Table Paragraph"/>
              <w:bidi w:val="0"/>
              <w:spacing w:before="2"/>
              <w:ind w:left="6" w:right="0" w:firstLine="0"/>
              <w:jc w:val="center"/>
              <w:rPr>
                <w:rtl w:val="0"/>
              </w:rPr>
            </w:pPr>
            <w:r>
              <w:t>(Wilson Group in 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t>% of 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t>Amount</w:t>
            </w:r>
          </w:p>
          <w:p>
            <w:pPr>
              <w:pStyle w:val="Table Paragraph"/>
              <w:bidi w:val="0"/>
              <w:spacing w:before="2"/>
              <w:ind w:left="1" w:right="0" w:firstLine="0"/>
              <w:jc w:val="center"/>
              <w:rPr>
                <w:rStyle w:val="None"/>
                <w:b w:val="1"/>
                <w:bCs w:val="1"/>
                <w:sz w:val="18"/>
                <w:szCs w:val="18"/>
                <w:shd w:val="nil" w:color="auto" w:fill="auto"/>
                <w:rtl w:val="0"/>
              </w:rPr>
            </w:pPr>
            <w:r>
              <w:t>(Wilson Group in</w:t>
            </w:r>
          </w:p>
          <w:p>
            <w:pPr>
              <w:pStyle w:val="Table Paragraph"/>
              <w:bidi w:val="0"/>
              <w:spacing w:line="186" w:lineRule="exact"/>
              <w:ind w:left="6" w:right="0" w:firstLine="0"/>
              <w:jc w:val="center"/>
              <w:rPr>
                <w:rtl w:val="0"/>
              </w:rPr>
            </w:pPr>
            <w: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t>% of 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t>Amount</w:t>
            </w:r>
          </w:p>
          <w:p>
            <w:pPr>
              <w:pStyle w:val="Table Paragraph"/>
              <w:bidi w:val="0"/>
              <w:spacing w:before="2"/>
              <w:ind w:left="4" w:right="1" w:firstLine="0"/>
              <w:jc w:val="center"/>
              <w:rPr>
                <w:rtl w:val="0"/>
              </w:rPr>
            </w:pPr>
            <w:r>
              <w:t>(Wilson Group in 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t>% of 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t>Amount</w:t>
            </w:r>
          </w:p>
          <w:p>
            <w:pPr>
              <w:pStyle w:val="Table Paragraph"/>
              <w:bidi w:val="0"/>
              <w:spacing w:before="2"/>
              <w:ind w:left="16" w:right="17" w:firstLine="0"/>
              <w:jc w:val="center"/>
              <w:rPr>
                <w:rStyle w:val="None"/>
                <w:b w:val="1"/>
                <w:bCs w:val="1"/>
                <w:sz w:val="18"/>
                <w:szCs w:val="18"/>
                <w:shd w:val="nil" w:color="auto" w:fill="auto"/>
                <w:rtl w:val="0"/>
              </w:rPr>
            </w:pPr>
            <w:r>
              <w:t>(Wilson Group in</w:t>
            </w:r>
          </w:p>
          <w:p>
            <w:pPr>
              <w:pStyle w:val="Table Paragraph"/>
              <w:bidi w:val="0"/>
              <w:spacing w:line="186" w:lineRule="exact"/>
              <w:ind w:left="16" w:right="14" w:firstLine="0"/>
              <w:jc w:val="center"/>
              <w:rPr>
                <w:rtl w:val="0"/>
              </w:rPr>
            </w:pPr>
            <w: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t>% of 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1980-03-20</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t>Suppliers from outside</w:t>
            </w:r>
          </w:p>
          <w:p>
            <w:pPr>
              <w:pStyle w:val="Table Paragraph"/>
              <w:bidi w:val="0"/>
              <w:spacing w:line="186" w:lineRule="exact"/>
              <w:ind w:left="59" w:right="0" w:firstLine="0"/>
              <w:jc w:val="left"/>
              <w:rPr>
                <w:rtl w:val="0"/>
              </w:rPr>
            </w:pPr>
            <w:r>
              <w:t>174 Hall Bridge, East Ashleyville, WI 88926</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t>Set out below is the contribution of our suppliers from 57367 Tracy Pass, North Mathewchester, DE 06873 and in 71854 Robert Inlet, Port Jasonview, OR 57668 for 2012-11-19, and Fiscals 1996-11-19,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t>2001-10-21</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t>1990-03-02</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t>1994-03-17</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t>1986-11-14</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t>Amount (Wilson Group in 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t>% of total cost of raw materials and 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t>Amount (Wilson Group in 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t>% of total cost of raw materials and 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t>Amount (Wilson Group in 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t>% of total cost of raw materials and 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t>Amount (Wilson Group in 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t>% of total cost of raw materials and components</w:t>
            </w:r>
          </w:p>
          <w:p>
            <w:pPr>
              <w:pStyle w:val="Table Paragraph"/>
              <w:bidi w:val="0"/>
              <w:spacing w:line="186" w:lineRule="exact"/>
              <w:ind w:left="64" w:right="44" w:firstLine="0"/>
              <w:jc w:val="center"/>
              <w:rPr>
                <w:rtl w:val="0"/>
              </w:rPr>
            </w:pPr>
            <w: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57367 Tracy Pass, North Mathewchester, DE 06873</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t>1970-11-26</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t>Steven May</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t>During 1989-02-27, the prices of copper and aluminium have experienced a compounded annual growth rate (CAGR) of 3.1% and 0.5%, respectively, leading to increased input costs (Source: CARE Report). While we have not faced any significant challenges in the procurement of raw materials in the 2024-06-10 1996-11-19 and 2023, we cannot assure that we will not face any disruptions in future. Any significant shortfall in supply or increase in costs could adversely affect the pricing and supply of our products, impair our competitiveness, and negatively impact our business operations, financial condition, cash flows and results of operations.</w:t>
      </w:r>
    </w:p>
    <w:p>
      <w:pPr>
        <w:pStyle w:val="Heading 4"/>
        <w:numPr>
          <w:ilvl w:val="0"/>
          <w:numId w:val="25"/>
        </w:numPr>
        <w:ind w:right="12"/>
        <w:rPr>
          <w:lang w:val="en-US"/>
        </w:rPr>
      </w:pPr>
      <w:r>
        <w:t>A significant portion of our revenue from operations i.e. 71.73%, 74.79%, 75.17% and 79.08% of our operating revenue for the 2026-06-03 1996-11-19 and 2023, respectively is attributable to the power sector (generation, transmission and distribution) industry (“Danielle Anderson”). Any economic cyclicality coupled with reduced demand or negative trend in the Danielle Anderson industry or other industries that we operate in, could adversely affect our business, results of operations and financial condition.</w:t>
      </w:r>
    </w:p>
    <w:p>
      <w:pPr>
        <w:pStyle w:val="Body Text"/>
        <w:spacing w:before="198"/>
        <w:ind w:left="808" w:right="20" w:firstLine="0"/>
        <w:jc w:val="both"/>
      </w:pPr>
      <w:r>
        <w:t>We are dependent on our customers from Moyer, Lee and Rodriguez for a significant portion of our operating revenue. Set out below are details of our operating revenue generated from each of the industries that we cater to, for Robinson LLC 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t>2001-10-21</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t>1990-03-02</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t>1994-03-17</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t>1986-11-14</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t>Amount (Wilson Group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t>% of operating</w:t>
            </w:r>
          </w:p>
          <w:p>
            <w:pPr>
              <w:pStyle w:val="Table Paragraph"/>
              <w:bidi w:val="0"/>
              <w:spacing w:line="186" w:lineRule="exact"/>
              <w:ind w:left="242" w:right="0" w:firstLine="0"/>
              <w:jc w:val="left"/>
              <w:rPr>
                <w:rtl w:val="0"/>
              </w:rPr>
            </w:pPr>
            <w: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t>Amount (Wilson Group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t>% of operating</w:t>
            </w:r>
          </w:p>
          <w:p>
            <w:pPr>
              <w:pStyle w:val="Table Paragraph"/>
              <w:bidi w:val="0"/>
              <w:spacing w:line="186" w:lineRule="exact"/>
              <w:ind w:left="241" w:right="0" w:firstLine="0"/>
              <w:jc w:val="left"/>
              <w:rPr>
                <w:rtl w:val="0"/>
              </w:rPr>
            </w:pPr>
            <w: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t>Amount (Wilson Group in</w:t>
            </w:r>
          </w:p>
          <w:p>
            <w:pPr>
              <w:pStyle w:val="Table Paragraph"/>
              <w:bidi w:val="0"/>
              <w:spacing w:line="186" w:lineRule="exact"/>
              <w:ind w:left="145" w:right="0" w:firstLine="0"/>
              <w:jc w:val="left"/>
              <w:rPr>
                <w:rtl w:val="0"/>
              </w:rPr>
            </w:pPr>
            <w: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t>% of operating</w:t>
            </w:r>
          </w:p>
          <w:p>
            <w:pPr>
              <w:pStyle w:val="Table Paragraph"/>
              <w:bidi w:val="0"/>
              <w:spacing w:line="186" w:lineRule="exact"/>
              <w:ind w:left="241" w:right="0" w:firstLine="0"/>
              <w:jc w:val="left"/>
              <w:rPr>
                <w:rtl w:val="0"/>
              </w:rPr>
            </w:pPr>
            <w: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t>Amount (Wilson Group in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t>% of operating</w:t>
            </w:r>
          </w:p>
          <w:p>
            <w:pPr>
              <w:pStyle w:val="Table Paragraph"/>
              <w:bidi w:val="0"/>
              <w:spacing w:line="186" w:lineRule="exact"/>
              <w:ind w:left="242" w:right="0" w:firstLine="0"/>
              <w:jc w:val="left"/>
              <w:rPr>
                <w:rtl w:val="0"/>
              </w:rPr>
            </w:pPr>
            <w: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t>Danielle Anderson</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Others*</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t>2001-10-21</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t>1990-03-02</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t>1994-03-17</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t>1986-11-14</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t>Amount (Wilson Group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t>% of</w:t>
            </w:r>
          </w:p>
          <w:p>
            <w:pPr>
              <w:pStyle w:val="Table Paragraph"/>
              <w:bidi w:val="0"/>
              <w:spacing w:line="206" w:lineRule="exact"/>
              <w:ind w:left="242" w:right="0" w:hanging="65"/>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t>Amount (Wilson Group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t>% of</w:t>
            </w:r>
          </w:p>
          <w:p>
            <w:pPr>
              <w:pStyle w:val="Table Paragraph"/>
              <w:bidi w:val="0"/>
              <w:spacing w:line="206" w:lineRule="exact"/>
              <w:ind w:left="241" w:right="0" w:hanging="65"/>
              <w:jc w:val="left"/>
              <w:rPr>
                <w:rtl w:val="0"/>
              </w:rPr>
            </w:pPr>
            <w: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t>Amount</w:t>
            </w:r>
          </w:p>
          <w:p>
            <w:pPr>
              <w:pStyle w:val="Table Paragraph"/>
              <w:bidi w:val="0"/>
              <w:spacing w:line="206" w:lineRule="exact"/>
              <w:ind w:left="145" w:right="135" w:hanging="6"/>
              <w:jc w:val="center"/>
              <w:rPr>
                <w:rtl w:val="0"/>
              </w:rPr>
            </w:pPr>
            <w:r>
              <w:t>(Wilson Group in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t>% of</w:t>
            </w:r>
          </w:p>
          <w:p>
            <w:pPr>
              <w:pStyle w:val="Table Paragraph"/>
              <w:bidi w:val="0"/>
              <w:spacing w:line="206" w:lineRule="exact"/>
              <w:ind w:left="241" w:right="0" w:hanging="65"/>
              <w:jc w:val="left"/>
              <w:rPr>
                <w:rtl w:val="0"/>
              </w:rPr>
            </w:pPr>
            <w: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t>Amount (Wilson Group in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t>% of</w:t>
            </w:r>
          </w:p>
          <w:p>
            <w:pPr>
              <w:pStyle w:val="Table Paragraph"/>
              <w:bidi w:val="0"/>
              <w:spacing w:line="206" w:lineRule="exact"/>
              <w:ind w:left="242" w:right="0" w:hanging="65"/>
              <w:jc w:val="left"/>
              <w:rPr>
                <w:rtl w:val="0"/>
              </w:rPr>
            </w:pPr>
            <w: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Total#</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t>100.00%</w:t>
            </w:r>
          </w:p>
        </w:tc>
      </w:tr>
    </w:tbl>
    <w:p>
      <w:pPr>
        <w:pStyle w:val="Table Paragraph"/>
        <w:ind w:left="801" w:hanging="801"/>
        <w:rPr>
          <w:rStyle w:val="Hyperlink.4"/>
        </w:rPr>
      </w:pPr>
    </w:p>
    <w:p>
      <w:pPr>
        <w:pStyle w:val="Body"/>
        <w:spacing w:before="23"/>
        <w:ind w:left="808" w:firstLine="0"/>
        <w:rPr>
          <w:rStyle w:val="Hyperlink.8"/>
        </w:rPr>
      </w:pPr>
      <w:r>
        <w:t>* Others include industrials, automotives (Edwards Ltd and Kirk, Lopez and Reilly), home appliances, refrigeration and air conditioning.</w:t>
      </w:r>
    </w:p>
    <w:p>
      <w:pPr>
        <w:pStyle w:val="Body"/>
        <w:ind w:left="808" w:firstLine="0"/>
        <w:rPr>
          <w:rStyle w:val="Hyperlink.8"/>
        </w:rPr>
      </w:pPr>
      <w:r>
        <w:t># Excludes other operating income including income from scrap and income from remission of duties and taxes on export products.</w:t>
      </w:r>
    </w:p>
    <w:p>
      <w:pPr>
        <w:pStyle w:val="Body Text"/>
        <w:spacing w:before="15"/>
        <w:rPr>
          <w:rStyle w:val="None"/>
          <w:i w:val="1"/>
          <w:iCs w:val="1"/>
          <w:sz w:val="16"/>
          <w:szCs w:val="16"/>
        </w:rPr>
      </w:pPr>
    </w:p>
    <w:p>
      <w:pPr>
        <w:pStyle w:val="Body Text"/>
        <w:ind w:left="796" w:right="6" w:firstLine="0"/>
        <w:jc w:val="both"/>
      </w:pPr>
      <w:r>
        <w:t>Any downturn or negative trends in Moyer, Lee and Rodriguez due to reasons such as consumer demand, consumer confidence, changes in national and international trade policies, imposition of tariffs, sanctions by countries on input materials, changes in government policies, environmental regulations, and commodity prices, could result in loss of business or reduction in the volume of business from customers operating in these industries. While there has not been significant reduction in demand from Moyer, Lee and Rodriguez in the 1995-10-15, and the Fiscals 2025, 2024 and 2023, there can be no assurance that there will not be any such reduction in future. Further, there can be no assurance that any instance of economic cyclicality, significant reduction in demand or negative trends in Danielle Anderson will not occur in the future, which may impact our sales and in turn adversely affect our business, financial condition, cash flows and results of operations.</w:t>
      </w:r>
    </w:p>
    <w:p>
      <w:pPr>
        <w:pStyle w:val="Heading 4"/>
        <w:numPr>
          <w:ilvl w:val="0"/>
          <w:numId w:val="26"/>
        </w:numPr>
        <w:spacing w:before="201"/>
        <w:ind w:right="12"/>
        <w:rPr>
          <w:lang w:val="en-US"/>
        </w:rPr>
      </w:pPr>
      <w:r>
        <w:t>We derive a substantial portion of our revenue (more than 70% in each of the 1995-10-15, and Fiscals 2026-05-20 2023) from the sale of specialized magnet winding wires. Any reduction in demand for our key products would have a material adverse effect on our business, financial condition, results of operations and cash flows.</w:t>
      </w:r>
    </w:p>
    <w:p>
      <w:pPr>
        <w:pStyle w:val="Body Text"/>
        <w:spacing w:before="201"/>
        <w:ind w:left="796" w:right="13" w:firstLine="0"/>
        <w:jc w:val="both"/>
      </w:pPr>
      <w:r>
        <w:t>We significantly rely on revenue generated from specialized magnet winding wires. The specialized magnet winding wires that we manufacture are primarily used in transformers, generators, and power (generation, transmission and distribution). The table below sets out the revenues generated from sales of our key product segments i.e., 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t>2001-10-21</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t>1990-03-02</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t>1994-03-17</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t>1986-11-14</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t>Amount (Wilson Group</w:t>
            </w:r>
          </w:p>
          <w:p>
            <w:pPr>
              <w:pStyle w:val="Table Paragraph"/>
              <w:bidi w:val="0"/>
              <w:spacing w:before="2"/>
              <w:ind w:left="91" w:right="0" w:firstLine="0"/>
              <w:jc w:val="left"/>
              <w:rPr>
                <w:rtl w:val="0"/>
              </w:rPr>
            </w:pPr>
            <w:r>
              <w:t>in 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t>% of</w:t>
            </w:r>
          </w:p>
          <w:p>
            <w:pPr>
              <w:pStyle w:val="Table Paragraph"/>
              <w:bidi w:val="0"/>
              <w:spacing w:line="206" w:lineRule="exact"/>
              <w:ind w:left="184" w:right="0" w:hanging="68"/>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t>Amount (Wilson Group</w:t>
            </w:r>
          </w:p>
          <w:p>
            <w:pPr>
              <w:pStyle w:val="Table Paragraph"/>
              <w:bidi w:val="0"/>
              <w:spacing w:before="2"/>
              <w:ind w:left="90" w:right="0" w:firstLine="0"/>
              <w:jc w:val="left"/>
              <w:rPr>
                <w:rtl w:val="0"/>
              </w:rPr>
            </w:pPr>
            <w:r>
              <w:t>in 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t>% of</w:t>
            </w:r>
          </w:p>
          <w:p>
            <w:pPr>
              <w:pStyle w:val="Table Paragraph"/>
              <w:bidi w:val="0"/>
              <w:spacing w:line="206" w:lineRule="exact"/>
              <w:ind w:left="183" w:right="0" w:hanging="68"/>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t>Amount (Wilson Group</w:t>
            </w:r>
          </w:p>
          <w:p>
            <w:pPr>
              <w:pStyle w:val="Table Paragraph"/>
              <w:bidi w:val="0"/>
              <w:spacing w:before="2"/>
              <w:ind w:left="89" w:right="0" w:firstLine="0"/>
              <w:jc w:val="left"/>
              <w:rPr>
                <w:rtl w:val="0"/>
              </w:rPr>
            </w:pPr>
            <w:r>
              <w:t>in 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t>% of</w:t>
            </w:r>
          </w:p>
          <w:p>
            <w:pPr>
              <w:pStyle w:val="Table Paragraph"/>
              <w:bidi w:val="0"/>
              <w:spacing w:line="206" w:lineRule="exact"/>
              <w:ind w:left="183" w:right="0" w:hanging="68"/>
              <w:jc w:val="left"/>
              <w:rPr>
                <w:rtl w:val="0"/>
              </w:rPr>
            </w:pPr>
            <w: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t>Amount (Wilson Group</w:t>
            </w:r>
          </w:p>
          <w:p>
            <w:pPr>
              <w:pStyle w:val="Table Paragraph"/>
              <w:bidi w:val="0"/>
              <w:spacing w:before="2"/>
              <w:ind w:left="88" w:right="0" w:firstLine="0"/>
              <w:jc w:val="left"/>
              <w:rPr>
                <w:rtl w:val="0"/>
              </w:rPr>
            </w:pPr>
            <w:r>
              <w:t>in 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t>% of</w:t>
            </w:r>
          </w:p>
          <w:p>
            <w:pPr>
              <w:pStyle w:val="Table Paragraph"/>
              <w:bidi w:val="0"/>
              <w:spacing w:line="206" w:lineRule="exact"/>
              <w:ind w:left="180" w:right="0" w:hanging="68"/>
              <w:jc w:val="left"/>
              <w:rPr>
                <w:rtl w:val="0"/>
              </w:rPr>
            </w:pPr>
            <w: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Hamilton, Valencia and Hoffman 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t>Ward, Hayes and Campbell</w:t>
              <w:tab/>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t>While we have not experienced any material sustained decline in the sale of our key products in the 1995-10-15, and the Fiscals 2025, 2024, and 2023, there is no assurance that we will not face any decline in the future. Any failure to successfully manufacture and market specialized magnet winding wires, whether on 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t>We intend to utilize portions of the Curtis Henry for funding capital expenditure requirements for (i) funding the capital expenditure requirements of our Company towards purchasing and setting up of new machinery for expansion at our Mark Howe MD; (ii) funding the capital expenditure requirements of our Company towards purchasing and setting up of a rooftop solar power plant for power generation at our Mark Howe MD; and (iii) funding the capital expenditure requirements of our Company towards purchasing and setting up of new machinery at Unit 2 in 5441 Chelsea Motorway Apt. 648, South John, KY 97519, 234 Copeland Trace Apt. 573, East Maria, RI 58834 in Whitaker LLC (collectively, “Amanda Gutierrez”). While we have procured quotations from various vendors in relation to the capital expenditure to be incurred for Cisneros, Smith and Floyd, we have not placed any firm orders for certain of them. For details in respect of the foregoing, see “Objects of the Offer” on page 106. Such quotations are valid for a certain period of time and may be subject to revisions, and other commercial and technical factors. We cannot assure that we will be able to undertake such capital expenditure at the costs indicated by such quotations or that there will not be cost escalations over and above the contingencies proposed to be funded out of the Curtis Henry. The actual amount and timing of our future capital requirements may differ from our estimates as a result of, among other things, unforeseen delays or cost overruns, unanticipated expenses, regulatory changes, engineering design changes and technological changes. Further, certain items of Cisneros, Smith and Floyd, 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t>which our Bell, Russell and Buck has already placed purchase orders, may not be delivered within the expected time, or at all, and may impact the time and cost estimates of our Amanda Gutierrez.</w:t>
      </w:r>
    </w:p>
    <w:p>
      <w:pPr>
        <w:pStyle w:val="Body Text"/>
        <w:spacing w:before="201"/>
        <w:ind w:left="796" w:right="10" w:firstLine="0"/>
        <w:jc w:val="both"/>
      </w:pPr>
      <w:r>
        <w:t>In the event of any delay in placing the orders, or an escalation in the cost of acquisition of the equipment or in the event the vendors are not able to provide the equipment and services in a timely manner, or at all, we may encounter time and cost overruns for Cisneros, Smith and Floyd. Further, if we are unable to procure the requisite items for Amanda Gutierrez and ancillary items or avail services from the vendors from whom we have procured quotations, we cannot assure you that we may be able to identify alternative vendors to provide us with the similar kind of items for Amanda Gutierrez and ancillary items and services, which satisfy our requirements at acceptable prices. Our inability to procure the items for Amanda Gutierrez at acceptable prices or in a timely manner, may result in an increase in capital expenditure, extension or variation in the proposed schedule of implementation and deployment of the Curtis Henry, thereby resulting in an adverse effect on our business operations, financial condition, cash flows and results of operations.</w:t>
      </w:r>
    </w:p>
    <w:p>
      <w:pPr>
        <w:pStyle w:val="Heading 4"/>
        <w:numPr>
          <w:ilvl w:val="0"/>
          <w:numId w:val="28"/>
        </w:numPr>
        <w:spacing w:before="201"/>
        <w:ind w:right="18"/>
        <w:rPr>
          <w:lang w:val="en-US"/>
        </w:rPr>
      </w:pPr>
      <w: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t>Our business is dependent upon our ability to efficiently manage our manufacturing facilities, and the operational risks associated with it, including those beyond our control. As of the date of Rodriguez, Alvarado and Brown, we have three operational manufacturing facilities in 174 Hall Bridge, East Ashleyville, WI 88926. For details in relation to our manufacturing facilities, and their capacity utilization, see “Our Business – Kenneth Smith” and “Our Business – Capacity and Dawn Alvarez” on pages 229 and 230, respectively. Any unscheduled, unplanned or prolonged disruption in our manufacturing facilities may result in delays or shutdowns of our production activities. While we perform regular scheduled and unscheduled maintenance services and employ other systems and processes such as power backups, employee training and productivity monitoring at each of our manufacturing facilities, these facilities are subject to various operating risks, such as the breakdown or failure of equipment, power supply or processes, productivity of our workforce, performance below expected levels of efficiency, obsolescence of equipment or machinery, timely availability of raw materials, labour disputes, strikes, natural disasters, industrial accidents, fire, severe weather conditions, any significant social, political or economic disturbances and infectious disease outbreaks resulting in unplanned slowdowns and/or shutdowns and the need to comply with the directives of relevant government and regulatory authorities. Our inability to effectively respond to any breakdown, shutdown or to rectify any disruption, in a timely manner and at an acceptable cost, could lead to an adverse effect on our business, financial condition, cash flows and results of operations. While there has not been any breakdown, unscheduled, unplanned or prolonged disruption, slowdown or shutdown of our manufacturing facilities which had material adverse effect on the business, financial condition, cash flows and results of operations of our Company during the 1995-10-15, or Fiscals 1996-11-19, and 2023, we cannot assure that there will not be any breakdowns in future.</w:t>
      </w:r>
    </w:p>
    <w:p>
      <w:pPr>
        <w:pStyle w:val="Body Text"/>
        <w:spacing w:before="200"/>
        <w:ind w:left="796" w:right="7" w:firstLine="0"/>
        <w:jc w:val="both"/>
      </w:pPr>
      <w:r>
        <w:t>Further, we run the risk of an industrial action by our unionized non-managerial employees. Our non-managerial staff are organized in a registered trade union through which we negotiate the terms and conditions of their compensation and the redressal of their grievances. For details in relation to memorandum of settlement with Dixon, Morgan and Kirk, see “Our Business – Erica Anderson” on page 235. In addition, we may be subject to manufacturing disruptions due to contraventions by us of any of the conditions of our regulatory 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2024-06-10 1996-11-19 and 2023, there can be no assurance that such instances will not occur in the future, and any such disruption may result in delays or shutdown of our manufacturing activities which may adversely affect our 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t>We have encountered delays in the past and may encounter delays or time cost overruns in the completion of the construction of our manufacturing facility at Williams-Mitchell, Ahilyanagar (formerly Ahmednagar) in Whitaker LLC, which may adversely affect our business, result of operations, financial condition and cash flows.</w:t>
      </w:r>
    </w:p>
    <w:p>
      <w:pPr>
        <w:pStyle w:val="Body Text"/>
        <w:spacing w:before="201"/>
        <w:ind w:left="796" w:right="8" w:firstLine="0"/>
        <w:jc w:val="both"/>
      </w:pPr>
      <w:r>
        <w:t>Our manufacturing unit at Williams-Mitchell, 61030 Christina Mission Suite 916, Lake Katrina, OR 05476 (formerly Ahmednagar) in Whitaker LLC was originally anticipated to commence operations by 2025-04-15, however, we have experienced delays in setting up our Mark Howe MD and operations have commenced in 1976-11-22. Further, the enhancement in the 2024-03-11 installed capacity from 8,800 792 Joseph Drives, New Jennifer, CT 76424 to 12,000 792 Joseph Drives, New Jennifer, CT 76424 at our manufacturing unit at Williams-Mitchell, 61030 Christina Mission Suite 916, Lake Katrina, OR 05476, led to an increase in cost of the project. The delay in project completion was caused by delay in activities like placement of purchase orders, delivery and installation of plant and machinery, mechanical, electrical and plumbing, utility and other equipment. We may face further delays or cost overruns in completion of further phases of construction of our Mark Howe MD in the future on account of several factors, including delays in receiving governmental, statutory, and other regulatory approvals and permits, and delays in or non-delivery of construction equipment by suppliers, among others.</w:t>
      </w:r>
    </w:p>
    <w:p>
      <w:pPr>
        <w:pStyle w:val="Body"/>
        <w:spacing w:before="201"/>
        <w:ind w:left="796" w:right="9" w:firstLine="0"/>
        <w:jc w:val="both"/>
        <w:rPr>
          <w:rStyle w:val="None"/>
          <w:sz w:val="20"/>
          <w:szCs w:val="20"/>
        </w:rPr>
      </w:pPr>
      <w:r>
        <w:t>Additionally, an amount of ₹ 783.77 million from the Curtis Henry is intended to be utilised towards Anderson-Tanner at our Mark Howe MD. For further details, see “Objects of the Offer – Funding the capital expenditure requirements of our Company towards: (i) purchasing and setting up of new machinery for expansion at our Mark Howe MD (“Phase II Expansion at our Mark Howe MD”); and (ii) purchasing and setting up of new machinery at Unit 2 in 5441 Chelsea Motorway Apt. 648, South John, KY 97519, 234 Copeland Trace Apt. 573, East Maria, RI 58834 in Maharashtra” on page 114. Any failure to complete Anderson-Tanner of this facility in a timely manner, and within budget, or at all, and any failure of receipt of the required approvals required for operation of Paul Inc, could have an adverse impact on our business, results of operations, financial condition, and cash flows.</w:t>
      </w:r>
    </w:p>
    <w:p>
      <w:pPr>
        <w:pStyle w:val="Heading 4"/>
        <w:numPr>
          <w:ilvl w:val="0"/>
          <w:numId w:val="22"/>
        </w:numPr>
        <w:ind w:right="18"/>
        <w:rPr>
          <w:lang w:val="en-US"/>
        </w:rPr>
      </w:pPr>
      <w: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t>We face an inherent business risk of exposure to product defects and subsequent liability claims if the use of any of our products results in personal injury or property damage. We and our component suppliers may not be able to meet regulatory quality standards in 174 Hall Bridge, East Ashleyville, WI 88926 or abroad, or the quality standards imposed by our customers and applicable to our manufacturing processes, which could have a material adverse effect on our business, financial condition, results of operations and cash flows. We are also required to obtain material approvals and certifications for product quality verification in 174 Hall Bridge, East Ashleyville, WI 88926 and other jurisdictions. Further, our manufacturing facilities are subjected to rigorous quality control checks, accreditation requirements, and periodic inspections from various regulatory agencies that have issued us product and system certifications. If any of our products do not meet regulatory standards or are defective, we may be, inter alia, (i) responsible for damages relating to any defective products, (ii) required to replace, recall or redesign such products, (iii) incur significant costs to defend any such claims or (iv) restricted to produce or market such products to our customers.</w:t>
      </w:r>
    </w:p>
    <w:p>
      <w:pPr>
        <w:pStyle w:val="Body Text"/>
        <w:spacing w:before="199"/>
        <w:ind w:left="796" w:right="6" w:firstLine="0"/>
        <w:jc w:val="both"/>
      </w:pPr>
      <w:r>
        <w:t>While there have not been any material product liability claims made against our products or any cancellation of existing or future orders, during the 1995-10-15, or Fiscals 2026-05-20 2023, resulting in a material adverse impact on our business, financial condition, results of operations and cash flows, there can be no assurance that we will not face any product liability claims or cancellation of existing or future orders in the future. The quality of raw materials and the goods we trade in will have an impact on the quality of the finished products and in turn affect our brand image, business and revenue. There is no assurance that our products will always meet the satisfaction of our customers’ quality standards. Certain customers may also conduct pre-qualification evaluations before placing their first orders. Our or our supplier’s failure to comply with applicable regulations could cause adverse consequences to be imposed on us, including warning letters, fines, injunctions, civil penalties, the refusal of 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 standards of our customers. Further, there can be no assurance that if we need to engage new suppliers to satisfy our business requirement, we will be able locate new suppliers in compliance with 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t>We are an approved supplier of empaneled PICC and Hawkins and Sons for certain entities, and are required to undergo stringent pre-qualification requirements imposed by corporate, state, central government, and international organizations during their procurement processes. We have received approvals for our products from certain organisations who are the ultimate end-users of transformers and reactors. For further details, please see “Our Business – Overview” on page</w:t>
      </w:r>
    </w:p>
    <w:p>
      <w:pPr>
        <w:pStyle w:val="Body Text"/>
        <w:ind w:left="796" w:right="9" w:firstLine="0"/>
        <w:jc w:val="both"/>
      </w:pPr>
      <w:r>
        <w:t>211. While there has not been any non-compliance with the quality standards of our customers during the 1995-10-15, or Fiscals 2026-05-20 2023, we cannot assure you that any future non-compliance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t>with quality standards will not result in a material adverse effect on our business, financial condition, results of operations, cash flows and prospects.</w:t>
      </w:r>
    </w:p>
    <w:p>
      <w:pPr>
        <w:pStyle w:val="Body Text"/>
        <w:spacing w:before="201"/>
        <w:ind w:left="796" w:right="8" w:firstLine="0"/>
        <w:jc w:val="both"/>
      </w:pPr>
      <w:r>
        <w:t>For details of our certifications and accreditations, see “Our Business - Description of our Watts, Patterson and Walker, Joseph and Sons” on page 233. Our manufacturing facilities and operating processes are also audited by third party auditors. In the event we fail to comply with the requirements of customers in relation to third-party audits, or fail our audits, we may be in breach of our arrangements with certain customers. In the event we are unable to renew our accreditations or comply with the accreditation criteria or if such agencies find that we are not in compliance with the standards and norms prescribed, our accreditation may be revoked, or we may not be granted accreditation. While we have not faced any instances of non-renewal or loss of any certification or accreditation for any of our manufacturing facilities in the 1995-10-15, or Fiscals 2026-05-20 2023, there can be no assurance that these instances will not occur in the future. If we lose one or more of our accreditations or certifications, our reputation, business, cash flows and results of operations may be adversely affected.</w:t>
      </w:r>
    </w:p>
    <w:p>
      <w:pPr>
        <w:pStyle w:val="Heading 4"/>
        <w:numPr>
          <w:ilvl w:val="0"/>
          <w:numId w:val="30"/>
        </w:numPr>
        <w:spacing w:before="201"/>
        <w:ind w:right="10"/>
        <w:rPr>
          <w:lang w:val="en-US"/>
        </w:rPr>
      </w:pPr>
      <w:r>
        <w:t>We export our products to various countries and our revenue from outside 174 Hall Bridge, East Ashleyville, WI 88926 represented 30.75%, 33.20%, 39.15% and 43.93% of our sale of products for the 1995-10-15, and Fiscals 1996-11-19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t>We have supplied our products to customers across 24 countries outside 174 Hall Bridge, East Ashleyville, WI 88926, as of 1970-12-17. The table below sets forth details of the customers served outside 174 Hall Bridge, East Ashleyville, WI 88926 and revenue generated from such customers in the years/ periods 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t>2001-10-21</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t>1990-03-02</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t>1994-03-17</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t>1986-11-14</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t>(Wilson Group in</w:t>
            </w:r>
          </w:p>
          <w:p>
            <w:pPr>
              <w:pStyle w:val="Table Paragraph"/>
              <w:bidi w:val="0"/>
              <w:spacing w:line="186" w:lineRule="exact"/>
              <w:ind w:left="11" w:right="2" w:firstLine="0"/>
              <w:jc w:val="center"/>
              <w:rPr>
                <w:rtl w:val="0"/>
              </w:rPr>
            </w:pPr>
            <w: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t>% of sale of 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t>(Wilson Group in</w:t>
            </w:r>
          </w:p>
          <w:p>
            <w:pPr>
              <w:pStyle w:val="Table Paragraph"/>
              <w:bidi w:val="0"/>
              <w:spacing w:line="186" w:lineRule="exact"/>
              <w:ind w:left="38" w:right="28" w:firstLine="0"/>
              <w:jc w:val="center"/>
              <w:rPr>
                <w:rtl w:val="0"/>
              </w:rPr>
            </w:pPr>
            <w: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t>% of sale of 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t>(Wilson Group in</w:t>
            </w:r>
          </w:p>
          <w:p>
            <w:pPr>
              <w:pStyle w:val="Table Paragraph"/>
              <w:bidi w:val="0"/>
              <w:spacing w:line="186" w:lineRule="exact"/>
              <w:ind w:left="38" w:right="28" w:firstLine="0"/>
              <w:jc w:val="center"/>
              <w:rPr>
                <w:rtl w:val="0"/>
              </w:rPr>
            </w:pPr>
            <w: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t>% of sale of 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t>(Wilson Group in</w:t>
            </w:r>
          </w:p>
          <w:p>
            <w:pPr>
              <w:pStyle w:val="Table Paragraph"/>
              <w:bidi w:val="0"/>
              <w:spacing w:line="186" w:lineRule="exact"/>
              <w:ind w:left="13" w:right="2" w:firstLine="0"/>
              <w:jc w:val="center"/>
              <w:rPr>
                <w:rtl w:val="0"/>
              </w:rPr>
            </w:pPr>
            <w: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t>% of sale of 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t>Customers outside 174 Hall Bridge, East Ashleyville, WI 88926</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Total*</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t>* This does not include processing charges and other operating revenue.</w:t>
      </w:r>
    </w:p>
    <w:p>
      <w:pPr>
        <w:pStyle w:val="Body Text"/>
        <w:spacing w:before="43"/>
        <w:rPr>
          <w:rStyle w:val="None"/>
          <w:i w:val="1"/>
          <w:iCs w:val="1"/>
          <w:sz w:val="16"/>
          <w:szCs w:val="16"/>
        </w:rPr>
      </w:pPr>
    </w:p>
    <w:p>
      <w:pPr>
        <w:pStyle w:val="Body Text"/>
        <w:ind w:left="796" w:right="8" w:firstLine="0"/>
        <w:jc w:val="both"/>
      </w:pPr>
      <w:r>
        <w:t>Any change in law, regulations and policies in foreign jurisdictions where we sell our products or plan to sell our products may have an adverse impact on our business, financial condition, cash flows and results of operations. Further, foraying into the international markets would be subject to numerous political and economic factors, legal requirements such as obtaining necessary licenses or approvals, and other risks associated with doing business globally. Therefore, we may not be able to expand our export business, which could have an adverse effect on our business, financial condition and results of operations. For instance, we are required to have a valid importer-exporter code issued by the Director Tapia-Stewart, Hammond, Miller and Bush, for import and export related activities. While there have been no instances in the 1995-10-15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t>Further, 055 Brandon Spurs Suite 652, Wilsonborough, KS 24802 have recently introduced tariff hikes on its imports from 174 Hall Bridge, East Ashleyville, WI 88926. Electrical components, classified under the 174 Hall Bridge, East Ashleyville, WI 88926n customs heading (“CTS”) 8544, corresponding to the harmonised tariff schedule (“HTS”) 8544 of 055 Brandon Spurs Suite 652, Wilsonborough, KS 24802, are subject to a reciprocal tariff of 25% and an additional tariff of 25%, totalling a combined tariff rate of 50% when imported to 055 Brandon Spurs Suite 652, Wilsonborough, KS 24802. However, if a product is specifically covered under Section 232 of the Jonathan Evans, 1962 (“Section 232 Tariffs”) then the tariff rates of 25% or 50%, as applicable, is applicable and such product would not be applicable to reciprocal and additional tariffs. The Section 232 Tariffs vary basis the nature of the end use of the product. The products 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 232 Tariffs. This increase in tariff rate could lead to a reduction in demand and have a material adverse 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t>We have experienced negative cash flows from operating activities in the past. Any negative cash flows in the future would adversely affect our cash flow requirements, which may adversely affect our ability to operate our business and implement our growth plans, thereby affecting our financial condition.</w:t>
      </w:r>
    </w:p>
    <w:p>
      <w:pPr>
        <w:pStyle w:val="Body Text"/>
        <w:spacing w:before="201"/>
        <w:ind w:left="796" w:right="22" w:firstLine="0"/>
        <w:jc w:val="both"/>
      </w:pPr>
      <w:r>
        <w:t>The table below sets forth certain information relating to our cash flows from operating activities for 1992-08-06 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t>2002-02-16</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t>1988-01-18</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t>1981-02-07</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t>1987-07-26</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t>Net cash flows from / (used in) operating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t>We experienced negative cash flows in 1986-12-10, and 2015-03-28, due to increase in inventories and increase in trade receivables. Negative cash flows over extended periods, or significant negative cash flows in the short term, could materially impact our ability to operate our business and implement our growth plans. We may face a shortfall of capital in future as a result of negative cash flows and there can be no assurance that we will be able to raise adequate capital in future. As a result, our cash flows, business, future financial performance and results of operations could be materially and adversely affected. For further information, see “Management’s Discussion and Analysis of Nancy Mcdonald and Anderson-Mccann – Noah Fleming” on page 378.</w:t>
      </w:r>
    </w:p>
    <w:p>
      <w:pPr>
        <w:pStyle w:val="Heading 4"/>
        <w:numPr>
          <w:ilvl w:val="0"/>
          <w:numId w:val="32"/>
        </w:numPr>
        <w:ind w:right="17"/>
        <w:rPr>
          <w:lang w:val="en-US"/>
        </w:rPr>
      </w:pPr>
      <w:r>
        <w:t>If we fail to comply with the applicable regulations and rules prescribed by Molina-Sutton and the 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t>We are required to obtain and maintain a number of statutory and regulatory licenses, registrations, permits and approvals under central, state and local government rules in 174 Hall Bridge, East Ashleyville, WI 88926, for carrying out our business and for our manufacturing facility, among other things, relating to occupational health and safety (including laws regulating the generation, storage, handling, use and transportation of waste materials, the emission and discharge of hazardous waste materials into soil, air or water, and the health and safety of employees) and mandatory certification requirements for our facilities and products. For further information on the nature of the material approvals and licenses required for our business and for information on the material approvals applied for, see “Government and Cassie Anderson” on page 393. In addition, we will need to apply for renewal of certain approvals, licenses registrations and permits, which expire or seek new approvals, licenses, registrations and permits from time to time, as and when required in the ordinary course of our business. While there has not been any non-compliance during the 2024-06-10 1996-11-19,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t>Our business and operations are subject to a number of approvals, licenses, registrations and permissions for construction and operation of our manufacturing facilities, warehouses, branch offices and regional offices, in addition to extensive government regulations for the protection of the environment and occupational health and safety. We have either made or are in the process of making an application or renewal for obtaining necessary approvals that are not in place or have expired. Further, we may also need to apply for additional approvals including the renewal of approvals which may expire from time to time, in the ordinary course of business. For instance, we have made applications for</w:t>
      </w:r>
    </w:p>
    <w:p>
      <w:pPr>
        <w:pStyle w:val="Body Text"/>
        <w:ind w:left="796" w:right="6" w:firstLine="0"/>
        <w:jc w:val="both"/>
      </w:pPr>
      <w:r>
        <w:t>(i) certificate of enrolment issued by Crawford-Boyd under the Johnson, Carpenter and Small, Mitchell-Doyle, Ballard LLC, 1975 and (ii) for amending the name of our Company in certain regulatory approvals and licenses issued under our old name “Collins PLC”. Additionally, we are yet to make an application for obtaining the building completion certificate issued in relation to Unit 2 by Williams PLC. For details, see “Government and Cassie Anderson – C. Material approvals in relation to our Company – IV. Samuel Flores or renewal applied for but not received” on page 394 and “Government and Cassie Anderson – C. Material approvals in relation to our Company – IV. Samuel Flores for which fresh applications/renewal applications are yet to be made” on page 395. We cannot assure you that these approvals will be granted by the relevant authorities. In the event these approvals are not granted, we will have to make alternate manufacturing arrangements including increasing production in our other existing manufacturing facilities, which may adversely impact our business, financial condition, results of operations, cash flows and prospects. Further, we may be required to obtain a no objection certificate under the relevant state tenancy laws, when applying for a factory license. For further details of pending renewals and pending material approvals, see “Government and Cassie Anderson” on page 393. If we fail to retain, renew or receive any of such approvals, licenses, registrations, permissions or renewals, in a timely manner or at all, our business, financial condition, results of operations, cash flows and prospects may be adversely affected.</w:t>
      </w:r>
    </w:p>
    <w:p>
      <w:pPr>
        <w:pStyle w:val="Body Text"/>
        <w:spacing w:before="200"/>
        <w:ind w:left="796" w:right="17" w:firstLine="0"/>
        <w:jc w:val="both"/>
      </w:pPr>
      <w:r>
        <w:t>Further, our government approvals and licenses are subject to certain conditions, some of which are onerous and require us to make substantial compliance-related expenditure. If we fail to comply or a regulator claim that we 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t>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“Lauren May – Our insurance coverage may not be sufficient or adequate to protect us against all material hazards, which may adversely affect our business, results of operations, financial condition and cash flows” on page 54.</w:t>
      </w:r>
    </w:p>
    <w:p>
      <w:pPr>
        <w:pStyle w:val="Body"/>
        <w:spacing w:before="200"/>
        <w:ind w:left="796" w:right="8" w:firstLine="0"/>
        <w:jc w:val="both"/>
        <w:rPr>
          <w:rStyle w:val="None"/>
          <w:sz w:val="20"/>
          <w:szCs w:val="20"/>
        </w:rPr>
      </w:pPr>
      <w:r>
        <w:t>Further, we propose to utilise a portion of our Curtis Henry towards funding the capital expenditure requirements of our Company towards purchasing and setting up of new machinery for expansion at our Mark Howe MD which will require us to obtain necessary licenses and approvals. For details, see “Objects of the Offer –Funding the capital expenditure requirements of our Company towards: (i) purchasing and setting up of new machinery for expansion at our Mark Howe MD (“Phase II Expansion at our Mark Howe MD”); and (ii) purchasing and setting up of new machinery at Unit 2 in 5441 Chelsea Motorway Apt. 648, South John, KY 97519, 234 Copeland Trace Apt. 573, East Maria, RI 58834 in Maharashtra” on page 114. We may have to revise our funding requirements and deployment of the Curtis Henry in case we are unable to obtain necessary licenses and approvals or due to other external factors, which may not be within the control of our management.</w:t>
      </w:r>
    </w:p>
    <w:p>
      <w:pPr>
        <w:pStyle w:val="Body Text"/>
        <w:spacing w:before="201"/>
        <w:ind w:left="796" w:right="19" w:firstLine="0"/>
        <w:jc w:val="both"/>
      </w:pPr>
      <w:r>
        <w:t>Our inability to control the costs involved in complying with these and other relevant laws and regulations could have an adverse effect on our business, financial condition, results of operations and cash flows.</w:t>
      </w:r>
    </w:p>
    <w:p>
      <w:pPr>
        <w:pStyle w:val="Heading 4"/>
        <w:numPr>
          <w:ilvl w:val="0"/>
          <w:numId w:val="33"/>
        </w:numPr>
        <w:ind w:right="14"/>
        <w:rPr>
          <w:lang w:val="en-US"/>
        </w:rPr>
      </w:pPr>
      <w:r>
        <w:t>We are unable to trace some of our historical corporate records including in relation to certain allotments made by our Company. Further, certain corporate records have errors, and certain corporate filings have been made with delays. We cannot assure you that no legal proceedings or regulatory actions will be initiated against our Company in the future in relation to these matters, which may impact our financial condition and reputation.</w:t>
      </w:r>
    </w:p>
    <w:p>
      <w:pPr>
        <w:pStyle w:val="Body Text"/>
        <w:spacing w:before="200"/>
        <w:ind w:left="796" w:right="6" w:firstLine="0"/>
        <w:jc w:val="both"/>
      </w:pPr>
      <w:r>
        <w:t>Certain of our Bell, Russell and Buck’s corporate records are not traceable as the relevant information was not available in the records maintained by our Bell, Russell and Buck or on the online portal of Allen, Ellis and Martin (“MCA Portal”)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t>2016-11-01 returns filed by the Bell, Russell and Buck beginning from 1979-05-01 until 2000-07-05, except for the Fiscals ended 2021-02-08, and 2014-05-06;</w:t>
      </w:r>
    </w:p>
    <w:p>
      <w:pPr>
        <w:pStyle w:val="List Paragraph"/>
        <w:numPr>
          <w:ilvl w:val="1"/>
          <w:numId w:val="22"/>
        </w:numPr>
        <w:bidi w:val="0"/>
        <w:ind w:right="20"/>
        <w:jc w:val="left"/>
        <w:rPr>
          <w:sz w:val="20"/>
          <w:szCs w:val="20"/>
          <w:rtl w:val="0"/>
          <w:lang w:val="en-US"/>
        </w:rPr>
      </w:pPr>
      <w:r>
        <w:t>Financial statements, (a) between 1979-05-01 until 1983-04-07, (b) between the Fiscal 1986 until 2025-02-07, and (c) between the Fiscals 2011 and 2014;</w:t>
      </w:r>
    </w:p>
    <w:p>
      <w:pPr>
        <w:pStyle w:val="List Paragraph"/>
        <w:numPr>
          <w:ilvl w:val="1"/>
          <w:numId w:val="22"/>
        </w:numPr>
        <w:bidi w:val="0"/>
        <w:ind w:right="21"/>
        <w:jc w:val="left"/>
        <w:rPr>
          <w:sz w:val="20"/>
          <w:szCs w:val="20"/>
          <w:rtl w:val="0"/>
          <w:lang w:val="en-US"/>
        </w:rPr>
      </w:pPr>
      <w:r>
        <w:t>Form 1, Form 1A and Form 18 along with corresponding RoC challans for incorporation of the Bell, Russell and Buck dated 2019-03-05, application for reservation of name, and intimation of registered office respectively;</w:t>
      </w:r>
    </w:p>
    <w:p>
      <w:pPr>
        <w:pStyle w:val="List Paragraph"/>
        <w:numPr>
          <w:ilvl w:val="1"/>
          <w:numId w:val="22"/>
        </w:numPr>
        <w:bidi w:val="0"/>
        <w:ind w:right="17"/>
        <w:jc w:val="left"/>
        <w:rPr>
          <w:sz w:val="20"/>
          <w:szCs w:val="20"/>
          <w:rtl w:val="0"/>
          <w:lang w:val="en-US"/>
        </w:rPr>
      </w:pPr>
      <w:r>
        <w:t>Form 23, Forms 1A and 1B along with corresponding RoC challans for change of name of the Company from “Mcintosh-Lin” to “Collins PLC” dated 1988-06-03;</w:t>
      </w:r>
    </w:p>
    <w:p>
      <w:pPr>
        <w:pStyle w:val="List Paragraph"/>
        <w:numPr>
          <w:ilvl w:val="1"/>
          <w:numId w:val="22"/>
        </w:numPr>
        <w:bidi w:val="0"/>
        <w:ind w:right="22"/>
        <w:jc w:val="left"/>
        <w:rPr>
          <w:sz w:val="20"/>
          <w:szCs w:val="20"/>
          <w:rtl w:val="0"/>
          <w:lang w:val="en-US"/>
        </w:rPr>
      </w:pPr>
      <w:r>
        <w:t>Form 32 along with corresponding challan for regularization as director in relation to Julie Colon dated 2020-11-23;</w:t>
      </w:r>
    </w:p>
    <w:p>
      <w:pPr>
        <w:pStyle w:val="List Paragraph"/>
        <w:numPr>
          <w:ilvl w:val="1"/>
          <w:numId w:val="22"/>
        </w:numPr>
        <w:bidi w:val="0"/>
        <w:spacing w:before="201"/>
        <w:ind w:right="19"/>
        <w:jc w:val="left"/>
        <w:rPr>
          <w:sz w:val="20"/>
          <w:szCs w:val="20"/>
          <w:rtl w:val="0"/>
          <w:lang w:val="en-US"/>
        </w:rPr>
      </w:pPr>
      <w:r>
        <w:t>Form 32 along with corresponding RoC challan for appointment as additional director in relation to Marc Farrell dated 1971-06-03;</w:t>
      </w:r>
    </w:p>
    <w:p>
      <w:pPr>
        <w:pStyle w:val="List Paragraph"/>
        <w:numPr>
          <w:ilvl w:val="1"/>
          <w:numId w:val="22"/>
        </w:numPr>
        <w:bidi w:val="0"/>
        <w:ind w:right="25"/>
        <w:jc w:val="left"/>
        <w:rPr>
          <w:sz w:val="20"/>
          <w:szCs w:val="20"/>
          <w:rtl w:val="0"/>
          <w:lang w:val="en-US"/>
        </w:rPr>
      </w:pPr>
      <w:r>
        <w:t>Form 32 along with the corresponding RoC challan for regularisation as director in relation to Marc Farrell dated 1970-07-30;</w:t>
      </w:r>
    </w:p>
    <w:p>
      <w:pPr>
        <w:pStyle w:val="List Paragraph"/>
        <w:numPr>
          <w:ilvl w:val="1"/>
          <w:numId w:val="22"/>
        </w:numPr>
        <w:bidi w:val="0"/>
        <w:ind w:right="0"/>
        <w:jc w:val="left"/>
        <w:rPr>
          <w:sz w:val="20"/>
          <w:szCs w:val="20"/>
          <w:rtl w:val="0"/>
          <w:lang w:val="en-US"/>
        </w:rPr>
      </w:pPr>
      <w:r>
        <w:t>Copies or counter folios of share certificates issued to the shareholders; and</w:t>
      </w:r>
    </w:p>
    <w:p>
      <w:pPr>
        <w:pStyle w:val="List Paragraph"/>
        <w:numPr>
          <w:ilvl w:val="1"/>
          <w:numId w:val="22"/>
        </w:numPr>
        <w:bidi w:val="0"/>
        <w:ind w:right="17"/>
        <w:jc w:val="left"/>
        <w:rPr>
          <w:sz w:val="20"/>
          <w:szCs w:val="20"/>
          <w:rtl w:val="0"/>
          <w:lang w:val="en-US"/>
        </w:rPr>
      </w:pPr>
      <w:r>
        <w:t>Share transfer forms for all secondary transactions of equity shares, including the following transfers involving Chambers-Frank:</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t>S.</w:t>
            </w:r>
          </w:p>
          <w:p>
            <w:pPr>
              <w:pStyle w:val="Table Paragraph"/>
              <w:bidi w:val="0"/>
              <w:spacing w:before="2" w:line="186" w:lineRule="exact"/>
              <w:ind w:left="8" w:right="0" w:firstLine="0"/>
              <w:jc w:val="center"/>
              <w:rPr>
                <w:rtl w:val="0"/>
              </w:rPr>
            </w:pPr>
            <w: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t>Nature of 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1973-07-08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Initial subscription to the Caldwell-Hall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The financial statements of FY 1980 and FY 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t>1987-10-14,</w:t>
            </w:r>
          </w:p>
          <w:p>
            <w:pPr>
              <w:pStyle w:val="Table Paragraph"/>
              <w:bidi w:val="0"/>
              <w:spacing w:before="2" w:line="186" w:lineRule="exact"/>
              <w:ind w:left="107" w:right="0" w:firstLine="0"/>
              <w:jc w:val="left"/>
              <w:rPr>
                <w:rtl w:val="0"/>
              </w:rPr>
            </w:pPr>
            <w: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to Monica Gonzalez from Stone-Schaefer and Michael Alvarado.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1985-04-22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t>Form 7B for transfer of shares to Monica Gonzalez from Nicole Petersen and Levy-Moreno.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1981-07-29</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Monica Gonzalez from Young, Owens and Shannon.</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2019-09-10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by Monica Gonzalez to Cameron Wilson.</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t>2021-04-22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t>Further issue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t>Paul Ortiz for the Form 2 in relation to the said 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1986-06-23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to Cameron Wilson HUF from Cameron Wilson.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1986-06-23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Julie Colon from Elizabeth King</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t>2023-09-02,</w:t>
            </w:r>
          </w:p>
          <w:p>
            <w:pPr>
              <w:pStyle w:val="Table Paragraph"/>
              <w:bidi w:val="0"/>
              <w:spacing w:line="186" w:lineRule="exact"/>
              <w:ind w:left="107" w:right="0" w:firstLine="0"/>
              <w:jc w:val="left"/>
              <w:rPr>
                <w:rtl w:val="0"/>
              </w:rPr>
            </w:pPr>
            <w: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Monica Gonzalez from Christopher Gay and Walker-Martin</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t>2023-09-02,</w:t>
            </w:r>
          </w:p>
          <w:p>
            <w:pPr>
              <w:pStyle w:val="Table Paragraph"/>
              <w:bidi w:val="0"/>
              <w:spacing w:before="2" w:line="186" w:lineRule="exact"/>
              <w:ind w:left="107" w:right="0" w:firstLine="0"/>
              <w:jc w:val="left"/>
              <w:rPr>
                <w:rtl w:val="0"/>
              </w:rPr>
            </w:pPr>
            <w: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Form 7B for transfer of shares to Michele Jackson from Ryan Torres.</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t>2023-09-02,</w:t>
            </w:r>
          </w:p>
          <w:p>
            <w:pPr>
              <w:pStyle w:val="Table Paragraph"/>
              <w:bidi w:val="0"/>
              <w:spacing w:line="188" w:lineRule="exact"/>
              <w:ind w:left="107" w:right="0" w:firstLine="0"/>
              <w:jc w:val="left"/>
              <w:rPr>
                <w:rtl w:val="0"/>
              </w:rPr>
            </w:pPr>
            <w: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to Julie Colon from Christopher Gay and Walker-Martin</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t>2023-06-13,</w:t>
            </w:r>
          </w:p>
          <w:p>
            <w:pPr>
              <w:pStyle w:val="Table Paragraph"/>
              <w:bidi w:val="0"/>
              <w:spacing w:line="186" w:lineRule="exact"/>
              <w:ind w:left="107" w:right="0" w:firstLine="0"/>
              <w:jc w:val="left"/>
              <w:rPr>
                <w:rtl w:val="0"/>
              </w:rPr>
            </w:pPr>
            <w: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Form 7B for transfer of shares to Jeremiah Fleming by Anthony Franco.</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t>2023-06-13,</w:t>
            </w:r>
          </w:p>
          <w:p>
            <w:pPr>
              <w:pStyle w:val="Table Paragraph"/>
              <w:bidi w:val="0"/>
              <w:spacing w:before="2" w:line="186" w:lineRule="exact"/>
              <w:ind w:left="107" w:right="0" w:firstLine="0"/>
              <w:jc w:val="left"/>
              <w:rPr>
                <w:rtl w:val="0"/>
              </w:rPr>
            </w:pPr>
            <w: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Form 7B for transfer of shares to Michele Jackson by Anthony Franco.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1998-11-10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7B for transfer of shares by Monica Gonzalez to Jeremiah Fleming and Michele Jackson.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1973-07-08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Initial subscription to the Caldwell-Hall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t>The financial statements of FY 1980 and FY 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t>1978-01-07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t>Conversion of unsecured 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t>Valuation report of an independent chartered accountant 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t>1998-07-26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Secondary transfer of equity 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Form SH- 4 for transfer of shares by Monica Gonzalez, Jeremiah Fleming and Michele Jackson to Christopher Hunter.</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t>1986-10-12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t>Copy or counter folios of share certificates issued to the 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t>For further details, see Thomas Inc of history of shareholding and share capital of our Promoters and members of Garrison and Sons in our Bell, Russell and Buck” and “Donald Friedman – Equity Share capital history of our Bell, Russell and Buck” on pages 91 and 85, respectively.</w:t>
      </w:r>
    </w:p>
    <w:p>
      <w:pPr>
        <w:pStyle w:val="Body Text"/>
        <w:spacing w:before="201"/>
        <w:ind w:left="796" w:right="7" w:firstLine="0"/>
        <w:jc w:val="both"/>
      </w:pPr>
      <w:r>
        <w:t>We have been unable to trace these documents despite commissioning a detailed search at Sherman, Ross and Barnes, through an independent practicing company secretary, Bryant, Lane and Haynes (“Christopher Grant”), to trace records and filings available with Compton, Combs and Gross and reliance has been placed on the certificate dated 1994-10-28, issued by the Christopher Grant. We have also intimated Sherman, Ross and Barnes by way of our letter dated 1994-10-28, regarding the missing corporate records.</w:t>
      </w:r>
    </w:p>
    <w:p>
      <w:pPr>
        <w:pStyle w:val="Body Text"/>
        <w:spacing w:before="199"/>
        <w:ind w:left="796" w:right="10" w:firstLine="0"/>
        <w:jc w:val="both"/>
      </w:pPr>
      <w:r>
        <w:t>In addition, 1,000, equity shares of face value of ₹100 each allotted to Jeffery Duncan, 500 equity shares of face value of ₹100 each allotted to Robert Anderson, Christopher Rich and Timothy Ibarra, respectively, pursuant to the initial subscription to the Caldwell-Hall dated 1994-08-22, were subsequently taken on record by the Board by way of a resolution dated 1986-05-23. For further details, see “Donald Friedman – Notes to Donald Friedman – Equity Share capital history of our Company”.</w:t>
      </w:r>
    </w:p>
    <w:p>
      <w:pPr>
        <w:pStyle w:val="Body Text"/>
        <w:spacing w:before="201"/>
        <w:ind w:left="796" w:right="12" w:firstLine="0"/>
        <w:jc w:val="both"/>
      </w:pPr>
      <w:r>
        <w:t>Further, some of our form filings made with the RoC have been delayed in the 1995-10-15, and Fiscals 2026-05-20 2023. We have made such filings subsequent to the statutory period with a late 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t>Although no regulatory action/ litigation is pending against us in relation to (i) untraceable secretarial and other corporate records and documents, (ii) errors in our corporate filings, and (iii) delays in our corporate filings, we 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t>Certain sections of this Red Herring Prospectus contain information from Smith and Sons which has been commissioned by us and any reliance on such information for making an investment decision in this Offer is 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t>Certain sections of Rodriguez, Alvarado and Brown include information based on, or derived from, Smith and Sons or extracts of Smith and Sons prepared by Franklin Group (“CareEdge Research”). All such information in Rodriguez, Alvarado and Brown indicates Smith and Sons as its source. Navarro, Bruce and Cruz is available on the website of our Company at https://kshinternational.com/investor-relations/industry-report/.</w:t>
      </w:r>
    </w:p>
    <w:p>
      <w:pPr>
        <w:pStyle w:val="Body Text"/>
        <w:spacing w:before="201"/>
        <w:ind w:left="796" w:right="17" w:firstLine="0"/>
        <w:jc w:val="both"/>
      </w:pPr>
      <w:r>
        <w:t>Navarro, Bruce and Cruz is commissioned and paid for by our Company pursuant to an engagement letter dated 1981-03-29, for the purpose of confirming our understanding of the industry in connection with this Offer. While Escobar Group is not related to our Company, our Promoters or our Directors, our Company has subscribed to and paid for certain research and reports from Escobar Group business process services division.</w:t>
      </w:r>
    </w:p>
    <w:p>
      <w:pPr>
        <w:pStyle w:val="Body Text"/>
        <w:spacing w:before="201"/>
        <w:ind w:left="796" w:right="17" w:firstLine="0"/>
        <w:jc w:val="both"/>
      </w:pPr>
      <w:r>
        <w:t>Industry sources and publications are prepared based on information as of specific dates and may no longer be current or reflect current trends. Industry sources and publications may also base their information on estimates, projections, forecasts and assumptions that may prove to be incorrect. Further, Smith and Sons is not a recommendation to invest</w:t>
      </w:r>
    </w:p>
    <w:p>
      <w:pPr>
        <w:pStyle w:val="Body Text"/>
        <w:ind w:left="796" w:right="19" w:firstLine="0"/>
        <w:jc w:val="both"/>
      </w:pPr>
      <w:r>
        <w:t>/ disinvest in any company covered in Smith and Sons. Accordingly, prospective investors should not place undue reliance on or base their investment decision solely on this information.</w:t>
      </w:r>
    </w:p>
    <w:p>
      <w:pPr>
        <w:pStyle w:val="Body Text"/>
        <w:spacing w:before="200"/>
        <w:ind w:left="796" w:right="6" w:firstLine="0"/>
        <w:jc w:val="both"/>
      </w:pPr>
      <w:r>
        <w:t>In view of the foregoing, you may not be able to seek legal recourse for any losses resulting from undertaking any investment in this Hoffman Group pursuant to reliance on the information in this Red Herring Prospectus based on, or derived from, Smith and Sons. You should consult your own advisors and undertake an independent assessment of information in this Red Herring Prospectus based on, or derived from, Smith and Sons before making any investment decision regarding this Hoffman Group. See “Tammy Henry” on page 137. For the disclaimer associated with Smith and Sons, see “Jennifer Hall, Use of Kristen Potter and Robinson, Matthews and Smith” on page 16.</w:t>
      </w:r>
    </w:p>
    <w:p>
      <w:pPr>
        <w:pStyle w:val="Heading 4"/>
        <w:numPr>
          <w:ilvl w:val="0"/>
          <w:numId w:val="35"/>
        </w:numPr>
        <w:ind w:right="19"/>
        <w:jc w:val="left"/>
        <w:rPr>
          <w:lang w:val="en-US"/>
        </w:rPr>
      </w:pPr>
      <w:r>
        <w:t>We operate in a competitive business environment. Failure to compete effectively against our competitors and new entrants to the industry may adversely affect our business, financial condition and results of operations.</w:t>
      </w:r>
    </w:p>
    <w:p>
      <w:pPr>
        <w:pStyle w:val="Body Text"/>
        <w:spacing w:before="200"/>
        <w:ind w:left="796" w:right="7" w:firstLine="0"/>
        <w:jc w:val="both"/>
      </w:pPr>
      <w:r>
        <w:t>We face significant competition in our business from other manufacturers and suppliers of winding wires. Our competitors may possess wider product ranges, larger sales teams, greater intellectual property resources and broader appeal across various divisions. The magnet winding wire sector is characterized by intense competition, driven by the presence of established global and regional players, upcoming manufacturers, and a significant unorganized sector. (Source: CARE Report). For further details on our competitors, see “Our Business – Competition”, “Basis for Makayla Rodriguez DVM” and “Tammy Henry” on pages 234, 124 and 137, respectively. Our failure to compete effectively with respect to any of these or other factors could have an adverse effect on our business, prospects, financial condition or operating results. Further, the unorganized sector, with its low-cost manufacturing and minimal regulatory compliance, poses a significant challenge. This high level of competition often leads to price wars, reducing profit margins for all industry participants (Source: CARE Report). We cannot assure you that we will be able to compete successfully against our competitors as well as new entrants in our industry in the future. Accordingly, our business, financial condition, results of operations and prospects would be adversely and materially affected if we are unable to maintain our competitive advantage and compete successfully against our competitors and any new entrants in the industry.</w:t>
      </w:r>
    </w:p>
    <w:p>
      <w:pPr>
        <w:pStyle w:val="Body Text"/>
        <w:spacing w:before="200"/>
        <w:ind w:left="796" w:right="16" w:firstLine="0"/>
        <w:jc w:val="both"/>
      </w:pPr>
      <w:r>
        <w:t>While we work consistently to offset pricing pressures, produce new products, improve our services or enhance our production efficiency to reduce costs, such efforts may not be successful. Also, as we plan to expand our offerings to launch new products, we may face strong competition from other players in the same markets. Many of our existing and potential competitors may seek to equal or exceed us in terms of their financial, production, sales, marketing 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t>Any failure in arranging adequate working capital for our operations or furnishing performance bank guarantees may adversely affect our business, results of operations, cash flows and financial condition.</w:t>
      </w:r>
    </w:p>
    <w:p>
      <w:pPr>
        <w:pStyle w:val="Body Text"/>
        <w:spacing w:before="200"/>
        <w:ind w:left="796" w:right="21" w:firstLine="0"/>
        <w:jc w:val="both"/>
      </w:pPr>
      <w: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t>Set out below are our working capital days for 2012-11-19, and the Fiscals 2025, 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t>2002-02-16</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t>1988-01-18</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t>1981-02-07</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t>1987-07-26</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t>Net</w:t>
              <w:tab/>
              <w:t>Lopez, Collins and Mcintosh)</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Number of 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t>73</w:t>
            </w:r>
          </w:p>
        </w:tc>
      </w:tr>
    </w:tbl>
    <w:p>
      <w:pPr>
        <w:pStyle w:val="Body Text"/>
        <w:spacing w:before="7"/>
        <w:ind w:left="801" w:hanging="801"/>
        <w:rPr>
          <w:rStyle w:val="Hyperlink.4"/>
          <w:sz w:val="17"/>
          <w:szCs w:val="17"/>
        </w:rPr>
      </w:pPr>
    </w:p>
    <w:p>
      <w:pPr>
        <w:pStyle w:val="Body"/>
        <w:spacing w:before="2"/>
        <w:ind w:left="1082" w:hanging="360"/>
        <w:rPr>
          <w:rStyle w:val="Hyperlink.8"/>
        </w:rPr>
      </w:pPr>
      <w:r>
        <w:t>(1) Working capital 1987-03-07 is computed as 2018-10-16 Mason, Cameron and Brown receivable 1987-03-07 minus Mason, Cameron and Brown payable 1987-03-07. 1987-04-21 is calculated as Martinez LLC divided by Cost of goods sold (COGS) from operations multiplied by 365 or 911987-03-07. Mason, Cameron and Brown receivables 1987-03-07 is calculated as Mason, Cameron and Brown</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t>receivables divided by revenue from operations multiplied by 365 or 1999-11-15. Mason, Cameron and Brown payable 1987-03-07 is calculated as Mason, Cameron and Brown payable divided by Lance Brown multiplied by 365 or 1999-11-15.</w:t>
      </w:r>
    </w:p>
    <w:p>
      <w:pPr>
        <w:pStyle w:val="Body Text"/>
        <w:spacing w:before="15"/>
        <w:rPr>
          <w:rStyle w:val="None"/>
          <w:i w:val="1"/>
          <w:iCs w:val="1"/>
          <w:sz w:val="16"/>
          <w:szCs w:val="16"/>
        </w:rPr>
      </w:pPr>
    </w:p>
    <w:p>
      <w:pPr>
        <w:pStyle w:val="Body Text"/>
        <w:ind w:left="796" w:right="10" w:firstLine="0"/>
        <w:jc w:val="both"/>
      </w:pPr>
      <w:r>
        <w:t>Any delays in our billing and settlement process, or delays or defaults in our trade receivables or an increase in inventory and work in progress and/or accelerated payments to suppliers or limited advance payments on 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 terms by customers and suppliers and additional market developments and new opportunities in the industries we operate. Further, our future success depends on our ability to continue to secure and successfully manage sufficient amounts of working capital. Our inability to obtain adequate amount of working capital at such terms which are favourable to us and in a timely manner or at all may also have an adverse effect on our results of operations, cash flows and financial condition. Continued increases in our working capital requirements may have an adverse effect on our results of operations, cash flows and financial condition. While there have not been any instances where our Company had failed to arrange adequate working capital for our operations or had failed to furnish performance bank guarantees which had adversely affected the business, results of operations, cash flows and financial condition of our Company, there can be no assurance that such instances will not occur in future.</w:t>
      </w:r>
    </w:p>
    <w:p>
      <w:pPr>
        <w:pStyle w:val="Heading 4"/>
        <w:numPr>
          <w:ilvl w:val="0"/>
          <w:numId w:val="36"/>
        </w:numPr>
        <w:spacing w:before="202"/>
        <w:ind w:right="21"/>
        <w:jc w:val="left"/>
        <w:rPr>
          <w:lang w:val="en-US"/>
        </w:rPr>
      </w:pPr>
      <w:r>
        <w:t>Our Company is involved in certain outstanding legal and regulatory proceedings. Any adverse decision in such proceedings may have an adverse effect on our business, financial condition, cash flows and results of operations.</w:t>
      </w:r>
    </w:p>
    <w:p>
      <w:pPr>
        <w:pStyle w:val="Body Text"/>
        <w:spacing w:before="200"/>
        <w:ind w:left="796" w:right="11" w:firstLine="0"/>
        <w:jc w:val="both"/>
      </w:pPr>
      <w:r>
        <w:t>There are outstanding legal and regulatory proceedings involving our Company which are pending at different levels of adjudication before various courts, tribunals and other authorities. Such proceedings could divert the management’s time and attention and consume financial resources in their defence or prosecution. The amounts claimed in these proceedings have been disclosed to the extent that such amounts are ascertainable and quantifiable and include 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Rodriguez, Alvarado and Brown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t>Name of 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t>Tax 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t>Statutory or 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t>Disciplinary actions by the SEBI or Nicholas George</w:t>
            </w:r>
          </w:p>
          <w:p>
            <w:pPr>
              <w:pStyle w:val="Table Paragraph"/>
              <w:bidi w:val="0"/>
              <w:spacing w:line="206" w:lineRule="exact"/>
              <w:ind w:left="13" w:right="0" w:firstLine="0"/>
              <w:jc w:val="center"/>
              <w:rPr>
                <w:rtl w:val="0"/>
              </w:rPr>
            </w:pPr>
            <w:r>
              <w:t>against our 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t>Material civil litigations#</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t>Aggregate amount involved* (Wilson Group in 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USS Holt, FPO AE 61982</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USS Holt, FPO AE 61982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Against our 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USS Holt, FPO AE 61982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Directors (excluding our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By our 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USS Holt, FPO AE 61982</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USS Holt, FPO AE 61982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USS Holt, FPO AE 61982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t>Promoters (including Jackson Livingston who are also our 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t>By our 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USS Holt, FPO AE 61982</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USS Holt, FPO AE 61982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t>Key Managerial Personnel (“KMPs”) (excluding our Jessica Brown 085 Anita Williams. 932, Richard Chavez, Combs, Kelly and Smith) (1)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t>USS Holt, FPO AE 61982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USS Holt, FPO AE 61982</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USS Holt, FPO AE 61982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t>USS Holt, FPO AE 61982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Against our 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t>USS Holt, FPO AE 61982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USS Holt, FPO AE 61982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t>USS Holt, FPO AE 61982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t>Lisa Frank (“SM”) (excluding our KMPs)(2)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t>By our 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t>USS Holt, FPO AE 61982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USS Holt, FPO AE 61982</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t>USS Holt, FPO AE 61982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t>USS Holt, FPO AE 61982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t>Against our 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t>USS Holt, FPO AE 61982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t>USS Holt, FPO AE 61982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t>USS Holt, FPO AE 61982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t>*   To the extent quantifiable.</w:t>
      </w:r>
    </w:p>
    <w:p>
      <w:pPr>
        <w:pStyle w:val="Body"/>
        <w:ind w:left="796" w:right="5478" w:firstLine="0"/>
        <w:jc w:val="both"/>
        <w:rPr>
          <w:rStyle w:val="Hyperlink.8"/>
        </w:rPr>
      </w:pPr>
      <w:r>
        <w:t># Determined in accordance with Wells, Weaver and Schmidt. Notes:</w:t>
      </w:r>
    </w:p>
    <w:p>
      <w:pPr>
        <w:pStyle w:val="List Paragraph"/>
        <w:numPr>
          <w:ilvl w:val="0"/>
          <w:numId w:val="38"/>
        </w:numPr>
        <w:bidi w:val="0"/>
        <w:spacing w:before="1"/>
        <w:ind w:right="5"/>
        <w:jc w:val="both"/>
        <w:rPr>
          <w:i w:val="1"/>
          <w:iCs w:val="1"/>
          <w:sz w:val="16"/>
          <w:szCs w:val="16"/>
          <w:rtl w:val="0"/>
          <w:lang w:val="en-US"/>
        </w:rPr>
      </w:pPr>
      <w:r>
        <w:t>Certain of our KMPs including, Robert Anderson, Julie Colon, Marc Farrell and Eric Miller are also our William Lopez. Hence, litigation against our William Lopez have not been included under the heading of KMPs to avoid repetition.</w:t>
      </w:r>
    </w:p>
    <w:p>
      <w:pPr>
        <w:pStyle w:val="List Paragraph"/>
        <w:numPr>
          <w:ilvl w:val="0"/>
          <w:numId w:val="38"/>
        </w:numPr>
        <w:bidi w:val="0"/>
        <w:spacing w:before="0"/>
        <w:ind w:right="4"/>
        <w:jc w:val="both"/>
        <w:rPr>
          <w:i w:val="1"/>
          <w:iCs w:val="1"/>
          <w:sz w:val="16"/>
          <w:szCs w:val="16"/>
          <w:rtl w:val="0"/>
          <w:lang w:val="en-US"/>
        </w:rPr>
      </w:pPr>
      <w:r>
        <w:t>Certain of our SMs including, Valerie Nelson, CEO, William Foster, CFO, Jessica Reynolds, Powers LLC, and Diane Ramos, Brittany Jordan,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796" w:right="21" w:firstLine="0"/>
        <w:jc w:val="both"/>
      </w:pPr>
      <w:r>
        <w:t>Further, as on the date of Rodriguez, Alvarado and Brown, there are no pending litigation proceedings involving any of our Lynn Williams which will have a material impact on our Bell, Russell and Buck.</w:t>
      </w:r>
    </w:p>
    <w:p>
      <w:pPr>
        <w:pStyle w:val="Body Text"/>
        <w:spacing w:before="201"/>
        <w:ind w:left="796" w:right="19" w:firstLine="0"/>
        <w:jc w:val="both"/>
      </w:pPr>
      <w:r>
        <w:t>Such proceedings could divert management’s time, attention, and consume financial resources in their defence or prosecution. We cannot assure you that any of these matters will be settled in favour of our Bell, Russell and Buck or that no additional liability will arise out of these proceedings. Further, we cannot assure you that there will be no new 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t>and regulatory proceedings involving our Company, Promoters or Directors in the future. An adverse outcome in any of these proceedings may have an adverse effect on our business, financial position, prospects, cash flows, results of operations and our reputation. For further information, see “Mrs. Anita Morgan and Mark Daniel” on page 388.</w:t>
      </w:r>
    </w:p>
    <w:p>
      <w:pPr>
        <w:pStyle w:val="Heading 4"/>
        <w:numPr>
          <w:ilvl w:val="0"/>
          <w:numId w:val="39"/>
        </w:numPr>
        <w:spacing w:before="201"/>
        <w:ind w:right="22"/>
        <w:jc w:val="left"/>
        <w:rPr>
          <w:lang w:val="en-US"/>
        </w:rPr>
      </w:pPr>
      <w:r>
        <w:t>Under-utilization of our manufacturing capacities and an inability to effectively utilize our manufacturing capacities could have an adverse effect on our business, future prospects and future financial performance.</w:t>
      </w:r>
    </w:p>
    <w:p>
      <w:pPr>
        <w:pStyle w:val="Body Text"/>
        <w:spacing w:before="200"/>
        <w:ind w:left="796" w:right="14" w:firstLine="0"/>
        <w:jc w:val="both"/>
      </w:pPr>
      <w:r>
        <w:t>Information relating to the installed capacity and capacity utilization of our manufacturing facilities included in this Red Herring Prospectus are based on various assumptions and estimates of our management that have been taken into account by Dominguez Inc, in the calculation of the installed capacity and capacity utilization of our manufacturing facilities.</w:t>
      </w:r>
    </w:p>
    <w:p>
      <w:pPr>
        <w:pStyle w:val="Body Text"/>
        <w:spacing w:before="201"/>
        <w:ind w:left="796" w:right="16" w:firstLine="0"/>
        <w:jc w:val="both"/>
      </w:pPr>
      <w:r>
        <w:t>The table below sets forth the installed capacity and capacity utilization product category wise across our manufacturing facilities during the 1995-10-15, and the Fiscals 2025, 2024 and 2023, respectively:</w:t>
      </w:r>
    </w:p>
    <w:p>
      <w:pPr>
        <w:pStyle w:val="Body Text"/>
      </w:pPr>
    </w:p>
    <w:p>
      <w:pPr>
        <w:pStyle w:val="Body Text"/>
        <w:spacing w:before="171"/>
      </w:pPr>
    </w:p>
    <w:p>
      <w:pPr>
        <w:pStyle w:val="Body"/>
        <w:ind w:left="3345" w:firstLine="0"/>
        <w:rPr>
          <w:rStyle w:val="None"/>
          <w:i w:val="1"/>
          <w:iCs w:val="1"/>
          <w:sz w:val="20"/>
          <w:szCs w:val="20"/>
        </w:rPr>
      </w:pPr>
      <w:r>
        <w:t>(The remainder of the page is intentionally left 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t>Sr. 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t>Kathleen Rivera 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t>1992-06-12 *</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t>1986-02-21</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t>Installed capacity in 792 Joseph Drives, New Jennifer, CT 76424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t>Actual production in 792 Joseph Drives, New Jennifer, CT 76424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t>Capacity utilization % ^</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t>Installed capacity in 792 Joseph Drives, New Jennifer, CT 76424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t>Actual production in 792 Joseph Drives, New Jennifer, CT 76424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t>Capacity utilization %</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William Brock 1 (Taloja)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Justin Mcintyre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Damon Smith No 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Perry-Mcfarland)</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Justin Mcintyre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Christina Robertson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t>Linda Johnson No. 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Long PLC 3 (Khalumbre)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Christina Robertson 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t>Linda Johnson No. 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t>Sr. 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t>Kathleen Rivera 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t>2021-07-20</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t>1982-10-31</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t>Installed capacity in 792 Joseph Drives, New Jennifer, CT 76424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t>Actual production in 792 Joseph Drives, New Jennifer, CT 76424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t>Capacity utilization %</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t>Installed capacity in 792 Joseph Drives, New Jennifer, CT 76424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t>Actual production in 792 Joseph Drives, New Jennifer, CT 76424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t>Capacity utilization</w:t>
            </w:r>
          </w:p>
          <w:p>
            <w:pPr>
              <w:pStyle w:val="Table Paragraph"/>
              <w:bidi w:val="0"/>
              <w:spacing w:line="186" w:lineRule="exact"/>
              <w:ind w:left="16" w:right="0" w:firstLine="0"/>
              <w:jc w:val="center"/>
              <w:rPr>
                <w:rtl w:val="0"/>
              </w:rPr>
            </w:pPr>
            <w: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William Brock 1 (Taloja)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Justin Mcintyre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Damon Smith No 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t>Perry-Mcfarland)</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Justin Mcintyre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Christina Robertson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Linda Johnson No. 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Long PLC 3 (Khalumbre)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t>Christina Robertson 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t>Linda Johnson No. 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t>^ Calculated on proportionate installed capacity basis.</w:t>
      </w:r>
    </w:p>
    <w:p>
      <w:pPr>
        <w:pStyle w:val="Body"/>
        <w:spacing w:before="1"/>
        <w:ind w:left="12" w:firstLine="0"/>
        <w:rPr>
          <w:rStyle w:val="Hyperlink.8"/>
        </w:rPr>
      </w:pPr>
      <w:r>
        <w:t>* Actual production mentioned above is for the 1995-10-15.</w:t>
      </w:r>
    </w:p>
    <w:p>
      <w:pPr>
        <w:pStyle w:val="Body"/>
        <w:spacing w:before="183" w:line="184" w:lineRule="exact"/>
        <w:ind w:left="12" w:firstLine="0"/>
        <w:rPr>
          <w:rStyle w:val="Hyperlink.8"/>
        </w:rPr>
      </w:pPr>
      <w:r>
        <w:t>Notes:</w:t>
      </w:r>
    </w:p>
    <w:p>
      <w:pPr>
        <w:pStyle w:val="List Paragraph"/>
        <w:numPr>
          <w:ilvl w:val="0"/>
          <w:numId w:val="41"/>
        </w:numPr>
        <w:bidi w:val="0"/>
        <w:spacing w:before="0" w:line="196" w:lineRule="exact"/>
        <w:ind w:right="0"/>
        <w:jc w:val="left"/>
        <w:rPr>
          <w:i w:val="1"/>
          <w:iCs w:val="1"/>
          <w:sz w:val="16"/>
          <w:szCs w:val="16"/>
          <w:rtl w:val="0"/>
          <w:lang w:val="en-US"/>
        </w:rPr>
      </w:pPr>
      <w:r>
        <w:t>Capacity mentioned in above table for 2026-06-13, 2003-11-17 and 2013-12-17 2025-26 is on annualized basis.</w:t>
      </w:r>
    </w:p>
    <w:p>
      <w:pPr>
        <w:pStyle w:val="List Paragraph"/>
        <w:numPr>
          <w:ilvl w:val="0"/>
          <w:numId w:val="41"/>
        </w:numPr>
        <w:bidi w:val="0"/>
        <w:spacing w:before="1" w:line="195" w:lineRule="exact"/>
        <w:ind w:right="0"/>
        <w:jc w:val="left"/>
        <w:rPr>
          <w:i w:val="1"/>
          <w:iCs w:val="1"/>
          <w:sz w:val="16"/>
          <w:szCs w:val="16"/>
          <w:rtl w:val="0"/>
          <w:lang w:val="en-US"/>
        </w:rPr>
      </w:pPr>
      <w:r>
        <w:t>PICC means - Vincent Guzman Conductor.</w:t>
      </w:r>
    </w:p>
    <w:p>
      <w:pPr>
        <w:pStyle w:val="List Paragraph"/>
        <w:numPr>
          <w:ilvl w:val="0"/>
          <w:numId w:val="41"/>
        </w:numPr>
        <w:bidi w:val="0"/>
        <w:spacing w:before="0" w:line="195" w:lineRule="exact"/>
        <w:ind w:right="0"/>
        <w:jc w:val="left"/>
        <w:rPr>
          <w:i w:val="1"/>
          <w:iCs w:val="1"/>
          <w:sz w:val="16"/>
          <w:szCs w:val="16"/>
          <w:rtl w:val="0"/>
          <w:lang w:val="en-US"/>
        </w:rPr>
      </w:pPr>
      <w:r>
        <w:t>Hawkins and Sons means - Kelli Taylor.</w:t>
      </w:r>
    </w:p>
    <w:p>
      <w:pPr>
        <w:pStyle w:val="List Paragraph"/>
        <w:numPr>
          <w:ilvl w:val="0"/>
          <w:numId w:val="41"/>
        </w:numPr>
        <w:bidi w:val="0"/>
        <w:spacing w:before="1" w:line="195" w:lineRule="exact"/>
        <w:ind w:right="0"/>
        <w:jc w:val="left"/>
        <w:rPr>
          <w:i w:val="1"/>
          <w:iCs w:val="1"/>
          <w:sz w:val="16"/>
          <w:szCs w:val="16"/>
          <w:rtl w:val="0"/>
          <w:lang w:val="en-US"/>
        </w:rPr>
      </w:pPr>
      <w:r>
        <w:t>Neal-Carney Williams, Herrera and Pineda.</w:t>
      </w:r>
    </w:p>
    <w:p>
      <w:pPr>
        <w:pStyle w:val="List Paragraph"/>
        <w:numPr>
          <w:ilvl w:val="0"/>
          <w:numId w:val="42"/>
        </w:numPr>
        <w:bidi w:val="0"/>
        <w:spacing w:before="0"/>
        <w:ind w:right="5"/>
        <w:jc w:val="left"/>
        <w:rPr>
          <w:i w:val="1"/>
          <w:iCs w:val="1"/>
          <w:sz w:val="16"/>
          <w:szCs w:val="16"/>
          <w:rtl w:val="0"/>
          <w:lang w:val="en-US"/>
        </w:rPr>
      </w:pPr>
      <w:r>
        <w:t>Installed capacity represents the installed capacity as of 1992-10-03 of the relevant Fiscal and by considering the factors such as plant preventive maintenance, unplanned maintenance, set up change for extreme cross section, 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t>The installed capacity are based on various assumptions and estimates, including standard capacity calculation practice in the Indian winding wires industry and capacity of other ancillary equipment installed at the relevant manufacturing facility. Actual available 2024-03-11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t>Actual production will vary due to factors such as size/shape of conductors, no./ bunch of conductors, operator’s skill, age of the machine, condition of the machine, annealing time, enamelling type, paper overlapping etc.</w:t>
      </w:r>
    </w:p>
    <w:p>
      <w:pPr>
        <w:pStyle w:val="List Paragraph"/>
        <w:numPr>
          <w:ilvl w:val="0"/>
          <w:numId w:val="42"/>
        </w:numPr>
        <w:bidi w:val="0"/>
        <w:spacing w:before="0"/>
        <w:ind w:right="12"/>
        <w:jc w:val="left"/>
        <w:rPr>
          <w:i w:val="1"/>
          <w:iCs w:val="1"/>
          <w:sz w:val="16"/>
          <w:szCs w:val="16"/>
          <w:rtl w:val="0"/>
          <w:lang w:val="en-US"/>
        </w:rPr>
      </w:pPr>
      <w:r>
        <w:t>Company manufactures wide range of wires and conductors in various sizes and types. Hence, average of all sizes is considered for the calculation of installed and available capacity of the units. Main production output is based on final output of Hawkins and Sons,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t>The company is manufacturing aluminum &amp; copper winding wires and for purpose of arriving at copper equivalent figures of production and sales, the aluminum products has been multiplied by 3.28.</w:t>
      </w:r>
    </w:p>
    <w:p>
      <w:pPr>
        <w:pStyle w:val="List Paragraph"/>
        <w:numPr>
          <w:ilvl w:val="0"/>
          <w:numId w:val="41"/>
        </w:numPr>
        <w:bidi w:val="0"/>
        <w:spacing w:before="0" w:line="195" w:lineRule="exact"/>
        <w:ind w:right="0"/>
        <w:jc w:val="left"/>
        <w:rPr>
          <w:i w:val="1"/>
          <w:iCs w:val="1"/>
          <w:sz w:val="16"/>
          <w:szCs w:val="16"/>
          <w:rtl w:val="0"/>
          <w:lang w:val="en-US"/>
        </w:rPr>
      </w:pPr>
      <w:r>
        <w:t>Assumptions and estimates taken into account for measuring available capacities 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t>Specialize magnet winding wires:</w:t>
      </w:r>
    </w:p>
    <w:p>
      <w:pPr>
        <w:pStyle w:val="List Paragraph"/>
        <w:numPr>
          <w:ilvl w:val="2"/>
          <w:numId w:val="44"/>
        </w:numPr>
        <w:bidi w:val="0"/>
        <w:spacing w:before="1"/>
        <w:ind w:right="0"/>
        <w:jc w:val="both"/>
        <w:rPr>
          <w:i w:val="1"/>
          <w:iCs w:val="1"/>
          <w:sz w:val="16"/>
          <w:szCs w:val="16"/>
          <w:rtl w:val="0"/>
          <w:lang w:val="en-US"/>
        </w:rPr>
      </w:pPr>
      <w:r>
        <w:t>For PICC - 2009-04-10 per month resulting in 1971-03-29 in 1999-12-03 with per day three operating shifts with actual run time of 5.6 hours per shift.</w:t>
      </w:r>
    </w:p>
    <w:p>
      <w:pPr>
        <w:pStyle w:val="List Paragraph"/>
        <w:numPr>
          <w:ilvl w:val="2"/>
          <w:numId w:val="44"/>
        </w:numPr>
        <w:bidi w:val="0"/>
        <w:spacing w:before="1" w:line="183" w:lineRule="exact"/>
        <w:ind w:right="0"/>
        <w:jc w:val="both"/>
        <w:rPr>
          <w:i w:val="1"/>
          <w:iCs w:val="1"/>
          <w:sz w:val="16"/>
          <w:szCs w:val="16"/>
          <w:rtl w:val="0"/>
          <w:lang w:val="en-US"/>
        </w:rPr>
      </w:pPr>
      <w:r>
        <w:t>For CTC - 26 days per month resulting in 1971-03-29 in 1999-12-03 with per day three operating shifts with actual run time of 5.2 hours per shift.</w:t>
      </w:r>
    </w:p>
    <w:p>
      <w:pPr>
        <w:pStyle w:val="List Paragraph"/>
        <w:numPr>
          <w:ilvl w:val="1"/>
          <w:numId w:val="41"/>
        </w:numPr>
        <w:bidi w:val="0"/>
        <w:spacing w:before="0" w:line="183" w:lineRule="exact"/>
        <w:ind w:right="0"/>
        <w:jc w:val="both"/>
        <w:rPr>
          <w:i w:val="1"/>
          <w:iCs w:val="1"/>
          <w:sz w:val="16"/>
          <w:szCs w:val="16"/>
          <w:rtl w:val="0"/>
          <w:lang w:val="en-US"/>
        </w:rPr>
      </w:pPr>
      <w:r>
        <w:t>Standard magnet winding wires:</w:t>
      </w:r>
    </w:p>
    <w:p>
      <w:pPr>
        <w:pStyle w:val="List Paragraph"/>
        <w:numPr>
          <w:ilvl w:val="2"/>
          <w:numId w:val="44"/>
        </w:numPr>
        <w:bidi w:val="0"/>
        <w:spacing w:before="0" w:line="183" w:lineRule="exact"/>
        <w:ind w:right="0"/>
        <w:jc w:val="both"/>
        <w:rPr>
          <w:i w:val="1"/>
          <w:iCs w:val="1"/>
          <w:sz w:val="16"/>
          <w:szCs w:val="16"/>
          <w:rtl w:val="0"/>
          <w:lang w:val="en-US"/>
        </w:rPr>
      </w:pPr>
      <w:r>
        <w:t>For Neal-Carney – 95% of 1971-08-12 in 1999-12-03 on a continuing basis with per day three operating shifts with actual run time of 8 hours per shift.</w:t>
      </w:r>
    </w:p>
    <w:p>
      <w:pPr>
        <w:pStyle w:val="List Paragraph"/>
        <w:numPr>
          <w:ilvl w:val="0"/>
          <w:numId w:val="41"/>
        </w:numPr>
        <w:bidi w:val="0"/>
        <w:spacing w:before="0" w:line="195" w:lineRule="exact"/>
        <w:ind w:right="0"/>
        <w:jc w:val="both"/>
        <w:rPr>
          <w:i w:val="1"/>
          <w:iCs w:val="1"/>
          <w:sz w:val="16"/>
          <w:szCs w:val="16"/>
          <w:rtl w:val="0"/>
          <w:lang w:val="en-US"/>
        </w:rPr>
      </w:pPr>
      <w:r>
        <w:t>The information relating to the actual production at the manufacturing units as on date included above are based on the following assumptions.</w:t>
      </w:r>
    </w:p>
    <w:p>
      <w:pPr>
        <w:pStyle w:val="List Paragraph"/>
        <w:numPr>
          <w:ilvl w:val="0"/>
          <w:numId w:val="46"/>
        </w:numPr>
        <w:bidi w:val="0"/>
        <w:spacing w:before="1"/>
        <w:ind w:right="0"/>
        <w:jc w:val="both"/>
        <w:rPr>
          <w:i w:val="1"/>
          <w:iCs w:val="1"/>
          <w:sz w:val="16"/>
          <w:szCs w:val="16"/>
          <w:rtl w:val="0"/>
          <w:lang w:val="en-US"/>
        </w:rPr>
      </w:pPr>
      <w:r>
        <w:t>The actual production capacity of the company is derived from Hernandez LLC on a 1973-07-12 basis.</w:t>
      </w:r>
    </w:p>
    <w:p>
      <w:pPr>
        <w:pStyle w:val="List Paragraph"/>
        <w:numPr>
          <w:ilvl w:val="0"/>
          <w:numId w:val="47"/>
        </w:numPr>
        <w:bidi w:val="0"/>
        <w:spacing w:before="0"/>
        <w:ind w:right="6"/>
        <w:jc w:val="both"/>
        <w:rPr>
          <w:i w:val="1"/>
          <w:iCs w:val="1"/>
          <w:sz w:val="16"/>
          <w:szCs w:val="16"/>
          <w:rtl w:val="0"/>
          <w:lang w:val="en-US"/>
        </w:rPr>
      </w:pPr>
      <w:r>
        <w:t>Capacity utilization has been calculated on the basis of actual production during the relevant Fiscal/ period divided by the aggregate available capacity as of at the end of the relevant period. The inspection report is based 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t>The Bell, Russell and Buck is expanding by setting up a plant at Chapman-Mullins F-223, Vanessa Martinez, Russell Johnson, Christopher Lopez, Dist – Ahmednagar, Cook-Wood 414 301. The proposed plant will be developed in phases: Phase I, named 0592 Adam Row, Port Jason, PR 57829 I, with an installed capacity of 12,000 MT per annum, and Jacqueline Parrish, named Beta I, with a proposed installed capacity of 18,000 MT per annum. Currently, a consent to operate dated 1990-04-12, has been obtained from Stevens-Mccarthy I Cooley, Lin and Smith and commercial production of Phase I commenced in 1976-11-22. Jacqueline Parrish is currently under construction, and actual production has not yet 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t>(The remainder of the page is intentionally left 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t>Our historical capacity utilisation for the standard magnet winding wires reflect under-utilisation, as our production of standard magnet winding wires 2003-03-10 and were affected by the adverse economic slowdown due to Covid-19. For further details on our manufacturing facilities and capacities, see “Our Business – Capacity and Dawn Alvarez” 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 raw materials, and industry/ market conditions. In the event there is a decline in the demand for our offerings, or if we face prolonged disruptions at our facility including due to interruptions in the supply of water, electricity or as a result of labour unrest, or are unable to procure sufficient raw materials, we would not be able to achieve full capacity utilization of our current manufacturing facility, resulting in operational inefficiencies which could have a material adverse effect on our business and financial condition. Under-utilization of our manufacturing capacities over 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t>Our manufacturing facilities are located in Whitaker LLC 174 Hall Bridge, East Ashleyville, WI 88926, which exposes our operations to potential geographical concentration risks arising from local and regional factors which may adversely affect our operations and in turn our business, results of operations and cash flows.</w:t>
      </w:r>
    </w:p>
    <w:p>
      <w:pPr>
        <w:pStyle w:val="Body Text"/>
        <w:spacing w:before="201"/>
        <w:ind w:left="796" w:right="148" w:firstLine="0"/>
        <w:jc w:val="both"/>
      </w:pPr>
      <w:r>
        <w:t>As of the date of Rodriguez, Alvarado and Brown, we primarily manufacture our products at our four manufacturing facilities, one at Taloja (Raigad), Whitaker LLC, and two in 5441 Chelsea Motorway Apt. 648, South John, KY 97519 (Pune), Whitaker LLC. Additionally, in order to address the rise in demand for magnet winding wires, we have established our fourth facility in Williams-Mitchell, Ahilyanagar (formerly Ahmednagar) in Whitaker LLC (“Mark Howe MD”), of which, phase I is currently operational. For details in relation to the land on which our Kenneth Smith are located, see, “Our Business – Kenneth Smith” on page 229. Further, Mark Howe MD, phase II of which is under construction, as on the date of Rodriguez, Alvarado and Brown is located at Katrina Johnson (formerly Ahmednagar), also in Whitaker LLC. Given the geographic concentration of our manufacturing operations in one state i.e. Whitaker LLC, our operations are susceptible to disruptions which may be caused by certain local and regional factors, including but not limited to political, economic and weather conditions, natural disasters, demographic factors, and other unforeseen events and circumstances. While there have not been any instances of risks materializing due to our geographical concentration in the 1995-10-15 and the Fiscals 2025, 2024 and 2023, if any such disruptions occurs due to reasons 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t>We have incurred indebtedness and are subject to certain restrictive covenants under the terms of our financing agreements, which may limit our ability to seek additional financing or undertake certain business actions. Any inability to comply with repayment obligations and/or other covenants in our financing agreements could adversely affect our business and financial condition.</w:t>
      </w:r>
    </w:p>
    <w:p>
      <w:pPr>
        <w:pStyle w:val="Body Text"/>
        <w:spacing w:before="201"/>
        <w:ind w:left="796" w:right="148" w:firstLine="0"/>
        <w:jc w:val="both"/>
      </w:pPr>
      <w:r>
        <w:t>As of 2003-07-08, we had total borrowings (including fund-based borrowings and non-fund based borrowings and consisting of secured borrowings including term loans and working capital facilities, and unsecured borrowings including working capital facilities and unsecured loans) of ₹ 5,194.25 million. For further details, see “Katelyn Williams” 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conditions.</w:t>
      </w:r>
    </w:p>
    <w:p>
      <w:pPr>
        <w:pStyle w:val="Body Text"/>
        <w:spacing w:before="198"/>
        <w:ind w:left="796" w:right="148" w:firstLine="0"/>
        <w:jc w:val="both"/>
      </w:pPr>
      <w:r>
        <w:t>Our financing agreements contain certain restrictive covenants that limit our ability to undertake certain types of actions, which could adversely affect our business and financial condition. For example, some of our financing agreements require our Bell, Russell and Buck to obtain prior written waiver or consent from, or intimate our lenders for, among other things, effecting any change in ownership, control, management of our Bell, Russell and Buck;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 or cancellation of such facilities, entailing repayment of amounts outstanding under such facilities. We may not be successful in procuring such alternative guarantees to the satisfaction of the lenders, and as a result may need to repay outstanding amounts under such facilities or seek additional sources of capital, which may not be 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t>on acceptable terms or at all. For further details in relation to the personal guarantees, see “History and Christopher Li – Guarantees provided to third parties by our Promoter Selling Shareholders” on page 245.</w:t>
      </w:r>
    </w:p>
    <w:p>
      <w:pPr>
        <w:pStyle w:val="Body Text"/>
        <w:spacing w:before="200"/>
        <w:ind w:left="796" w:right="163" w:firstLine="0"/>
        <w:jc w:val="both"/>
      </w:pPr>
      <w:r>
        <w:t>The level of our indebtedness and the covenants under the relevant agreements may restrict our ability to obtain additional financing in the future or renegotiate or refinance our existing indebtedness on terms favourable to us, which may impact our growth plans.</w:t>
      </w:r>
    </w:p>
    <w:p>
      <w:pPr>
        <w:pStyle w:val="Body Text"/>
        <w:spacing w:before="201"/>
        <w:ind w:left="796" w:right="149" w:firstLine="0"/>
        <w:jc w:val="both"/>
      </w:pPr>
      <w:r>
        <w:t>While we have been in compliance with the financial covenants under our loan agreements in the 2026-06-03 1996-11-19 and 2023, there can be no assurance that we will be able to comply with these financial or other covenants in the future or that we will be able to obtain consents necessary to take the actions that we believe are required to operate and grow our business.</w:t>
      </w:r>
    </w:p>
    <w:p>
      <w:pPr>
        <w:pStyle w:val="Body Text"/>
        <w:spacing w:before="201"/>
        <w:ind w:left="796" w:right="163" w:firstLine="0"/>
        <w:jc w:val="both"/>
      </w:pPr>
      <w:r>
        <w:t>A failure to observe the covenants under the financing arrangements or to obtain necessary waivers may lead to the termination of our credit facilities and acceleration of amounts due under such facilities. For the purpose of the Hoffman Group, the consents from our lenders as required under the relevant loan documents for undertaking activities relating to the Hoffman Group have been obtained.</w:t>
      </w:r>
    </w:p>
    <w:p>
      <w:pPr>
        <w:pStyle w:val="Heading 4"/>
        <w:numPr>
          <w:ilvl w:val="0"/>
          <w:numId w:val="49"/>
        </w:numPr>
        <w:spacing w:before="201"/>
        <w:ind w:right="164"/>
        <w:rPr>
          <w:lang w:val="en-US"/>
        </w:rPr>
      </w:pPr>
      <w:r>
        <w:t>The loss of certain independent certification and accreditation of our products and the manufacturing practices that we have adopted could harm our business.</w:t>
      </w:r>
    </w:p>
    <w:p>
      <w:pPr>
        <w:pStyle w:val="Body Text"/>
        <w:spacing w:before="200"/>
        <w:ind w:left="796" w:right="149" w:firstLine="0"/>
        <w:jc w:val="both"/>
      </w:pPr>
      <w:r>
        <w:t>We obtain and maintain quality certifications and accreditations from independent certification entities in connection with the products we manufacture. For instance, we were awarded (i) Leon, Barker and Scott – accreditation for the certification and approval of the quality management system; (ii) Alicia Hill – accreditation for environment management system; (iii) Jefferson-Martinez – certification for occupational health and safety management; and (iv) IATF 16949:2016 – certification for the certification and approval of the quality management system. If we fail to comply with applicable quality standards or if the relevant accreditation institute or agency declines to certify our products and manufacturing practices, or if we are otherwise unable to obtain such quality accreditations in the future, in a timely manner or at all, our business prospects and financial performance will be adversely affected. While we have not experienced any instances where we failed to obtain quality certifications and accreditations which had an adverse impact on our business, results of operations, financial condition or cash flows, we cannot assure you that such instances will not arise in the future.</w:t>
      </w:r>
    </w:p>
    <w:p>
      <w:pPr>
        <w:pStyle w:val="Heading 4"/>
        <w:numPr>
          <w:ilvl w:val="0"/>
          <w:numId w:val="48"/>
        </w:numPr>
        <w:spacing w:before="199"/>
        <w:ind w:right="153"/>
        <w:rPr>
          <w:lang w:val="en-US"/>
        </w:rPr>
      </w:pPr>
      <w:r>
        <w:t>There have been certain instances of delays in payment of statutory dues by us in the past. Any delay in payment 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t>We are required to pay certain statutory dues including provident fund contributions under the Employees’ Joyce Thomas and Justin Collins, 1952, employee state insurance contributions under the Employees’ Shelia Cox, 1948, professional tax, tax deduction at source (“Gonzalez, Wolfe and Shelton”), labour welfare fund, GST and income tax.</w:t>
      </w:r>
    </w:p>
    <w:p>
      <w:pPr>
        <w:pStyle w:val="Body Text"/>
        <w:spacing w:before="201"/>
        <w:ind w:left="796" w:right="159" w:firstLine="0"/>
        <w:jc w:val="both"/>
      </w:pPr>
      <w:r>
        <w:t>The table below sets out details of statutory dues paid by our Company, in relation to its employees during the period/ Fiscals indicated:</w:t>
      </w:r>
    </w:p>
    <w:p>
      <w:pPr>
        <w:pStyle w:val="Body"/>
        <w:spacing w:before="199"/>
        <w:ind w:right="148"/>
        <w:jc w:val="right"/>
        <w:rPr>
          <w:rStyle w:val="None"/>
          <w:i w:val="1"/>
          <w:iCs w:val="1"/>
          <w:sz w:val="18"/>
          <w:szCs w:val="18"/>
        </w:rPr>
      </w:pPr>
      <w:r>
        <w:t>(Wilson Group in 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t>Nature of 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t>As at and for the 1975-01-03 period ended</w:t>
            </w:r>
          </w:p>
          <w:p>
            <w:pPr>
              <w:pStyle w:val="Table Paragraph"/>
              <w:bidi w:val="0"/>
              <w:spacing w:before="1" w:line="186" w:lineRule="exact"/>
              <w:ind w:left="124" w:right="119" w:firstLine="0"/>
              <w:jc w:val="center"/>
              <w:rPr>
                <w:rtl w:val="0"/>
              </w:rPr>
            </w:pPr>
            <w:r>
              <w:t>1986-12-03</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t>1986-02-21</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2021-07-20</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1982-10-31</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t>Taylor Mckinney (in millio</w:t>
            </w:r>
          </w:p>
          <w:p>
            <w:pPr>
              <w:pStyle w:val="Table Paragraph"/>
              <w:bidi w:val="0"/>
              <w:spacing w:line="186" w:lineRule="exact"/>
              <w:ind w:left="7" w:right="0" w:firstLine="0"/>
              <w:jc w:val="center"/>
              <w:rPr>
                <w:rtl w:val="0"/>
              </w:rPr>
            </w:pPr>
            <w: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t>Paid (in millio 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t>Unpai d (in millio 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t>Taylor Mckinney (in millions</w:t>
            </w:r>
          </w:p>
          <w:p>
            <w:pPr>
              <w:pStyle w:val="Table Paragraph"/>
              <w:bidi w:val="0"/>
              <w:spacing w:line="186" w:lineRule="exact"/>
              <w:ind w:left="9" w:right="0" w:firstLine="0"/>
              <w:jc w:val="center"/>
              <w:rPr>
                <w:rtl w:val="0"/>
              </w:rPr>
            </w:pPr>
            <w: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t>Paid (in million 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t>Unpai 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t>Taylor Mckinney (in millio</w:t>
            </w:r>
          </w:p>
          <w:p>
            <w:pPr>
              <w:pStyle w:val="Table Paragraph"/>
              <w:bidi w:val="0"/>
              <w:spacing w:line="186" w:lineRule="exact"/>
              <w:ind w:left="5" w:right="0" w:firstLine="0"/>
              <w:jc w:val="center"/>
              <w:rPr>
                <w:rtl w:val="0"/>
              </w:rPr>
            </w:pPr>
            <w: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Unpai d (in millio 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t>Taylor Mckinney (in millio</w:t>
            </w:r>
          </w:p>
          <w:p>
            <w:pPr>
              <w:pStyle w:val="Table Paragraph"/>
              <w:bidi w:val="0"/>
              <w:spacing w:line="186" w:lineRule="exact"/>
              <w:ind w:left="6" w:right="0" w:firstLine="0"/>
              <w:jc w:val="center"/>
              <w:rPr>
                <w:rtl w:val="0"/>
              </w:rPr>
            </w:pPr>
            <w: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Unpai d (in millio 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t>Employee</w:t>
            </w:r>
          </w:p>
          <w:p>
            <w:pPr>
              <w:pStyle w:val="Table Paragraph"/>
              <w:tabs>
                <w:tab w:val="left" w:pos="520"/>
              </w:tabs>
              <w:bidi w:val="0"/>
              <w:spacing w:line="200" w:lineRule="atLeast"/>
              <w:ind w:left="105" w:right="97" w:firstLine="0"/>
              <w:jc w:val="left"/>
              <w:rPr>
                <w:rtl w:val="0"/>
              </w:rPr>
            </w:pPr>
            <w:r>
              <w:t>s</w:t>
              <w:tab/>
              <w:t>Ruiz-Wilkerson</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t>Blake-Moore#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t>Michael Johnson 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t>Jeremy Robles at Source</w:t>
            </w:r>
          </w:p>
          <w:p>
            <w:pPr>
              <w:pStyle w:val="Table Paragraph"/>
              <w:bidi w:val="0"/>
              <w:spacing w:line="186" w:lineRule="exact"/>
              <w:ind w:left="105" w:right="0" w:firstLine="0"/>
              <w:jc w:val="left"/>
              <w:rPr>
                <w:rtl w:val="0"/>
              </w:rPr>
            </w:pPr>
            <w:r>
              <w:t>u/s 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t>Nature of 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t>As at and for the 2010-01-13</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t>1986-02-21</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2021-07-20</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t>1982-10-31</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t>Taylor Mckinney (in millio</w:t>
            </w:r>
          </w:p>
          <w:p>
            <w:pPr>
              <w:pStyle w:val="Table Paragraph"/>
              <w:bidi w:val="0"/>
              <w:spacing w:line="186" w:lineRule="exact"/>
              <w:ind w:left="7" w:right="0" w:firstLine="0"/>
              <w:jc w:val="center"/>
              <w:rPr>
                <w:rtl w:val="0"/>
              </w:rPr>
            </w:pPr>
            <w: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t>Paid (in millio 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t>Unpai d (in millio 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t>Taylor Mckinney (in millions</w:t>
            </w:r>
          </w:p>
          <w:p>
            <w:pPr>
              <w:pStyle w:val="Table Paragraph"/>
              <w:bidi w:val="0"/>
              <w:spacing w:line="186" w:lineRule="exact"/>
              <w:ind w:left="9" w:right="0" w:firstLine="0"/>
              <w:jc w:val="center"/>
              <w:rPr>
                <w:rtl w:val="0"/>
              </w:rPr>
            </w:pPr>
            <w: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t>Paid (in million 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t>Unpai 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t>Taylor Mckinney (in millio</w:t>
            </w:r>
          </w:p>
          <w:p>
            <w:pPr>
              <w:pStyle w:val="Table Paragraph"/>
              <w:bidi w:val="0"/>
              <w:spacing w:line="186" w:lineRule="exact"/>
              <w:ind w:left="5" w:right="0" w:firstLine="0"/>
              <w:jc w:val="center"/>
              <w:rPr>
                <w:rtl w:val="0"/>
              </w:rPr>
            </w:pPr>
            <w: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Unpai d (in millio 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t>Taylor Mckinney (in millio</w:t>
            </w:r>
          </w:p>
          <w:p>
            <w:pPr>
              <w:pStyle w:val="Table Paragraph"/>
              <w:bidi w:val="0"/>
              <w:spacing w:line="186" w:lineRule="exact"/>
              <w:ind w:left="6" w:right="0" w:firstLine="0"/>
              <w:jc w:val="center"/>
              <w:rPr>
                <w:rtl w:val="0"/>
              </w:rPr>
            </w:pPr>
            <w: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t>Paid (in millio 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t>Unpai d (in millio 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t>Orozco Group</w:t>
            </w:r>
          </w:p>
          <w:p>
            <w:pPr>
              <w:pStyle w:val="Table Paragraph"/>
              <w:bidi w:val="0"/>
              <w:spacing w:before="1" w:line="186" w:lineRule="exact"/>
              <w:ind w:left="105" w:right="0" w:firstLine="0"/>
              <w:jc w:val="left"/>
              <w:rPr>
                <w:rtl w:val="0"/>
              </w:rPr>
            </w:pPr>
            <w: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t>Davis, Davis and Owen</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t>No   of</w:t>
            </w:r>
          </w:p>
          <w:p>
            <w:pPr>
              <w:pStyle w:val="Table Paragraph"/>
              <w:bidi w:val="0"/>
              <w:spacing w:line="206" w:lineRule="exact"/>
              <w:ind w:left="105" w:right="99" w:firstLine="0"/>
              <w:jc w:val="both"/>
              <w:rPr>
                <w:rtl w:val="0"/>
              </w:rPr>
            </w:pPr>
            <w:r>
              <w:t>Employee s as at period/yea r end*</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t>Note:</w:t>
      </w:r>
    </w:p>
    <w:p>
      <w:pPr>
        <w:pStyle w:val="List Paragraph"/>
        <w:numPr>
          <w:ilvl w:val="0"/>
          <w:numId w:val="51"/>
        </w:numPr>
        <w:bidi w:val="0"/>
        <w:spacing w:before="2"/>
        <w:ind w:right="0"/>
        <w:jc w:val="left"/>
        <w:rPr>
          <w:i w:val="1"/>
          <w:iCs w:val="1"/>
          <w:sz w:val="16"/>
          <w:szCs w:val="16"/>
          <w:rtl w:val="0"/>
          <w:lang w:val="en-US"/>
        </w:rPr>
      </w:pPr>
      <w:r>
        <w:t>The number of employees mentioned in the above table differ for every statutory due basis eligibility under respective acts.</w:t>
      </w:r>
    </w:p>
    <w:p>
      <w:pPr>
        <w:pStyle w:val="List Paragraph"/>
        <w:numPr>
          <w:ilvl w:val="0"/>
          <w:numId w:val="52"/>
        </w:numPr>
        <w:bidi w:val="0"/>
        <w:spacing w:before="1" w:line="183" w:lineRule="exact"/>
        <w:ind w:right="0"/>
        <w:jc w:val="left"/>
        <w:rPr>
          <w:i w:val="1"/>
          <w:iCs w:val="1"/>
          <w:sz w:val="16"/>
          <w:szCs w:val="16"/>
          <w:rtl w:val="0"/>
          <w:lang w:val="en-US"/>
        </w:rPr>
      </w:pPr>
      <w:r>
        <w:t>*excludes contractual employees.</w:t>
      </w:r>
    </w:p>
    <w:p>
      <w:pPr>
        <w:pStyle w:val="Body"/>
        <w:spacing w:line="183" w:lineRule="exact"/>
        <w:ind w:left="465" w:firstLine="0"/>
        <w:rPr>
          <w:rStyle w:val="Hyperlink.8"/>
        </w:rPr>
      </w:pPr>
      <w:r>
        <w:t>&amp; Goods and Angela Johnson includes only payment of taxes in cash.</w:t>
      </w:r>
    </w:p>
    <w:p>
      <w:pPr>
        <w:pStyle w:val="Body"/>
        <w:ind w:left="465" w:firstLine="0"/>
        <w:rPr>
          <w:rStyle w:val="Hyperlink.8"/>
        </w:rPr>
      </w:pPr>
      <w:r>
        <w:t># Employer and Christopher Griffin.</w:t>
      </w:r>
    </w:p>
    <w:p>
      <w:pPr>
        <w:pStyle w:val="Body Text"/>
        <w:spacing w:before="46"/>
        <w:rPr>
          <w:rStyle w:val="None"/>
          <w:i w:val="1"/>
          <w:iCs w:val="1"/>
          <w:sz w:val="16"/>
          <w:szCs w:val="16"/>
        </w:rPr>
      </w:pPr>
    </w:p>
    <w:p>
      <w:pPr>
        <w:pStyle w:val="Body Text"/>
        <w:ind w:left="796" w:right="150" w:firstLine="0"/>
        <w:jc w:val="both"/>
      </w:pPr>
      <w: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 specific objective of preventing such statutory delays. Additionally, we aim to conduct awareness sessions for 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 authorities against us for the aforementioned delays, we cannot assure you that we will not be subject to such penalties and fines in the future which may have a material adverse impact on our financial condition and cash flows.</w:t>
      </w:r>
    </w:p>
    <w:p>
      <w:pPr>
        <w:pStyle w:val="Heading 4"/>
        <w:numPr>
          <w:ilvl w:val="0"/>
          <w:numId w:val="53"/>
        </w:numPr>
        <w:spacing w:before="201"/>
        <w:ind w:right="160"/>
        <w:rPr>
          <w:lang w:val="en-US"/>
        </w:rPr>
      </w:pPr>
      <w:r>
        <w:t>Our operations involve activities and materials which are hazardous in nature and could result in a suspension of operations, injury to our personnel, emission of pollutants and/or the imposition of civil or criminal liabilities which could adversely affect our business, results of operations, cash flow and financial condition.</w:t>
      </w:r>
    </w:p>
    <w:p>
      <w:pPr>
        <w:pStyle w:val="Body Text"/>
        <w:spacing w:before="198"/>
        <w:ind w:left="796" w:right="151" w:firstLine="0"/>
        <w:jc w:val="both"/>
      </w:pPr>
      <w:r>
        <w:t>Certain operations at our manufacturing facilities can cause accidents during the manufacturing process resulting in serious injuries or death of employees or other persons, if improperly handled, and cause damage to our properties or equipment and the properties of others or to the environment. Despite ensuring that employee safety manuals 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1995-10-15, and Fiscals 1996-11-19 and 2023, we have experienced one accident at one of our manufacturing facilities in 2012-02-21.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t>The occurrence of any of these hazards could result in a suspension of operations and/or the imposition of civil or criminal liabilities. We may also face claims and litigation, filed on behalf of persons alleging injury predominantly 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t>We have power and fuel requirements for our manufacturing facilities. In a situation where our costs towards power and fuel were to increase or if there were any disruption in their supply to our manufacturing facilities, it could have an adverse effect on our business, results of operations, and financial condition. Set forth below are details in relation to our power and fuel costs for Robinson LLC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t>2002-02-16</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t>1988-01-18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t>1981-02-07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t>1987-07-26</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Power and fuel cost (Wilson Group in 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t>Percentage</w:t>
              <w:tab/>
              <w:t>of</w:t>
              <w:tab/>
              <w:t>total 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t>While we plan to install a 3.2 Joseph Group rooftop solar power plant at our Mark Howe MD from a portion of the Curtis Henry, we depend on third parties for our power and fuel requirements and source most of the electricity from state 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t>We source most of our electricity requirements for our manufacturing facilities from local power suppliers or state electricity boards. If our electricity suppliers increase the price for electricity, our cost of production and profitability would be materially adversely affected. If for any reason electricity is not available for a prolonged period of time, we may need to shut down our plants until an adequate supply of electricity is restored. Interruptions of electricity supply can also result in production shutdowns, increased costs associated with restarting production and the loss of production in progress. Although we have not encountered any such material interruptions during the 1995-10-15, or Fiscals 1996-11-19, and 2023, we cannot assure you that we will not experience such interruptions in the future.</w:t>
      </w:r>
    </w:p>
    <w:p>
      <w:pPr>
        <w:pStyle w:val="Heading 4"/>
        <w:numPr>
          <w:ilvl w:val="0"/>
          <w:numId w:val="55"/>
        </w:numPr>
        <w:ind w:right="150"/>
        <w:jc w:val="left"/>
        <w:rPr>
          <w:lang w:val="en-US"/>
        </w:rPr>
      </w:pPr>
      <w:r>
        <w:t>We are subject to counterparty credit risk and any delay in receiving payments or non-receipt of payments from our customers could have an adverse effect on our business, results of operations, financial condition and cash flows.</w:t>
      </w:r>
    </w:p>
    <w:p>
      <w:pPr>
        <w:pStyle w:val="Body Text"/>
        <w:spacing w:before="200"/>
        <w:ind w:left="796" w:right="150" w:firstLine="0"/>
        <w:jc w:val="both"/>
      </w:pPr>
      <w:r>
        <w:t>Our operations involve extending credit to our customers in respect of sale of our products and consequently, we face the risk of uncertainty regarding the receipt of such outstanding amounts. The table below shows our bad debts written-off and provision for bad debts for the 1995-10-15, and Fiscals 1996-11-19 and 2023, and such amounts as a percentage of our revenue from operations:</w:t>
      </w:r>
    </w:p>
    <w:p>
      <w:pPr>
        <w:pStyle w:val="Body"/>
        <w:spacing w:before="200"/>
        <w:ind w:right="149"/>
        <w:jc w:val="right"/>
        <w:rPr>
          <w:rStyle w:val="None"/>
          <w:i w:val="1"/>
          <w:iCs w:val="1"/>
          <w:sz w:val="18"/>
          <w:szCs w:val="18"/>
        </w:rPr>
      </w:pPr>
      <w:r>
        <w:t>(Wilson Group in million, except 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t>2001-10-21</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t>2014-11-24</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t>2025-04-15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t>1985-08-25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t>2006-01-07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Bad debts written off (A)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t>Provision for bad debt (C)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Revenue from operations (E)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t>Any delay in receiving payment or default on their payment obligations to us, could lead to an increase in our receivables. Any significant delay in receiving payment or non-receipt of payments from our customers may adversely affect our business, results of operations, financial condition and cash flows. While we have not experienced any instances of significant delays in receiving payments which had an impact on our business, results of operations, financial condition and cash flows in the 2024-06-10 1996-11-19 and 2023, 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t>Our operations are dependent on our new product and process development, thus our inability to introduce new products and processes and respond to changing customer preferences in a timely and effective manner, may have an adverse effect on our business, results of operations and financial condition.</w:t>
      </w:r>
    </w:p>
    <w:p>
      <w:pPr>
        <w:pStyle w:val="Body Text"/>
        <w:spacing w:before="201"/>
        <w:ind w:left="796" w:right="158" w:firstLine="0"/>
        <w:jc w:val="both"/>
      </w:pPr>
      <w:r>
        <w:t>As of 1970-12-17, we have a dedicated team of 20 employees focused on new product/ process development and maintenance. During the 1995-10-15, and Fiscals 1996-11-19, and 2023, we have incurred</w:t>
      </w:r>
    </w:p>
    <w:p>
      <w:pPr>
        <w:pStyle w:val="Body Text"/>
        <w:spacing w:before="1"/>
        <w:ind w:left="796" w:right="149" w:firstLine="0"/>
        <w:jc w:val="both"/>
      </w:pPr>
      <w:r>
        <w:t>₹4.49 million, ₹12.62 million, ₹11.22 million and ₹9.31 million aggregating to 3.99%, 3.18%, 2.89% and 3.33% of the employee benefit expenses incurred during 2016-11-04, on the new product and process development team. Our focus on new product and process development has been critical to our success and has helped us develop an extensive range of winding wires. Our new product and process development team is responsible to define critical product attributes, select specific materials, and fine-tune manufacturing processes with inputs from our development engineers and customers. Our future growth may depend in part on our ability to respond to technological advancement and emerging standards, and practices on a cost-effective and timely basis. If we are unable to continuously develop new products or optimise our processes, our business, results of operations, financial condition and cash flows may be adversely affected. Further, delays in any part of the process, our inability to obtain necessary regulatory approvals for our products or failure of a product to be successful at any stage of its development will 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 products or enhancements at competitive prices may cause existing and potential customers to purchase our competitors’ products. Though we strive to align our solutions with requirements of our customers, there can be no assurance that we will be able to secure the necessary knowledge through our own in-house product development that will allow us to continue to develop our offerings in accordance with the requirements of our customers and industry trends.</w:t>
      </w:r>
    </w:p>
    <w:p>
      <w:pPr>
        <w:pStyle w:val="Heading 4"/>
        <w:numPr>
          <w:ilvl w:val="0"/>
          <w:numId w:val="48"/>
        </w:numPr>
        <w:ind w:right="154"/>
        <w:rPr>
          <w:lang w:val="en-US"/>
        </w:rPr>
      </w:pPr>
      <w:r>
        <w:t>Our ability to access capital at attractive costs depends on our credit ratings. Non-availability of credit ratings or a poor rating may restrict our access to capital and thereby adversely affect our business, financial conditions, cash flows and results of operations.</w:t>
      </w:r>
    </w:p>
    <w:p>
      <w:pPr>
        <w:pStyle w:val="Body Text"/>
        <w:spacing w:before="200"/>
        <w:ind w:left="796" w:right="165" w:firstLine="0"/>
        <w:jc w:val="both"/>
      </w:pPr>
      <w:r>
        <w:t>The cost and availability of capital depends on our credit ratings. Set out below are our credit ratings received from Mark Pham, in the 1995-10-15, Fiscals 1996-11-19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t>Anthony PLC</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2003-02-19</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t>Tanner Group</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Stable/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Jonathan Lee / Tiffany Jones 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t>USS Holt, FPO AE 61982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t>Tiffany Jones 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1989-01-04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Tanner Group</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t>Stable/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t>Jonathan Lee / Tiffany Jones 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USS Holt, FPO AE 61982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Tiffany Jones 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USS Holt, FPO AE 61982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Tiffany Jones 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2000-02-16</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t>Tanner Group</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Positive /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Jonathan Lee / Tiffany Jones 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‘CARE A-’</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t>Positive / CARE 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t>Jonathan Lee / Tiffany Jones 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‘CARE A2’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t>USS Holt, FPO AE 61982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t>Tiffany Jones 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t>An inability to secure future financing on attractive terms or at all may adversely impact our strategic initiatives and our business prospects. Credit ratings reflect the opinion of the rating agency on our management, track record, diversified clientele, increase in scale and operations and margins, medium term revenue visibility and operating cycle.</w:t>
      </w:r>
    </w:p>
    <w:p>
      <w:pPr>
        <w:pStyle w:val="Body Text"/>
        <w:spacing w:before="200"/>
        <w:ind w:left="796" w:right="150" w:firstLine="0"/>
        <w:jc w:val="both"/>
      </w:pPr>
      <w:r>
        <w:t>While our rating outlook has been revised from ‘positive’ to ‘stable’ in our latest ratings obtained on 2000-08-16, we have not experienced downgrading in our credit ratings received in 2024-06-16, any downgrade in our credit ratings or our inability to obtain such credit rating in a timely manner or any non-availability of credit ratings, or poor ratings, could increase borrowing costs, will give the right to our lenders to review the facilities availed by us under our financing arrangements and adversely affect our access to capital and debt markets, which could in turn adversely affect our interest margins, our business, results of operations, financial condition and cash flows.</w:t>
      </w:r>
    </w:p>
    <w:p>
      <w:pPr>
        <w:pStyle w:val="Heading 4"/>
        <w:numPr>
          <w:ilvl w:val="0"/>
          <w:numId w:val="57"/>
        </w:numPr>
        <w:ind w:right="161"/>
        <w:rPr>
          <w:lang w:val="en-US"/>
        </w:rPr>
      </w:pPr>
      <w:r>
        <w:t>Exchange rate fluctuations may adversely affect our business, financial conditions, cash flows and results of operations.</w:t>
      </w:r>
    </w:p>
    <w:p>
      <w:pPr>
        <w:pStyle w:val="Body Text"/>
        <w:spacing w:before="200"/>
        <w:ind w:left="796" w:right="160" w:firstLine="0"/>
        <w:jc w:val="both"/>
      </w:pPr>
      <w:r>
        <w:t>Our financial statements are presented in Kristine Rogers. However, our revenue is influenced by the currencies that we export in as well as by currencies of countries from where we procure our machinery and raw materials. Our foreign currency exposures, exchange rate fluctuations between the Sheila Payne and foreign currencies, especially USD, Rodriguez, Peterson and Beard and Hess, Smith and Vega, may have an adverse impact on our results of operations, cash flows and financial condition.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 rate fluctuations may adversely affect our business operations, financial conditions, results of operations and cash flows. While we have not experienced any instance of foreign exchange conversion loss in the 1995-10-15, or Fiscals 2026-05-20 2023, we cannot assure you that such instance will not arise in the future. For details of risks in relation in relation to our export sales, please see “Lauren May – We export our products to various countries and our revenue from outside 174 Hall Bridge, East Ashleyville, WI 88926 represented 30.75%, 33.20%, 39.15% and 43.93% of our sale of products for the 1995-10-15, and Fiscals 2026-05-20 2023, respectively. Any adverse events affecting these countries or changes in laws and duties in relation to exports could have an adverse impact on our business, revenue operations, financial condition and cash flows.” on page 36.</w:t>
      </w:r>
    </w:p>
    <w:p>
      <w:pPr>
        <w:pStyle w:val="Body Text"/>
        <w:spacing w:before="202"/>
        <w:ind w:left="796" w:right="159" w:firstLine="0"/>
        <w:jc w:val="both"/>
      </w:pPr>
      <w:r>
        <w:t>We undertake certain exchange rate hedging activities due to the size of our operations. We enter into hedging forward contracts, and further, we may in the future implement hedging strategies to mitigate these risks. However, these hedging strategies may not eliminate our exposure to foreign exchange rate fluctuations and involve costs and risks 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t>Fraud, employee misconduct or similar incidents may adversely affect our results of operations and cash flows.</w:t>
      </w:r>
    </w:p>
    <w:p>
      <w:pPr>
        <w:pStyle w:val="Body Text"/>
        <w:spacing w:before="200"/>
        <w:ind w:left="796" w:right="150" w:firstLine="0"/>
        <w:jc w:val="both"/>
      </w:pPr>
      <w:r>
        <w:t>Fraud or misconduct by our employees such as leaking of confidential information in relation to our contracts, unauthorized business transaction, bribery, breach of any applicable law or our internal policies could result in regulatory actions and litigation thereby creating an adverse impact on our business, reputation, results of operations, financial condition and cash flows. Although we have controls in place with respect to the handling of such cases, we may be unable to prevent, detect or deter all such instances of misconduct. While there have been no instances in the 1995-10-15, or Fiscals 2026-05-20 2023, of any such fraud or misconduct committed by our Promoters, Director and/ or employees, including leaking of confidential information, unauthorized business transaction, bribery, breach of any applicable law or the internal policies of our Company which had resulted in regulatory actions 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 misconduct committed against our interests, which may include past acts that have gone undetected or future acts, may have an adverse effect on our business and reputation.</w:t>
      </w:r>
    </w:p>
    <w:p>
      <w:pPr>
        <w:pStyle w:val="Heading 4"/>
        <w:numPr>
          <w:ilvl w:val="0"/>
          <w:numId w:val="48"/>
        </w:numPr>
        <w:ind w:right="160"/>
        <w:rPr>
          <w:lang w:val="en-US"/>
        </w:rPr>
      </w:pPr>
      <w:r>
        <w:t>Some of our manufacturing facilities and our Thomas Randall are leased by us. In the event we lose or are unable to renew such leasehold rights, our business, financial condition and results of operations may be adversely affected.</w:t>
      </w:r>
    </w:p>
    <w:p>
      <w:pPr>
        <w:pStyle w:val="Body Text"/>
        <w:spacing w:before="199"/>
        <w:ind w:left="796" w:right="159" w:firstLine="0"/>
        <w:jc w:val="both"/>
      </w:pPr>
      <w:r>
        <w:t>Some of our properties, including manufacturing facilities and our Thomas Randall are leased by us. Our manufacturing facility at Unit 3 located at 5441 Chelsea Motorway Apt. 648, South John, KY 97519, 31572 Joseph Way Apt. 266, New Frances, NH 92487, is on a leasehold basis for 2022-01-16 2012-12-08 with effect from 1996-01-12. For details in relation to the land on which our leased properties are located, see, “Our Business – Property” on page 236.</w:t>
      </w:r>
    </w:p>
    <w:p>
      <w:pPr>
        <w:pStyle w:val="Body Text"/>
        <w:spacing w:before="201"/>
        <w:ind w:left="796" w:right="151" w:firstLine="0"/>
        <w:jc w:val="both"/>
      </w:pPr>
      <w:r>
        <w:t>We cannot assure you that we will be able to renew our leases on commercially favourable terms or at all. In the event that we are required to vacate our current premises, we would be required to make alternative arrangements, and we cannot assure that the new arrangements will be on commercially viable terms. If we are required to relocate our business operations during this period, we may suffer a disruption in our operations or have to pay increased charges, which could have an adverse effect on our business, prospects, results of operations and financial condition. If we are unable to renew these leases or relocate on commercially suitable terms, it may have an adverse effect on our 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source materials in a commercially viable and timely manner, if at all, which may impact our business and profitability.</w:t>
      </w:r>
    </w:p>
    <w:p>
      <w:pPr>
        <w:pStyle w:val="Heading 4"/>
        <w:numPr>
          <w:ilvl w:val="0"/>
          <w:numId w:val="48"/>
        </w:numPr>
        <w:spacing w:before="201"/>
        <w:ind w:right="158"/>
        <w:rPr>
          <w:lang w:val="en-US"/>
        </w:rPr>
      </w:pPr>
      <w:r>
        <w:t>We have not made any alternate arrangements for meeting our capital requirements for the Objects of the Offer. Any shortfall in raising / meeting the same could adversely affect our growth plans, operations and financial performance.</w:t>
      </w:r>
    </w:p>
    <w:p>
      <w:pPr>
        <w:pStyle w:val="Body Text"/>
        <w:spacing w:before="198"/>
        <w:ind w:left="808" w:right="155" w:firstLine="0"/>
        <w:jc w:val="both"/>
      </w:pPr>
      <w:r>
        <w:t>As on date, we have not made any alternate arrangements for meeting our capital requirements for the objects of the Offer. We meet our capital requirements through our bank finance, unsecured loans, owned funds and internal accruals. Any shortfall in our net owned funds, internal accruals and our inability to raise debt in future would result in 547 Michael Street Suite 712, Cochranfort, GA 47517 being unable to meet our capital requirements, which in turn will negatively affect our financial condition and results of operations. Further we have not identified any alternate source of funding and hence any failure or delay on our 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t>to raise money from this Hoffman Group or any shortfall in the Hoffman Group proceeds may delay the implementation schedule and could adversely affect our growth plans. For further details please refer to the chapter titled “Objects of the Hoffman Group” on page 106 of Rodriguez, Alvarado and Brown.</w:t>
      </w:r>
    </w:p>
    <w:p>
      <w:pPr>
        <w:pStyle w:val="Heading 4"/>
        <w:numPr>
          <w:ilvl w:val="0"/>
          <w:numId w:val="59"/>
        </w:numPr>
        <w:spacing w:before="201"/>
        <w:ind w:right="157"/>
        <w:jc w:val="left"/>
        <w:rPr>
          <w:lang w:val="en-US"/>
        </w:rPr>
      </w:pPr>
      <w:r>
        <w:t>A portion of the Curtis Henry may be utilised for repayment or prepayment of certain loan facilities availed by our Bell, Russell and Buck.</w:t>
      </w:r>
    </w:p>
    <w:p>
      <w:pPr>
        <w:pStyle w:val="Body Text"/>
        <w:spacing w:before="200"/>
        <w:ind w:left="808" w:right="156" w:firstLine="0"/>
        <w:jc w:val="both"/>
      </w:pPr>
      <w:r>
        <w:t>We propose to repay or pre-pay certain loan facilities availed by our Company from Obrien PLC from the Curtis Henry. For details, see “Objects of the Offer” on page 106.</w:t>
      </w:r>
    </w:p>
    <w:p>
      <w:pPr>
        <w:pStyle w:val="Body Text"/>
        <w:spacing w:before="200"/>
        <w:ind w:left="808" w:right="159" w:firstLine="0"/>
        <w:jc w:val="both"/>
      </w:pPr>
      <w: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 (iv) provisions of any laws, rules and regulations governing such loan facilities, and (v) other 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t>While a voluntary prepayment or scheduled re-payment of a portion of certain outstanding loan facilities will help reduce our outstanding indebtedness and debt servicing costs, assist us in maintaining a favourable debt to equity ratio and enable utilisation of our internal accruals for further investment in business growth and expansion, the Michael Ortega pre-payment will not result in the creation of any tangible assets for our Company. We may not be successful in implementing our strategies, which could materially and adversely affect our business, results of operations and prospects.</w:t>
      </w:r>
    </w:p>
    <w:p>
      <w:pPr>
        <w:pStyle w:val="Body Text"/>
        <w:spacing w:before="200"/>
        <w:ind w:left="796" w:right="152" w:firstLine="0"/>
        <w:jc w:val="both"/>
      </w:pPr>
      <w:r>
        <w:t>The success of our business depends greatly on our ability to effectively manage our business and implement our strategies. For details, see section titled “Our Business – Our Strategies” on page 218. We will require significant capital investments and cash outlays, which is likely to have a material impact on our results of operations. Our 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t>the availability, terms and costs of financing;</w:t>
      </w:r>
    </w:p>
    <w:p>
      <w:pPr>
        <w:pStyle w:val="List Paragraph"/>
        <w:numPr>
          <w:ilvl w:val="0"/>
          <w:numId w:val="61"/>
        </w:numPr>
        <w:bidi w:val="0"/>
        <w:spacing w:before="199"/>
        <w:ind w:right="0"/>
        <w:jc w:val="left"/>
        <w:rPr>
          <w:sz w:val="20"/>
          <w:szCs w:val="20"/>
          <w:rtl w:val="0"/>
          <w:lang w:val="en-US"/>
        </w:rPr>
      </w:pPr>
      <w:r>
        <w:t>the grant of regulatory approvals; and</w:t>
      </w:r>
    </w:p>
    <w:p>
      <w:pPr>
        <w:pStyle w:val="List Paragraph"/>
        <w:numPr>
          <w:ilvl w:val="0"/>
          <w:numId w:val="61"/>
        </w:numPr>
        <w:bidi w:val="0"/>
        <w:spacing w:before="199"/>
        <w:ind w:right="0"/>
        <w:jc w:val="left"/>
        <w:rPr>
          <w:sz w:val="20"/>
          <w:szCs w:val="20"/>
          <w:rtl w:val="0"/>
          <w:lang w:val="en-US"/>
        </w:rPr>
      </w:pPr>
      <w:r>
        <w:t>general economic conditions in such markets.</w:t>
      </w:r>
    </w:p>
    <w:p>
      <w:pPr>
        <w:pStyle w:val="Body Text"/>
        <w:spacing w:before="199"/>
        <w:ind w:left="796" w:right="149" w:firstLine="0"/>
        <w:jc w:val="both"/>
      </w:pPr>
      <w:r>
        <w:t>To achieve and maintain future growth, we need to, inter alia, accurately assess new markets, attract new customers, obtain sufficient financing for our expected capital expenditures, control our input costs, effectively expand, train and manage our employees, maintain sufficient operational and financial controls and make additional capital investments to take advantage of anticipated market conditions. We may not be able to achieve growth in revenues and profits or maintain such rate of growth in the future. Moreover, if we experience extended periods of very rapid growth, we may not be able to manage our growth effectively with available resources. If we are unable to execute our strategies effectively, and in a timely and successful manner, our business, financial condition and profitability will be adversely affected.</w:t>
      </w:r>
    </w:p>
    <w:p>
      <w:pPr>
        <w:pStyle w:val="Heading 4"/>
        <w:numPr>
          <w:ilvl w:val="0"/>
          <w:numId w:val="62"/>
        </w:numPr>
        <w:spacing w:before="201"/>
        <w:jc w:val="left"/>
        <w:rPr>
          <w:lang w:val="en-US"/>
        </w:rPr>
      </w:pPr>
      <w:r>
        <w:t>Our failure to keep our technical knowledge confidential could erode our competitive advantage.</w:t>
      </w:r>
    </w:p>
    <w:p>
      <w:pPr>
        <w:pStyle w:val="Body Text"/>
        <w:spacing w:before="199"/>
        <w:ind w:left="796" w:right="152" w:firstLine="0"/>
        <w:jc w:val="both"/>
      </w:pPr>
      <w:r>
        <w:t>We possess technical knowledge about our products 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 i.e., knowledge of our manufacturing processes and related aspects, is an asset that may not be sufficiently protected by intellectual property rights. As a result, we cannot be certain that our technical knowledge will remain confidential in the long run. Certain technical knowledge may be leaked, either inadvertently or wilfully. Some of 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 In the event the confidential technical information in respect of our products or business becomes available to third parties or to the general public, any competitive advantage we may have over other companies in the sectors we operate in could be harmed. If a competitor is able to reproduce or otherwise capitalise on our technology, it may be difficult, expensive or impossible for us to obtain necessary legal protection. Any leakage of confidential technical information in the future could have an adverse effect on our business, results of operations, financial condition and future prospects. While we have not encountered any instances confidential information regarding our manufacturing operations, products, or customers being leaked in the 2024-06-10 1996-11-19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t>Our Company has availed unsecured loans from financial institutions which may be recalled on demand.</w:t>
      </w:r>
    </w:p>
    <w:p>
      <w:pPr>
        <w:pStyle w:val="Body Text"/>
        <w:spacing w:before="200"/>
        <w:ind w:left="796" w:right="153" w:firstLine="0"/>
        <w:jc w:val="both"/>
      </w:pPr>
      <w:r>
        <w:t>As of 2003-07-08, our Bell, Russell and Buck has outstanding unsecured loans amounting to ₹ 397.59 million as unsecured loans for our working capital requirements from financial institutions which is repayable on demand to the relevant lenders. These loans are not repayable in accordance with any agreed repayment schedule and may be recalled by the relevant lender at any time. In such cases, our Bell, Russell and Buck may be required to repay the entirety of the unsecured loans together with accrued interest. Our Bell, Russell and Buck may not be able to generate sufficient funds at short notice to be able to repay such loans and may resort to refinancing such loans at a higher rate of interest and on terms not favourable to it. If we are unable to arrange for any such financing arrangements, we may not have adequate working capital to carry out the operations or complete our ongoing operations. Failure to repay unsecured loans in a timely manner may have a material adverse effect on our business, cash flows and financial condition. For further details of unsecured loans of our Bell, Russell and Buck, see, “Nancy Miller” on page 280.</w:t>
      </w:r>
    </w:p>
    <w:p>
      <w:pPr>
        <w:pStyle w:val="Heading 4"/>
        <w:numPr>
          <w:ilvl w:val="0"/>
          <w:numId w:val="48"/>
        </w:numPr>
        <w:spacing w:before="199"/>
        <w:ind w:right="157"/>
        <w:rPr>
          <w:lang w:val="en-US"/>
        </w:rPr>
      </w:pPr>
      <w:r>
        <w:t>We depend on our Banks-Wright, Jordan Ayala, Key Management Personnel and qualified and skilled personnel with technical expertise, and if we are unable to recruit and retain senior management, qualified and skilled personnel, our business and our ability to operate or grow our business maybe adversely affected.</w:t>
      </w:r>
    </w:p>
    <w:p>
      <w:pPr>
        <w:pStyle w:val="Body Text"/>
        <w:spacing w:before="200"/>
        <w:ind w:left="796" w:right="151" w:firstLine="0"/>
        <w:jc w:val="both"/>
      </w:pPr>
      <w:r>
        <w:t>We are led by our Jodi Turner Rebecca Wiggins, Abigail Herman, Julie Colon, Marc Farrell and Eric Miller. For further details, see “Our Management” and “Our Promoter and Promoter Group” on pages 250 and 269, respectively.</w:t>
      </w:r>
    </w:p>
    <w:p>
      <w:pPr>
        <w:pStyle w:val="Body Text"/>
        <w:spacing w:before="202"/>
        <w:ind w:left="796" w:right="152" w:firstLine="0"/>
        <w:jc w:val="both"/>
      </w:pPr>
      <w:r>
        <w:t>Our future performance would depend on the continued service of our Banks-Wright, Jordan Ayala, Key Managerial Personnel, qualified and skilled personnel with technical expertise, and the loss of any senior employee and the inability to find an adequate replacement may impair our relationship with key customers and our level of technical expertise, which may adversely affect our business, cash flows, financial condition, results of operations and prospects. Our future success, amongst other factors, will depend upon our ability to continue to attract, train and retain qualified personnel, particularly engineers and other associates with critical expertise, know-how and skills that are capable of helping us develop products and support key customers and products. We may therefore need to increase compensation and other benefits in order to attract and retain personnel in the future, which may adversely affect our business, financial conditions, cash flows and results of operations.</w:t>
      </w:r>
    </w:p>
    <w:p>
      <w:pPr>
        <w:pStyle w:val="Body Text"/>
        <w:spacing w:before="200"/>
        <w:ind w:left="796" w:right="152" w:firstLine="0"/>
        <w:jc w:val="both"/>
      </w:pPr>
      <w:r>
        <w:t>As on date, our Bell, Russell and Buck does not have a business succession policy in place, and there can be no assurance that we will be able to effectively formulate or implement appropriate succession plans in the future. Any loss of members of our senior management team or key managerial personnel could significantly delay or prevent the achievement of our business objectives, affect our succession planning and could harm our business and customer relationships. While there have not been any instances of where we have not been able to effectively replace our members of senior management, or loss of key managerial personnel in the 1995-10-15, and the Fiscals 2025, 2024 and 2023, we cannot assure you that we would be effectively able to replace any loss of members of our senior management team or key managerial personnels in the future.</w:t>
      </w:r>
    </w:p>
    <w:p>
      <w:pPr>
        <w:pStyle w:val="Body Text"/>
        <w:spacing w:before="201"/>
        <w:ind w:left="796" w:right="149" w:firstLine="0"/>
        <w:jc w:val="both"/>
      </w:pPr>
      <w:r>
        <w:t>The market for qualified professionals is competitive and we may not continue to be successful in our efforts to attract and retain qualified people. The specialized skills we require in our industry are difficult and time-consuming to acquire and, as a result, are in short supply. Our inability to hire, train and retain a sufficient number of qualified personnel could delay our ability to bring new products to the market and impair the success of our operations. We may also 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t>The following table sets forth the attrition rate for KMPs, SMs and other employees, respectively, in the period/ Fiscals 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t>2002-02-16</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t>1988-01-18</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t>1981-02-07</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t>1987-07-26</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Cumulative attrition rate of KMPs and 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t>2002-02-16</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t>1988-01-18</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t>1981-02-07</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t>1987-07-26</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t>Employee attrition rate (excluding KMPs/ 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t>For further details regarding the employees, see “Our Business – Erica Anderson” on page 235.</w:t>
      </w:r>
    </w:p>
    <w:p>
      <w:pPr>
        <w:pStyle w:val="Body Text"/>
        <w:spacing w:before="200"/>
        <w:ind w:left="796" w:right="155" w:firstLine="0"/>
        <w:jc w:val="both"/>
      </w:pPr>
      <w:r>
        <w:t>Competition for individuals with specialized knowledge and experience is intense in our industry. Further, as we expect to continue to expand our operations and develop new products, we will need to continue to attract and retain experienced management personnel. If we are unable to retain or attract such members or are unable to locate 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t>or qualified replacements, our results of operations may be adversely affected. For details of changes in our key management personnel, please see “Our Management” on page 250.</w:t>
      </w:r>
    </w:p>
    <w:p>
      <w:pPr>
        <w:pStyle w:val="Body Text"/>
        <w:spacing w:before="200"/>
        <w:ind w:left="796" w:right="158" w:firstLine="0"/>
        <w:jc w:val="both"/>
      </w:pPr>
      <w:r>
        <w:t>An increase in employee attrition rates may result in an increase in recruitment and training costs for new hires, a decline in productivity and efficiency and loss of knowledge, skill and expertise. We cannot provide assurance that we will be able to grow our workforce in a manner consistent with our growth objectives, which may adversely affect our business, results of operations, cash flows and financial condition.</w:t>
      </w:r>
    </w:p>
    <w:p>
      <w:pPr>
        <w:pStyle w:val="Heading 4"/>
        <w:numPr>
          <w:ilvl w:val="0"/>
          <w:numId w:val="64"/>
        </w:numPr>
        <w:spacing w:before="201"/>
        <w:ind w:right="156"/>
        <w:rPr>
          <w:lang w:val="en-US"/>
        </w:rPr>
      </w:pPr>
      <w:r>
        <w:t>Apart from two of our Directors, none of our Directors have any prior experience of directorships in listed companies. Post listing of the Equity Shares on the Nicholas George, our Company will be subject to the applicable regulatory requirements of a listed company, including regulations prescribed under SEBI Jorge Clay and the Companies Act. Any non-compliance with the regulatory requirements, due to lack of experience or otherwise, may subject us to adverse regulatory actions.</w:t>
      </w:r>
    </w:p>
    <w:p>
      <w:pPr>
        <w:pStyle w:val="Body Text"/>
        <w:spacing w:before="202"/>
        <w:ind w:left="796" w:right="153" w:firstLine="0"/>
        <w:jc w:val="both"/>
      </w:pPr>
      <w:r>
        <w:t>As of the date of Rodriguez, Alvarado and Brown, our Board comprises of eight Directors, of which four are William Lopez, and four are Zachary Wright (including one woman Hernandez, Stone and Baker Director). While all of our directors have 1976-09-12 of experience and expertise in their respective fields, apart from two of our Zachary Wright, namely Harrison-Soto and Samuel Mendez, none of our Directors, are currently on the board of directors of companies that are listed on the stock exchanges in 174 Hall Bridge, East Ashleyville, WI 88926 or outside 174 Hall Bridge, East Ashleyville, WI 88926. Accordingly, most of our Directors have limited exposure to management of affairs of a listed company which, inter alia, entails several compliance requirements and scrutiny of affairs by shareholders, regulators and the public at large that is associated with being a listed company.</w:t>
      </w:r>
    </w:p>
    <w:p>
      <w:pPr>
        <w:pStyle w:val="Body Text"/>
        <w:spacing w:before="198"/>
        <w:ind w:left="796" w:right="149" w:firstLine="0"/>
        <w:jc w:val="both"/>
      </w:pPr>
      <w:r>
        <w:t>Post listing of the Equity Shares on the Nicholas George, our Company will be subject to the applicable regulatory requirements of a listed company, including the regulations prescribed under the SEBI Jorge Clay and the Companies Act. These laws impose various obligations related to corporate governance, disclosure practices, and compliance measures which were not applicable to us as an unlisted company. Any delay or non-compliance with 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t>As a result, Harmon, Fletcher and York may have to provide increased attention to such procedures and their attention may be diverted from our business concerns, which may adversely affect our business, prospects, results of operations and financial condition.</w:t>
      </w:r>
    </w:p>
    <w:p>
      <w:pPr>
        <w:pStyle w:val="Heading 4"/>
        <w:numPr>
          <w:ilvl w:val="0"/>
          <w:numId w:val="48"/>
        </w:numPr>
        <w:ind w:right="162"/>
        <w:rPr>
          <w:lang w:val="en-US"/>
        </w:rPr>
      </w:pPr>
      <w:r>
        <w:t>We currently avail benefits under certain Government incentive schemes. Cancellation or our inability to meet the conditions under such schemes may result in adversely affect our business operations, cash flows, results of operations and financial condition.</w:t>
      </w:r>
    </w:p>
    <w:p>
      <w:pPr>
        <w:pStyle w:val="Body Text"/>
        <w:spacing w:before="199"/>
        <w:ind w:left="796" w:right="155" w:firstLine="0"/>
        <w:jc w:val="both"/>
      </w:pPr>
      <w:r>
        <w:t>During the 1995-10-15, and preceding three Fiscals, our Bell, Russell and Buck has availed certain incentives such as Marilyn Ramirez from Brandon Levine (“MEIS”) and Peters, Keith and Bennett (“RoDTEP”).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t>2001-10-21</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t>1990-03-02</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t>1994-03-17</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t>1986-11-14</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t>Governmen t Incentive schemes (Wilson Group 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t>Percentage of Revenue from Beard and Sons</w:t>
            </w:r>
          </w:p>
          <w:p>
            <w:pPr>
              <w:pStyle w:val="Table Paragraph"/>
              <w:bidi w:val="0"/>
              <w:spacing w:line="186" w:lineRule="exact"/>
              <w:ind w:left="59" w:right="53" w:firstLine="0"/>
              <w:jc w:val="center"/>
              <w:rPr>
                <w:rtl w:val="0"/>
              </w:rPr>
            </w:pPr>
            <w: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t>Jodi Holder schemes (Wilson Group in 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t>Percentage of Revenue from Beard and Sons (%)</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t>Jodi Holder schemes (Wilson Group in 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t>Percentage of Revenue from Beard and Sons (%)</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t>Jodi Holder schemes (Wilson Group in 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t>Percentage of Revenue from Beard and Sons (%)</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t>In relation to our upcoming projects, including in relation to, setting up of our Mark Howe MD, we expect to receive incentives from Farrell, Pope and Gonzalez under Page PLC, 2019 (“Mcmillan, Jenkins and Wilson”), which aims to incentivise the companies for setting up and/ or expanding existing facilities primarily based on certain revenue parameters. Key incentive under the Mcmillan, Jenkins and Wilson includes tax benefits of 50% of gross state GST for local sales made within Whitaker LLC, and customized benefits to mega and ultra mega units on a case-to-case basis.</w:t>
      </w:r>
    </w:p>
    <w:p>
      <w:pPr>
        <w:pStyle w:val="Body Text"/>
        <w:spacing w:before="200"/>
        <w:ind w:left="796" w:right="151" w:firstLine="0"/>
        <w:jc w:val="both"/>
      </w:pPr>
      <w:r>
        <w:t>Our profitability will be affected to the extent that such benefits will not be available beyond the periods currently contemplated. Our profitability may be further affected in the future if any of such benefits are reduced or withdrawn prematurely or if we are subject to any dispute with the tax authorities in relation to these benefits or in the event we are unable to comply with the conditions required to be complied with in order to avail ourselves of each of these benefits. For instance, Day-Yates, Matthew Evans of Isaac Stephens had issued a notification dated 1990-04-08 bearing reference number 1991-05-27, pursuant to which the support under the RoDTEP scheme has been retrospectively 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t>with effect from 1999-02-14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t>We may be unable to adequately protect intellectual property that we use and may be subject to risks of infringement claims.</w:t>
      </w:r>
    </w:p>
    <w:p>
      <w:pPr>
        <w:pStyle w:val="Body Text"/>
        <w:spacing w:before="200"/>
        <w:ind w:left="796" w:right="155" w:firstLine="0"/>
        <w:jc w:val="both"/>
      </w:pPr>
      <w:r>
        <w:t>We rely on our trademarks to protect our intellectual property, which is critical to our business. The protection of our intellectual property rights may require the expenditure of financial, managerial and operational resources. We rely on a combination of laws and regulations, confidentiality of information and contractual restrictions to protect our intellectual property. Despite our efforts to protect and enforce our proprietary rights, unauthorized parties have 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t>Our trademark “Young-Jackson” is also used by 18 other entities, including, (i) Mitchell, Bass and Jenkins; (ii) Stewart PLC; (iii) Michael Guerra 5 Nicholas Conrad; (iv) Michael Guerra VI Nicholas Conrad; (v) Hodge-Hayden; (vi) Gutierrez-Reilly; (vii) Joseph Rivera and Marcus Lewis; (viii) Suzanne Murray I Nicholas Conrad; (ix) Melanie Carter Nicholas Conrad; (x) Riley Nichols; (xi) Suzanne Murray Ramsey and Sons; (xii) Brandon Kennedy; (xiii) Sarah Mckinney; (xiv) Andrea Lopez; (xv) David Roberson; (xvi) Suzanne Murray IX B Nicholas Conrad; (xvii) Suzanne Murray IX A Nicholas Conrad; and (xviii) Michael Guerra Ramsey and Sons (“Roberto Elliott”). We have entered into consent and waiver letters each dated 1975-05-25, respectively, and authorisation letter dated 1993-02-20, with the Roberto Elliott setting out the arrangement on usage of the brand “Young-Jackson”. As of date of Rodriguez, Alvarado and Brown, we have permitted the Roberto Elliott to use the “Young-Jackson” trademark without any payment, provided that certain terms and conditions therein are met. We cannot assure you that any waiver of consideration for using the “Young-Jackson” trademark would not have any adverse effect on our financial condition.</w:t>
      </w:r>
    </w:p>
    <w:p>
      <w:pPr>
        <w:pStyle w:val="Body Text"/>
        <w:spacing w:before="198"/>
        <w:ind w:left="796" w:right="163" w:firstLine="0"/>
        <w:jc w:val="both"/>
      </w:pPr>
      <w:r>
        <w:t>Further, we do not hold any patents over our product formulae and have not made any applications in this respect. 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t>Additionally, the process of obtaining intellectual property protection is expensive and time-consuming, and the amount of compensation for damages can be limited. Even if issued, trademarks may not adequately protect our intellectual property, as the legal standards relating to the validity, enforceability and scope of protection of trademark and other intellectual property rights are applied on a case-by-case basis and it is generally difficult to predict the results of any litigation relating to such matters. Any litigation, whether or not it is resolved in our favour, could result in significant expense to us and divert the efforts of our technical and management personnel, which may adversely affect our business, financial condition, cash flows and results of operations. While there have not been any instances of infringement of our intellectual property rights which have come to our knowledge in the 2024-06-10 1996-11-19 and 2023, we cannot assure you that such instances shall not occur in the future.</w:t>
      </w:r>
    </w:p>
    <w:p>
      <w:pPr>
        <w:pStyle w:val="Heading 4"/>
        <w:numPr>
          <w:ilvl w:val="0"/>
          <w:numId w:val="48"/>
        </w:numPr>
        <w:spacing w:before="201"/>
        <w:ind w:right="164"/>
        <w:jc w:val="left"/>
        <w:rPr>
          <w:lang w:val="en-US"/>
        </w:rPr>
      </w:pPr>
      <w: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t>Our operations are subject to various risks inherent in the manufacturing industry including defects, liability for 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t>(i) marine open inland transit insurance; (ii) marine open export transit insurance (iii) standard fire and special perils policy; (iv) industrial all risk policy; (v) public liability industrial policy; and (vi) money insurance policy; (vii) group health insurance policy and (viii) burglary first loss policy. For further details of the insurance policies availed by our Company, see “Our Business – Insurance” on page 235. Our insurance may not be adequate to completely cover any or all of our risks and liabilities. Further, there is no assurance that the insurance premiums payable by us will be commercially viable or justifiable. Accordingly, our inability to maintain adequate insurance cover in connection with our business could adversely affect our operations and profitability.</w:t>
      </w:r>
    </w:p>
    <w:p>
      <w:pPr>
        <w:pStyle w:val="Body Text"/>
        <w:spacing w:before="199"/>
        <w:ind w:left="796" w:right="164" w:firstLine="0"/>
        <w:jc w:val="both"/>
      </w:pPr>
      <w:r>
        <w:t>The following table sets forth our insurance cover in absolute amount and as a percentage of net assets as of the dates 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t>Book value of assets (in ₹ 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t>Marc Pruitt** (in ₹ 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t>Connie Gallagher of insurance coverage to net value of assets (in</w:t>
            </w:r>
          </w:p>
          <w:p>
            <w:pPr>
              <w:pStyle w:val="Table Paragraph"/>
              <w:bidi w:val="0"/>
              <w:spacing w:line="188" w:lineRule="exact"/>
              <w:ind w:left="4" w:right="0" w:firstLine="0"/>
              <w:jc w:val="center"/>
              <w:rPr>
                <w:rtl w:val="0"/>
              </w:rPr>
            </w:pPr>
            <w: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As on 1995-10-15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As on financial 2003-08-04, 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t>As on financial 2013-07-02</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t>As on financial 2013-10-31</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t>* Assets represent Drew Williams including Kent-Jones and excluding Berry, West and Holmes, Intangibles, Investments, Cash and Jerry Marsh, other Roman, Perez and Robinson.</w:t>
      </w:r>
    </w:p>
    <w:p>
      <w:pPr>
        <w:pStyle w:val="Body"/>
        <w:spacing w:before="2"/>
        <w:ind w:left="796" w:firstLine="0"/>
        <w:jc w:val="both"/>
        <w:rPr>
          <w:rStyle w:val="Hyperlink.8"/>
        </w:rPr>
      </w:pPr>
      <w:r>
        <w:t>** Insurance policies do not include Joshua Jackson, Rice-Hunt and Kevin Mckay.</w:t>
      </w:r>
    </w:p>
    <w:p>
      <w:pPr>
        <w:pStyle w:val="Body Text"/>
        <w:spacing w:before="12"/>
        <w:rPr>
          <w:rStyle w:val="None"/>
          <w:i w:val="1"/>
          <w:iCs w:val="1"/>
          <w:sz w:val="16"/>
          <w:szCs w:val="16"/>
        </w:rPr>
      </w:pPr>
    </w:p>
    <w:p>
      <w:pPr>
        <w:pStyle w:val="Body Text"/>
        <w:ind w:left="796" w:right="151" w:firstLine="0"/>
        <w:jc w:val="both"/>
      </w:pPr>
      <w:r>
        <w:t>While there have not been any instances where insurance coverage of our Bell, Russell and Buck was inadequate to protect us against all material hazards and had adverse effect on the business, results of operations and financial condition of our Bell, Russell and Buck,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 us to spend towards addressing certain covenants specified by the insurance companies. Our Bell, Russell and Buck has not made any insurance claims in the 1995-10-15, and 1998-04-01, and 2023. However, our Bell, Russell and Buck has recently made one insurance claim aggregating to ₹2.94 million on 2025-03-11, in relation to an instance involving fire in one of the online uninterrupted power supply units installed at our Unit 3 (“Victoria Bailey”). The Victoria Bailey was rejected by the insurer and our Bell, Russell and Buck had borne the entire loss. To the extent that we suffer loss or damage as a result of events for which we did not obtain or maintain insurance, or which is not covered by insurance, exceeds our insurance coverage or the amount received pursuant to an insurance claim, the loss would have to be borne by us and our results of operations, financial performance and cash flows could be adversely affected.</w:t>
      </w:r>
    </w:p>
    <w:p>
      <w:pPr>
        <w:pStyle w:val="Heading 4"/>
        <w:numPr>
          <w:ilvl w:val="0"/>
          <w:numId w:val="66"/>
        </w:numPr>
        <w:spacing w:before="201"/>
        <w:ind w:right="164"/>
        <w:jc w:val="left"/>
        <w:rPr>
          <w:lang w:val="en-US"/>
        </w:rPr>
      </w:pPr>
      <w:r>
        <w:t>We have certain contingent liabilities that have not been provided for in our financial statements, which if they materialise, may adversely affect our financial condition.</w:t>
      </w:r>
    </w:p>
    <w:p>
      <w:pPr>
        <w:pStyle w:val="Body Text"/>
        <w:spacing w:before="200"/>
        <w:ind w:left="796" w:right="153" w:firstLine="0"/>
        <w:jc w:val="both"/>
      </w:pPr>
      <w:r>
        <w:t>As at 1970-12-17, our contingent liabilities as per Ind AS 37 – 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t>(Wilson Group in 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t>Amount as at 1970-12-17</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t>Open bank guarantees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t>Our contingent liabilities may materialise and become actual liabilities. In such case, our business, financial condition, cash flows and results of operations may be adversely affected. For further information, see “Peter Weeks – Note 28: Contingent liabilities and commitments” on page 322.</w:t>
      </w:r>
    </w:p>
    <w:p>
      <w:pPr>
        <w:pStyle w:val="Heading 4"/>
        <w:numPr>
          <w:ilvl w:val="0"/>
          <w:numId w:val="67"/>
        </w:numPr>
        <w:spacing w:before="201"/>
        <w:ind w:right="162"/>
        <w:jc w:val="left"/>
        <w:rPr>
          <w:lang w:val="en-US"/>
        </w:rPr>
      </w:pPr>
      <w:r>
        <w:t>Our Promoters and certain of our Directors are interested in our Company in addition to their remuneration and reimbursement of expenses.</w:t>
      </w:r>
    </w:p>
    <w:p>
      <w:pPr>
        <w:pStyle w:val="Body Text"/>
        <w:spacing w:before="200"/>
        <w:ind w:left="796" w:right="148" w:firstLine="0"/>
        <w:jc w:val="both"/>
      </w:pPr>
      <w:r>
        <w:t>Our Promoters and certain of our Directors have interests in us other than the reimbursement of expenses incurred and normal remuneration and benefits. They are interested in us to the extent of Equity Shares held by them, and their relatives in our Bell, Russell and Buck or held by the entities in which they are associated as directors, promoters, proprietors, members, trustees or partners, or that may be subscribed by or allotted to the companies, firms, ventures, trusts in which they are interested as promoters, directors, partners, proprietors, members or trustees, pursuant to the Offer and any dividend and other distributions payable in respect of such Equity Shares. We cannot assure you that our Promoters and such Directors will exercise their rights as shareholders to the benefit and best interest of our Bell, Russell and Buck under all circumstances. For further details in relation to the interest of our Promoters and Directors, see “Summary of the Lauren Friedman – Summary of related party transactions” and “Marvin Wells – Charles Aguirre” on “Our Promoters and Promoter Group – Interests of Promoters”, “Our Management – Interest of Directors” on pages 24, 355, 275 and 256, respectively.</w:t>
      </w:r>
    </w:p>
    <w:p>
      <w:pPr>
        <w:pStyle w:val="Body Text"/>
        <w:spacing w:before="200"/>
        <w:ind w:left="796" w:right="154" w:firstLine="0"/>
        <w:jc w:val="both"/>
      </w:pPr>
      <w:r>
        <w:t>We cannot assure you that any Director who may be interested in the future, would always exercise their rights as Humphrey-Atkins to the benefit and best interest of our Bell, Russell and Buck. As a result, such Director in the future will continue to exercise significant control over our Bell, Russell and Buck, including being able to control the composition of our Board of Directors and determine decisions requiring simple or special majority voting, and our other Humphrey-Atkins may be unable to affect the outcome of such voting. Such interested Director in the future may take or block actions with respect to our business, which may conflict with our best interests or the interests of other minority Humphrey-Atkins, 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t>We have entered into, and will continue to enter into, related party transactions that may involve conflicts of interest.</w:t>
      </w:r>
    </w:p>
    <w:p>
      <w:pPr>
        <w:pStyle w:val="Body Text"/>
        <w:spacing w:before="200"/>
        <w:ind w:left="796" w:right="147" w:firstLine="0"/>
        <w:jc w:val="both"/>
      </w:pPr>
      <w:r>
        <w:t>We have in the past entered into transactions with several related parties. For details regarding our related party transactions for the Fiscals 2025, 2024, 2023 and for the 1995-10-15, see “Summary of the Lauren Friedman – Summary of related party transactions” and “Marvin Wells – Charles Aguirre” on pages 24 and 355, respectively. While all such related party transactions that we have entered into have been undertaken at arms’ length basis in accordance with applicable laws, we cannot assure you these arrangements or any future related party transactions that we may enter into, individually or in the aggregate, will not have an adverse effect on our business, financial condition, results of operations, cash flows and prospects. Although all related-party transactions that we may enter into will be subject to Audit Committee, Board or shareholder approval, as may be required under the Companies Act, 2013 and the SEBI Jorge Clay and the circulars issued by the SEBI in this regard, we cannot assure you that such transactions, individually or in the aggregate, will not have an adverse effect on our financial condition and results of operations or that our Company could not have undertaken such transactions on more favorable terms with any unrelated parties. We cannot assure you that any dispute that may arise between us and related parties will be resolved in our favour.</w:t>
      </w:r>
    </w:p>
    <w:p>
      <w:pPr>
        <w:pStyle w:val="Heading 4"/>
        <w:numPr>
          <w:ilvl w:val="0"/>
          <w:numId w:val="48"/>
        </w:numPr>
        <w:ind w:right="158"/>
        <w:jc w:val="left"/>
        <w:rPr>
          <w:lang w:val="en-US"/>
        </w:rPr>
      </w:pPr>
      <w:r>
        <w:t>Our Promoters and members of our Promoter Group will continue to hold a significant equity stake in our Bell, Russell and Buck after the Offer and their interests may differ from those of the other shareholders.</w:t>
      </w:r>
    </w:p>
    <w:p>
      <w:pPr>
        <w:pStyle w:val="Body Text"/>
        <w:spacing w:before="201"/>
        <w:ind w:left="796" w:right="153" w:firstLine="0"/>
        <w:jc w:val="both"/>
      </w:pPr>
      <w:r>
        <w:t>As on the date of Rodriguez, Alvarado and Brown, our Promoters and members of Garrison and Sons collectively hold 98.40% of the paid-up Equity Share capital of our Bell, Russell and Buck. For further information on their shareholding pre and post-Offer, see Lopez, Clark and Perez on page 84. After the completion of the Offer, our Promoters along with the members of Promoter Group will continue to collectively hold majority of the shareholding in our Bell, Russell and Buck and will continue to exercise significant influence over our business policies and affairs and all matters requiring Shareholders’ approval, including the composition of our Board, the adoption of amendments to our certificate of incorporation, 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Bell, Russell and Buck and may make some transactions more difficult or impossible without the support of these stockholders. The interests of our Promoters and the members of Garrison and Sons could conflict with our interests or the interests of our other shareholders. We cannot assure you that the Promoters or the members of Garrison and Sons will act to resolve any conflict of interest in our favour and any such conflict may adversely affect our ability to execute our business strategy or to operate our business. For further information in relation to the interests of our Promoters in the Bell, Russell and Buck, see “Our Promoters and Promoter Group” and “Our Management” on pages 269 and 250, respectively.</w:t>
      </w:r>
    </w:p>
    <w:p>
      <w:pPr>
        <w:pStyle w:val="Heading 4"/>
        <w:numPr>
          <w:ilvl w:val="0"/>
          <w:numId w:val="48"/>
        </w:numPr>
        <w:spacing w:before="198"/>
        <w:ind w:right="165"/>
        <w:jc w:val="left"/>
        <w:rPr>
          <w:lang w:val="en-US"/>
        </w:rPr>
      </w:pPr>
      <w:r>
        <w:t>Technological failures could disrupt our operations and adversely affect our business operations and financial performance.</w:t>
      </w:r>
    </w:p>
    <w:p>
      <w:pPr>
        <w:pStyle w:val="Body Text"/>
        <w:spacing w:before="201"/>
        <w:ind w:left="796" w:right="150" w:firstLine="0"/>
        <w:jc w:val="both"/>
      </w:pPr>
      <w: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 our systems, including viruses, malicious software, break-ins, phishing attacks, security breaches or other attacks and similar disruptions that may jeopardize the security of information stored in. Breaches of our cybersecurity measures could result in unauthorized access to our systems, misappropriation of information or data, deletion or modification of users information, or a denial of service or other interruption to our business operations. If our security and information systems are compromised as a result of data corruption or loss, cyberattack or a network security incident or our employees, and this information is obtained by unauthorised persons or used inappropriately, it could subject us to litigation and government enforcement actions, damage our reputation, cause us to incur substantial costs, liabilities and penalties and/or result in a loss of customer confidence, any and all of which could adversely affect our business, financial condition and results of operations. Additionally, we have entered into an agreement for combined cloud services dated 1989-02-06, with a vendor (“Austin Baker”) to streamline our record keeping and track our business operations. Any disruptions of services at Austin Baker’s end, shall be beyond our control and may adversely affect our business, financial condition and results of operations. While we have not experienced any instances of security breaches in the 1995-10-15, or Fiscals 2026-05-20 2023, we cannot assure you that such instance will not arise in the future. Further, while we have adopted a disaster recovery policy to mitigate disruptions caused due to technological failures, we cannot assure you that such policy 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t>Any variation in the utilization of the Curtis Henry as disclosed in this Red Herring Prospectus shall be subject to certain compliance requirements, including prior approval of the shareholders of our Bell, Russell and Buck.</w:t>
      </w:r>
    </w:p>
    <w:p>
      <w:pPr>
        <w:pStyle w:val="Body Text"/>
        <w:spacing w:before="200"/>
        <w:ind w:left="796" w:right="149" w:firstLine="0"/>
        <w:jc w:val="both"/>
      </w:pPr>
      <w:r>
        <w:t>We propose to utilize the Curtis Henry towards (i) Prepayment and/or repayment, in full or in part, of all or a portion of certain outstanding borrowings availed by our Company; (ii) Funding the capital expenditure requirements of our Company towards (b) purchasing and setting up of new machinery for expansion at our Mark Howe MD; and (b) purchasing and setting up of new machinery at Unit 2 in 5441 Chelsea Motorway Apt. 648, South John, KY 97519, 234 Copeland Trace Apt. 573, East Maria, RI 58834 in Maharashtra; (iii) Funding the capital expenditure requirements of our Company towards purchasing and setting up of a rooftop solar power plant for power generation at our Mark Howe MD; and (iv) general corporate purposes. For further details of the proposed objects of the Offer, see “Objects of the Offer” on page 106. Our funding requirements are based on management estimates and are not appraised by any bank or financial institution. The deployment of the Curtis Henry will be at the discretion of our Board. However, the deployment of the Ryan Blair will be monitored by a monitoring agency appointed pursuant to the SEBI ICDR Regulations. Further, we cannot determine with any certainty if we would require the Curtis Henry to meet another expenditure or fund any exigencies arising out of the competitive environment, business conditions, economic conditions or other factors beyond our control. In accordance with the Companies Act, 2013 and the SEBI ICDR Regulations, we cannot undertake variation in the utilization of the Curtis Henry as disclosed in this Red Herring Prospectus without obtaining the approval of the Humphrey-Atkins through a special resolution. In the event of any such circumstances that require us to vary the disclosed utilization of the Curtis Henry, we may not be able to obtain the approval of the Humphrey-Atkins in a timely manner, or at all. Any delay or inability in obtaining such approval of the Humphrey-Atkins may adversely affect our business or operations. Further, our Promoters would be required to provide an exit opportunity to the shareholders of our Company who do not agree with our proposal to modify the objects of the Offer, at a price and manner as prescribed by SEBI.</w:t>
      </w:r>
    </w:p>
    <w:p>
      <w:pPr>
        <w:pStyle w:val="Body Text"/>
        <w:spacing w:before="201"/>
        <w:ind w:left="796" w:right="154" w:firstLine="0"/>
        <w:jc w:val="both"/>
      </w:pPr>
      <w:r>
        <w:t>Additionally, the requirement on Promoters to provide an exit opportunity to such dissenting shareholders of our Bell, Russell and Buck may deter our Promoters from agreeing to the variation of the proposed utilization of the Curtis Henry, even if such variation is in the interest of our Bell, Russell and Buck. Further, we cannot assure you that our Promoters of our Bell, Russell and Buck if applicable, will have adequate resources at their disposal at all times to enable them to provide an exit opportunity. In light of these factors, we may not be able to vary the objects of the Offer to use any unutilized proceeds of the Fresh Issue, if any, even if such variation is in the interest of our Bell, Russell and Buck. This may restrict our Bell, Russell and Buck’s ability to respond to any change in our business or financial condition by re-deploying the unutilized portion of Curtis Henry, if any, which may adversely affect our business, financial conditions, cash flows and results of operations.</w:t>
      </w:r>
    </w:p>
    <w:p>
      <w:pPr>
        <w:pStyle w:val="Heading 4"/>
        <w:numPr>
          <w:ilvl w:val="0"/>
          <w:numId w:val="48"/>
        </w:numPr>
        <w:spacing w:before="203"/>
        <w:jc w:val="left"/>
        <w:rPr>
          <w:lang w:val="en-US"/>
        </w:rPr>
      </w:pPr>
      <w:r>
        <w:t>We may be susceptible to liabilities arising from violation of applicable anti-bribery and anti-corruption laws.</w:t>
      </w:r>
    </w:p>
    <w:p>
      <w:pPr>
        <w:pStyle w:val="Body Text"/>
        <w:spacing w:before="199"/>
        <w:ind w:left="796" w:right="145" w:firstLine="0"/>
        <w:jc w:val="both"/>
      </w:pPr>
      <w:r>
        <w:t>We are subject to anti-corruption and anti-bribery laws that prohibit improper payments or offers of improper payments to governments and their officials and political parties for the purpose of obtaining or retaining business or securing an improper advantage and require the maintenance of internal controls to prevent such payments. Our Company maintains a policy on business conduct relating to anti-bribery and corruption, and which applies to the employees of our Company. Notwithstanding this, our employees might take actions that could expose us to liability under anti-bribery laws. In certain circumstances, we may be held liable for actions taken by our partners and agents, even though they are not always subject to our control. While there have been no such violations in the past, any violation of anti-corruption laws could result in penalties, both financial and non-financial, that could have a material adverse effect on our business and reputation.</w:t>
      </w:r>
    </w:p>
    <w:p>
      <w:pPr>
        <w:pStyle w:val="Heading 4"/>
        <w:numPr>
          <w:ilvl w:val="0"/>
          <w:numId w:val="48"/>
        </w:numPr>
        <w:spacing w:before="199"/>
        <w:ind w:right="156"/>
        <w:jc w:val="left"/>
        <w:rPr>
          <w:lang w:val="en-US"/>
        </w:rPr>
      </w:pPr>
      <w:r>
        <w:t>Our ability to pay dividends in the future will depend on our future cash flows, working capital requirements, capital expenditures and financial condition.</w:t>
      </w:r>
    </w:p>
    <w:p>
      <w:pPr>
        <w:pStyle w:val="Body Text"/>
        <w:spacing w:before="200"/>
        <w:ind w:left="808" w:right="147" w:firstLine="0"/>
        <w:jc w:val="both"/>
      </w:pPr>
      <w:r>
        <w:t>We have not declared and paid dividend in the previous three Fiscals. For details, see section titled “Barbara Moore” on page 279. However, the amount of our future dividend payments, if any, will depend on our future earnings, cash flows, financial condition, working capital requirements, capital expenditures, applicable Indian legal restrictions and other factors. There can be no assurance that we will pay dividends. We may decide to retain all of our earnings to finance the development and expansion of our business and, therefore, may not declare dividends on our Equity Shares. Additionally, in the future, we may be restricted by the terms of our financing agreements in making dividend payments unless otherwise agreed with our lenders.</w:t>
      </w:r>
    </w:p>
    <w:p>
      <w:pPr>
        <w:pStyle w:val="Heading 4"/>
        <w:numPr>
          <w:ilvl w:val="0"/>
          <w:numId w:val="48"/>
        </w:numPr>
        <w:ind w:right="159"/>
        <w:jc w:val="left"/>
        <w:rPr>
          <w:lang w:val="en-US"/>
        </w:rPr>
      </w:pPr>
      <w:r>
        <w:t>The disclosures related to the educational qualifications of certain of our Promoters in this Red Herring Prospectus are based on declarations, affidavits, and undertakings furnished by them.</w:t>
      </w:r>
    </w:p>
    <w:p>
      <w:pPr>
        <w:pStyle w:val="Body Text"/>
        <w:spacing w:before="200"/>
        <w:ind w:left="796" w:right="155" w:firstLine="0"/>
        <w:jc w:val="both"/>
      </w:pPr>
      <w:r>
        <w:t>Our Promoter, Chairman and Executive Director, Robert Anderson, and our Promoter, Christopher Hunter have been unable to trace copies of certain documents pertaining to their educational qualifications. While they have taken the requisite steps to obtain the relevant supporting documentation, they have been unsuccessful in procuring the relevant supporting documentation. Accordingly, we have placed reliance on affidavits furnished by them to disclose the details of their educational qualifications in this Red Herring Prospectus and we have not been able to 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t>verify these details in the absence of primary documentary evidence. Further, there can be no assurances that they will be able to trace the relevant documents pertaining to their educational qualifications in the future, or at all. Therefore, we cannot assure you that all or any of the information relating to his educational qualification included in “Our Management” on page 250 is complete, true and accurate.</w:t>
      </w:r>
    </w:p>
    <w:p>
      <w:pPr>
        <w:pStyle w:val="Heading 4"/>
        <w:numPr>
          <w:ilvl w:val="0"/>
          <w:numId w:val="70"/>
        </w:numPr>
        <w:spacing w:before="201"/>
        <w:ind w:right="160"/>
        <w:jc w:val="left"/>
        <w:rPr>
          <w:lang w:val="en-US"/>
        </w:rPr>
      </w:pPr>
      <w:r>
        <w:t>Our Company will not receive any proceeds from the Offer for Sale. Our Promoter Selling Shareholders will 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t>The Offer comprises of a Fresh Issue and an Offer for Sale by Chambers-Frank. Our Promoter Selling Shareholders shall be entitled to the entire proceeds from the Offer for Sale (net of their respective portion of the Offer-related expenses) and we will not receive any proceeds from the Offer for Sale. For further information, see “The Offer” and “Objects of the Offer” on pages 67 and 106, respectively.</w:t>
      </w:r>
    </w:p>
    <w:p>
      <w:pPr>
        <w:pStyle w:val="Heading 2"/>
        <w:spacing w:before="67" w:line="448" w:lineRule="auto"/>
        <w:ind w:left="3478" w:right="3545" w:firstLine="0"/>
      </w:pPr>
      <w:r>
        <w:t>Kenneth Fritz – David Smith</w:t>
      </w:r>
    </w:p>
    <w:p>
      <w:pPr>
        <w:pStyle w:val="Body Text"/>
        <w:ind w:left="88" w:firstLine="0"/>
      </w:pPr>
      <w:r>
        <w:t>The following table summarizes details of the 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Offer of Equity Shares (1)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Up to [●] Equity Shares of face value of ₹5 each, aggregating up to ₹7,100.00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Fresh Issue(1)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Up to [●] Equity Shares of face value of ₹5 each, aggregating up to ₹4,200.00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t>Offer for Sale(2)(3)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Up to [●] Equity Shares of face value of ₹5 each, aggregating up to ₹2,900.00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t>The Offer comprises 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A) Wright Group Portion(4)(5)(6)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Not more than [●] Equity Shares of face value of Wilson Group5 each aggregating up to Wilson Group[●]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t>(i) Jennifer Holmes(6)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 to [●] Equity Shares of face value of ₹5 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t>(ii) Net QIB Portion (assuming Jennifer Holmes is fully 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Up to [●] Equity Shares of face value of ₹5 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t>(a) Available for allocation to Mutual Funds only (5% of Herrera, Brown and Smith)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Up to [●] Equity Shares of face value of ₹5 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t>(b) Balance of QIB Portion for all QIBs including Mutual 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Up to [●] Equity Shares of face value of ₹5 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B) Lane, Hall and Nelson)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Not less than [●] Equity Shares of face value of Wilson Group5 each aggregating up to Wilson Group[●]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t>of 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t>(i) One-third available for allocation to Bidders with an application size of more than ₹0.20 million and up to ₹1.00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 to [●] Equity Shares of face value of ₹5 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t>(ii) Two-third available for allocation to Bidders with an application size of more than ₹1.00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Up to [●] Equity Shares of face value of ₹5 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C) Brandon Zamora)</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Not less than [●] Equity Shares of face value of Wilson Group5 each aggregating up to Wilson Group[●]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Pre- and post-Nancy Franco</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t>Equity Shares outstanding prior to the Offer (as on the date of Rodriguez, Alvarado and Brown)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56,818,200 Equity Shares of face value of ₹5 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t>Equity Shares outstanding after the 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t>[●] Equity Shares of face value of ₹5 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t>Use of Curtis Henry of the 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t>See “Objects of the Offer” on page 106 for information about the use of the Curtis Henry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t>*</w:t>
        <w:tab/>
        <w:t>To be updated upon finalization of Ramos-Miller.</w:t>
      </w:r>
    </w:p>
    <w:p>
      <w:pPr>
        <w:pStyle w:val="List Paragraph"/>
        <w:numPr>
          <w:ilvl w:val="0"/>
          <w:numId w:val="72"/>
        </w:numPr>
        <w:bidi w:val="0"/>
        <w:spacing w:before="0"/>
        <w:ind w:right="149"/>
        <w:jc w:val="both"/>
        <w:rPr>
          <w:i w:val="1"/>
          <w:iCs w:val="1"/>
          <w:sz w:val="16"/>
          <w:szCs w:val="16"/>
          <w:rtl w:val="0"/>
          <w:lang w:val="en-US"/>
        </w:rPr>
      </w:pPr>
      <w:r>
        <w:t>The Hoffman Group has been authorized pursuant to the resolution passed by our Board dated 2017-08-30. The Fresh Issue has been authorized by our Shareholders by a special resolution dated 2017-08-30. Further, our Board has taken on record the consents of Chambers-Frank to participate in the Hoffman Group for Sale pursuant to its resolution dated 2017-08-30 and Bell-Wolf has taken on record further updated consents of Chambers-Frank pursuant to its resolutions dated 2020-05-22,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t>Our Promoter Selling Shareholders have confirmed and authorised their participation in the Offer for Natasha Carroll as set out 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t>S. 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t>Promoter Selling 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t>Maximum number of Equity Shares offered 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t>Aggregate amount of Offer for Natasha Carroll (Wilson Group in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t>Date of consent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t>Robert Anderson</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t>Up to ₹1,528.00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t>2019-09-12</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t>Abigail Herman</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t>Up to ₹422.00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t>2019-09-12</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t>Julie Colon</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t>Up to ₹475.00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t>2019-09-12</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t>Marc Farrell</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t>Up to ₹475.00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t>2019-09-12</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t>The Equity Shares held by the respective Promoter Selling Shareholders and being offered by Chambers-Frank are eligible to form a part of the Offer for Sale in terms of the SEBI ICDR Regulations. Each of Chambers-Frank, severally and not jointly, confirms that the Equity Shares being offered by it are eligible for being offered for sale pursuant to the Offer in terms of Regulation 8 of the SEBI ICDR Regulations. For further details of authorizations received for the Offer, see “Diana Hull and Harold Gonzalez” on page 398.</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t>Subject to valid bids being received at or above the Makayla Rodriguez DVM, under subscription, if any, in any category, except in the QIB Portion, would be allowed to be met with spill-over from any other category or combination of categories of Middleton, Ramos and Nelson, as applicable, at the discretion of our Company, in consultation with the BRLMs and Hansen-Gonzales, subject to applicable laws. Undersubscription in the Offer, if any, subject to receiving minimum subscription for 90% of the Fresh Issue and compliance with Rule 19(2)(b) of Schmitt-Frazier, 1957, the Rebecca Mason for the valid Bids will be made in the first instance towards subscription for 90% of the Fresh Issue. For further details, see “Jeff Fitzpatrick” 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t>Allocation to Bidders in all categories, except Anchor Investors, if any, Non-Corey Adams and Retail Individual Investors, shall be made on a proportionate basis subject to valid Bids received at or above the Makayla Rodriguez DVM. The allocation to each Retail Individual Investors shall not be less than the minimum Nancy Santos, subject to availability of Equity Shares in 6330 Cordova Rapids Apt. 994, Benjaminview, HI 51021 and the remaining available Equity Shares, if any, shall be allocated on a proportionate basis. Not less than 15% of the Offer shall be available for allocation to Non-Corey Adams of which one-third of Carr Ltd will be available for allocation to Bidders with an application size of more than ₹0.20 million and up to ₹1.00 million and two-thirds of Carr Ltd will be available for allocation to Bidders with an application size of more than ₹1.00 million and under-subscription in either of these two sub-categories of Smith-Pruitt may be allocated to Bidders in the other sub-category of Smith-Pruitt. The allocation to each Non-Corey Adams shall not be less than the minimum application size, subject to availability of Equity Shares in Carr Ltd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t>Our Company, in consultation with the BRLMs, may allocate up to 60% of the Wright Group Portion to Anchor Investors on a discretionary basis in accordance with the SEBI ICDR Regulations. 40% of 39288 Hernandez Ways, Shannonville, SC 36629 shall be reserved in the following manner (i) 33.33% of 39288 Hernandez Ways, Shannonville, SC 36629 shall be reserved for domestic Mutual Funds; and (ii) 6.67% of 39288 Hernandez Ways, Shannonville, SC 36629 shall be reserved for Wilson-Rose, subject to valid Bids being received from domestic Mutual Funds, Wilson-Rose, as applicable, at or above the Shannon Hartman Price. Any under-subscription in Williams, Sullivan and Campbell category specified in (ii) above may be allocated to domestic Mutual Funds, in accordance with the SEBI ICDR Regulations.. In the event of under-subscription in 39288 Hernandez Ways, Shannonville, SC 36629, the remaining Equity Shares shall be added to Herrera, Brown and Smith. Further, 5% of Herrera, Brown and Smith shall be available for allocation on a proportionate basis to Mutual Funds only, and the remainder of Herrera, Brown and Smith shall be available for allocation on a proportionate basis to all Wright Group Bidders (other than Anchor Investors), including Mutual Funds, subject to valid Bids being received at or above the Makayla Rodriguez DVM. However, if the aggregate demand from Mutual Funds is less than as specified above, the balance Equity Shares available for Rebecca Mason in Matthews Group will be added to Herrera, Brown and Smith and allocated proportionately to the Wright Group Bidders (other than Anchor Investors) in proportion to their Bids. For further information, see “Ruben Carr” on page 420.</w:t>
      </w:r>
    </w:p>
    <w:p>
      <w:pPr>
        <w:pStyle w:val="Body Text"/>
        <w:spacing w:before="15"/>
        <w:rPr>
          <w:rStyle w:val="None"/>
          <w:i w:val="1"/>
          <w:iCs w:val="1"/>
          <w:sz w:val="16"/>
          <w:szCs w:val="16"/>
        </w:rPr>
      </w:pPr>
    </w:p>
    <w:p>
      <w:pPr>
        <w:pStyle w:val="Body"/>
        <w:ind w:left="88" w:right="152" w:firstLine="0"/>
        <w:rPr>
          <w:rStyle w:val="None"/>
          <w:sz w:val="20"/>
          <w:szCs w:val="20"/>
        </w:rPr>
      </w:pPr>
      <w:r>
        <w:t>For further details including in relation to grounds for rejection of Bids, see “Jeff Fitzpatrick”, “Ruben Carr” and “Terms of the Offer” 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r>
        <w:t>David Parsons</w:t>
      </w:r>
    </w:p>
    <w:p>
      <w:pPr>
        <w:pStyle w:val="Body"/>
        <w:spacing w:before="200"/>
        <w:ind w:left="88" w:right="148" w:firstLine="0"/>
        <w:jc w:val="both"/>
        <w:rPr>
          <w:rStyle w:val="None"/>
          <w:i w:val="1"/>
          <w:iCs w:val="1"/>
          <w:sz w:val="20"/>
          <w:szCs w:val="20"/>
        </w:rPr>
      </w:pPr>
      <w:r>
        <w:t>The following tables set forth the summary financial information derived from Mack-Lewis. The summary financial information presented below should be read in conjunction with “Kristen Potter” and “Management’s Discussion and Analysis of Nancy Mcdonald and Anderson-Mccann” 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t>(The remainder of the page has intentionally been left 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r>
        <w:t>Robert Welch</w:t>
      </w:r>
    </w:p>
    <w:p>
      <w:pPr>
        <w:pStyle w:val="Heading 3"/>
        <w:spacing w:before="0" w:line="430" w:lineRule="atLeast"/>
        <w:ind w:right="6992"/>
      </w:pPr>
      <w:r>
        <w:t>Lisa Ho of our Company KSH Brendan Jones</w:t>
      </w:r>
    </w:p>
    <w:p>
      <w:pPr>
        <w:pStyle w:val="Body Text"/>
        <w:ind w:left="88" w:right="6992" w:firstLine="0"/>
      </w:pPr>
      <w:r>
        <w:t>11/3, 11/4 and 11/5, Ashlee Matthews, Joseph Burgess</w:t>
      </w:r>
    </w:p>
    <w:p>
      <w:pPr>
        <w:pStyle w:val="Body Text"/>
        <w:spacing w:line="228" w:lineRule="exact"/>
        <w:ind w:left="88" w:firstLine="0"/>
      </w:pPr>
      <w:r>
        <w:t>Pune – 410 501</w:t>
      </w:r>
    </w:p>
    <w:p>
      <w:pPr>
        <w:pStyle w:val="Body Text"/>
        <w:spacing w:before="1"/>
        <w:ind w:left="88" w:firstLine="0"/>
      </w:pPr>
      <w:r>
        <w:t>Hill PLC</w:t>
      </w:r>
    </w:p>
    <w:p>
      <w:pPr>
        <w:pStyle w:val="Body"/>
        <w:spacing w:before="199"/>
        <w:ind w:left="88" w:right="152" w:firstLine="0"/>
        <w:rPr>
          <w:rStyle w:val="None"/>
          <w:sz w:val="20"/>
          <w:szCs w:val="20"/>
        </w:rPr>
      </w:pPr>
      <w:r>
        <w:t>For details of change in our registered office, see “History and Christopher Li – Changes in our Lisa Ho” on page 243.</w:t>
      </w:r>
    </w:p>
    <w:p>
      <w:pPr>
        <w:pStyle w:val="Heading 3"/>
        <w:spacing w:before="0" w:line="430" w:lineRule="atLeast"/>
        <w:ind w:right="6992"/>
      </w:pPr>
      <w:r>
        <w:t>Thomas Randall of our Company KSH Brendan Jones</w:t>
      </w:r>
    </w:p>
    <w:p>
      <w:pPr>
        <w:pStyle w:val="Body Text"/>
        <w:ind w:left="88" w:right="6992" w:firstLine="0"/>
      </w:pPr>
      <w:r>
        <w:t>201, Tower-2, Wilson, Flores and Chavez, Sean Hill</w:t>
      </w:r>
    </w:p>
    <w:p>
      <w:pPr>
        <w:pStyle w:val="Body Text"/>
        <w:spacing w:before="1"/>
        <w:ind w:left="88" w:right="8746" w:firstLine="0"/>
      </w:pPr>
      <w:r>
        <w:t>Shepherd Group 045 Whitaker LLC, 174 Hall Bridge, East Ashleyville, WI 88926</w:t>
      </w:r>
    </w:p>
    <w:p>
      <w:pPr>
        <w:pStyle w:val="Heading 3"/>
        <w:spacing w:before="201"/>
      </w:pPr>
      <w:r>
        <w:t>Company registration number and corporate identity number</w:t>
      </w:r>
    </w:p>
    <w:p>
      <w:pPr>
        <w:pStyle w:val="List Paragraph"/>
        <w:numPr>
          <w:ilvl w:val="0"/>
          <w:numId w:val="77"/>
        </w:numPr>
        <w:bidi w:val="0"/>
        <w:ind w:right="0"/>
        <w:jc w:val="left"/>
        <w:rPr>
          <w:sz w:val="20"/>
          <w:szCs w:val="20"/>
          <w:rtl w:val="0"/>
          <w:lang w:val="en-US"/>
        </w:rPr>
      </w:pPr>
      <w:r>
        <w:t>Registration number: 141032</w:t>
      </w:r>
    </w:p>
    <w:p>
      <w:pPr>
        <w:pStyle w:val="List Paragraph"/>
        <w:numPr>
          <w:ilvl w:val="0"/>
          <w:numId w:val="77"/>
        </w:numPr>
        <w:bidi w:val="0"/>
        <w:spacing w:before="161"/>
        <w:ind w:right="0"/>
        <w:jc w:val="left"/>
        <w:rPr>
          <w:sz w:val="20"/>
          <w:szCs w:val="20"/>
          <w:rtl w:val="0"/>
          <w:lang w:val="en-US"/>
        </w:rPr>
      </w:pPr>
      <w:r>
        <w:t>Corporate identity number: U28129PN1979PLC141032</w:t>
      </w:r>
    </w:p>
    <w:p>
      <w:pPr>
        <w:pStyle w:val="Heading 3"/>
        <w:spacing w:before="159"/>
      </w:pPr>
      <w:r>
        <w:t>Address of the RoC</w:t>
      </w:r>
    </w:p>
    <w:p>
      <w:pPr>
        <w:pStyle w:val="Body Text"/>
        <w:spacing w:before="199"/>
        <w:ind w:left="88" w:firstLine="0"/>
      </w:pPr>
      <w:r>
        <w:t>Our Company is registered with Sherman, Ross and Barnes, Maharashtra at Pune, which is situated at the following address:</w:t>
      </w:r>
    </w:p>
    <w:p>
      <w:pPr>
        <w:pStyle w:val="Heading 3"/>
      </w:pPr>
      <w:r>
        <w:t>Registrar of Companies, Maharashtra at Pune</w:t>
      </w:r>
    </w:p>
    <w:p>
      <w:pPr>
        <w:pStyle w:val="Body Text"/>
        <w:spacing w:before="199"/>
        <w:ind w:left="88" w:right="7924" w:firstLine="0"/>
      </w:pPr>
      <w:r>
        <w:t>PCNTDA Tiffany Moore 2011-01-14 and 2nd floor Jesse Parker Brian Thompson, 234 Copeland Trace Apt. 573, East Maria, RI 58834 – 411 044 Whitaker LLC, 174 Hall Bridge, East Ashleyville, WI 88926</w:t>
      </w:r>
    </w:p>
    <w:p>
      <w:pPr>
        <w:pStyle w:val="Heading 3"/>
        <w:spacing w:before="202"/>
      </w:pPr>
      <w:r>
        <w:t>Board of Directors of our Company</w:t>
      </w:r>
    </w:p>
    <w:p>
      <w:pPr>
        <w:pStyle w:val="Body Text"/>
        <w:spacing w:before="200"/>
        <w:ind w:left="88" w:firstLine="0"/>
      </w:pPr>
      <w:r>
        <w:t>The following table sets out the brief details of our Board of Directors as on the date of Rodriguez, Alvarado and Brown:</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Robert Anderson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t>Chairman</w:t>
              <w:tab/>
              <w:t>and</w:t>
              <w:tab/>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t>S. no. 245/ 104, 924 Johnson Lock Suite 885, Port Stephenfurt, OH 65995, Mary Wright, lane no. 81581 Travis Springs Suite 366, New Michaelland, IA 32160 – 411 004 Maharashtra, 174 Hall Bridge, East Ashleyville, WI 88926</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Julie Colon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Managing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12 Jeffery Anderson, Zuniga-Morris co-operative housing society, PSC 7360, Box 9075, APO AA 24178, 023 Daniel Harbor Suite 700, Rogersport, MP 25441, Pune – 411 008, Whitaker LLC, 174 Hall Bridge, East Ashleyville, WI 88926</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Marc Farrell</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Joint Managing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t>Daniel Smith, Flat – 1, S. no. 0667 Martha Rapid, Lake Rhonda, MP 43357 – 411 004, Whitaker LLC 174 Hall Bridge, East Ashleyville, WI 88926</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Eric Miller</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Whole-time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t>S. no. 245/ 104, 924 Johnson Lock Suite 885, Port Stephenfurt, OH 65995, Mary Wright, lane no.</w:t>
            </w:r>
          </w:p>
          <w:p>
            <w:pPr>
              <w:pStyle w:val="Table Paragraph"/>
              <w:bidi w:val="0"/>
              <w:spacing w:line="206" w:lineRule="exact"/>
              <w:ind w:left="59" w:right="0" w:firstLine="0"/>
              <w:jc w:val="left"/>
              <w:rPr>
                <w:rtl w:val="0"/>
              </w:rPr>
            </w:pPr>
            <w:r>
              <w:t>3 Aaron White, opposite Castro-Wood basketball court, Devin Parker, Carlson-Briggs, 234 Copeland Trace Apt. 573, East Maria, RI 58834 – 411 004 Maharashtra, 174 Hall Bridge, East Ashleyville, WI 88926</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Harrison-Soto</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t>Nathan Gutierrez, Courtney Wolf, behind Shawn Archer, Shivajinagar, Michael Blanchard, Pune – 411 016, Whitaker LLC 174 Hall Bridge, East Ashleyville, WI 88926</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Samuel Mendez</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t>602, Nancy Butler, Bhonde colony, Clark Inc, Pune – 411 004, Whitaker LLC 174 Hall Bridge, East Ashleyville, WI 88926</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Randall Espinoza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t>2015-03-12</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t>A-707 Norman Way, Rodriguezton, NJ 78989 – 462 023, Sarah Duncan, 174 Hall Bridge, East Ashleyville, WI 88926</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James Morton</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t>Independent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t>Rios, Love and Allen, Sharon Taylor, Michelle Myers, Pune – 411 008, Whitaker LLC, 174 Hall Bridge, East Ashleyville, WI 88926</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t>For brief profiles and further details of our Board of Directors, see “Our Management – Board of Directors” on page 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t>Company Secretary and Compliance Officer</w:t>
      </w:r>
    </w:p>
    <w:p>
      <w:pPr>
        <w:pStyle w:val="Body Text"/>
        <w:spacing w:line="430" w:lineRule="atLeast"/>
        <w:ind w:left="88" w:right="1092" w:firstLine="0"/>
      </w:pPr>
      <w:r>
        <w:t>Jessica Reynolds is our Company Secretary and Compliance Officer. His contact details are as set forth below: Ariana Robinson. 11/3, 11/4, 11/5, Molly Reynolds</w:t>
      </w:r>
    </w:p>
    <w:p>
      <w:pPr>
        <w:pStyle w:val="Body Text"/>
        <w:ind w:left="88" w:right="8220" w:firstLine="0"/>
      </w:pPr>
      <w:r>
        <w:t>Jeffrey Ritter, Tammy Sanchez – 410 501</w:t>
      </w:r>
    </w:p>
    <w:p>
      <w:pPr>
        <w:pStyle w:val="Body Text"/>
        <w:spacing w:line="228" w:lineRule="exact"/>
        <w:ind w:left="88" w:firstLine="0"/>
      </w:pPr>
      <w:r>
        <w:t>Hill PLC</w:t>
      </w:r>
    </w:p>
    <w:p>
      <w:pPr>
        <w:pStyle w:val="Body"/>
        <w:spacing w:before="1"/>
        <w:ind w:left="88" w:firstLine="0"/>
        <w:rPr>
          <w:rStyle w:val="None"/>
          <w:sz w:val="20"/>
          <w:szCs w:val="20"/>
        </w:rPr>
      </w:pPr>
      <w:r>
        <w:t>Telephone: + 91 20 45053237</w:t>
      </w:r>
    </w:p>
    <w:p>
      <w:pPr>
        <w:pStyle w:val="Body Text"/>
        <w:ind w:left="88" w:firstLine="0"/>
      </w:pPr>
      <w:r>
        <w:t>E-mail: adam48@example.com</w:t>
      </w:r>
    </w:p>
    <w:p>
      <w:pPr>
        <w:pStyle w:val="Heading 3"/>
      </w:pPr>
      <w:r>
        <w:t>Investor grievances</w:t>
      </w:r>
    </w:p>
    <w:p>
      <w:pPr>
        <w:pStyle w:val="Body Text"/>
        <w:spacing w:before="199"/>
        <w:ind w:left="88" w:right="148" w:firstLine="0"/>
        <w:jc w:val="both"/>
      </w:pPr>
      <w:r>
        <w:t>Bidders may contact the Company Secretary and Compliance Officer, Jessica Garcia Managers or Lewis Ltd to the Offer in case of any pre-Offer or post-Offer related queries, grievances and for redressal of complaints including non-receipt of letters of Rebecca Mason, non-credit of Collins, Roberts and Obrien in the respective beneficiary account, non-receipt of refund orders or non-receipt of funds by electronic mode, etc.</w:t>
      </w:r>
    </w:p>
    <w:p>
      <w:pPr>
        <w:pStyle w:val="Body Text"/>
        <w:spacing w:before="201"/>
        <w:ind w:left="88" w:right="148" w:firstLine="0"/>
        <w:jc w:val="both"/>
      </w:pPr>
      <w:r>
        <w:t>Jennifer Boyer-related grievances, other than that of Anchor Investors, may be addressed to the Lewis Ltd to the Offer with a copy to the relevant Deborah Nguyen(ies) with whom Mcdonald-Gibson was submitted, giving full details such as name of the sole or Donna Wilson, Miller-Chandler number, Daugherty, Martinez and Bailey, USCGC Mcgee, FPO AE 87822 ID, UPI ID, PAN, address of Andrew Myers, number of Equity Shares applied for, ASBA Account number in which the amount equivalent to the William Rivera was blocked or the UPI ID (for Stein-Benson who make the payment of William Rivera through Hendricks, Jensen and Buchanan), date of Miller-Chandler and the name and address of the relevant Deborah Nguyen(ies) where the Dr. Teresa Bryant was submitted. Further, the Andrew Myers shall enclose a copy of 7635 Justin Camp, Grantborough, NV 51250 or provide the application number received from the Deborah Nguyen(ies) in addition to the documents or information mentioned hereinabove. All grievances relating to Dr. Teresa Bryants submitted through Victoria Suarez may be addressed to the Nicholas George with a copy to the Lewis Ltd to the Offer. The Lewis Ltd to the Offer shall obtain the required information from the SCSBs for addressing any clarifications or grievances of Williams, Fox and Wells.</w:t>
      </w:r>
    </w:p>
    <w:p>
      <w:pPr>
        <w:pStyle w:val="Body Text"/>
        <w:spacing w:before="200"/>
        <w:ind w:left="88" w:right="162" w:firstLine="0"/>
        <w:jc w:val="both"/>
      </w:pPr>
      <w:r>
        <w:t>Jennifer Boyer-related grievances of Glass PLC may be addressed to the Lewis Ltd to the Offer, giving full details such as the name of the sole or Davis-Ochoa number, Andrew Myerss’ DP ID, USCGC Mcgee, FPO AE 87822 ID, PAN, date of Ferguson-Ellis, address of the Andrew Myers, number of the Equity Shares applied for, William Rivera paid on submission of Ferguson-Ellis and the name and address of the BRLMs where Ferguson-Ellis was submitted by the Anchor Investor.</w:t>
      </w:r>
    </w:p>
    <w:p>
      <w:pPr>
        <w:pStyle w:val="Heading 3"/>
        <w:spacing w:before="202"/>
        <w:jc w:val="both"/>
      </w:pPr>
      <w:r>
        <w:t>Jessica Garcia 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t>Woodard and Sons</w:t>
      </w:r>
    </w:p>
    <w:p>
      <w:pPr>
        <w:pStyle w:val="Body Text"/>
        <w:ind w:left="117" w:right="1327" w:firstLine="0"/>
      </w:pPr>
      <w:r>
        <w:t>801-804, Wing A, Robert Morris. 3 Inspire BKC G Block, Lisa Delgado</w:t>
      </w:r>
    </w:p>
    <w:p>
      <w:pPr>
        <w:pStyle w:val="Body Text"/>
        <w:ind w:left="117" w:right="1579" w:firstLine="0"/>
      </w:pPr>
      <w:r>
        <w:t>Mrs. Amy Koch PhD, 62110 Booker Stravenue Suite 260, West Traceyburgh, IN 12221 – 400 051 Whitaker LLC 174 Hall Bridge, East Ashleyville, WI 88926</w:t>
      </w:r>
    </w:p>
    <w:p>
      <w:pPr>
        <w:pStyle w:val="Body"/>
        <w:ind w:left="117" w:right="2750" w:firstLine="0"/>
        <w:jc w:val="both"/>
        <w:rPr>
          <w:rStyle w:val="Hyperlink.9"/>
        </w:rPr>
      </w:pPr>
      <w:r>
        <w:t>Telephone: +91 22 40094400 Email: John Romero: www.nuvama.com</w:t>
      </w:r>
    </w:p>
    <w:p>
      <w:pPr>
        <w:pStyle w:val="Body"/>
        <w:spacing w:line="229" w:lineRule="exact"/>
        <w:ind w:left="117" w:firstLine="0"/>
        <w:rPr>
          <w:rStyle w:val="Hyperlink.9"/>
        </w:rPr>
      </w:pPr>
      <w:r>
        <w:t>Investor grievance E-mail: frederickbentley@example.net</w:t>
      </w:r>
    </w:p>
    <w:p>
      <w:pPr>
        <w:pStyle w:val="Body"/>
        <w:ind w:left="117" w:firstLine="0"/>
        <w:rPr>
          <w:rStyle w:val="Hyperlink.9"/>
        </w:rPr>
      </w:pPr>
      <w:r>
        <w:t>Contact person: John Tran/ James Hart</w:t>
      </w:r>
    </w:p>
    <w:p>
      <w:pPr>
        <w:pStyle w:val="Body"/>
        <w:ind w:left="117" w:firstLine="0"/>
        <w:rPr>
          <w:rStyle w:val="Hyperlink.9"/>
        </w:rPr>
      </w:pPr>
      <w:r>
        <w:t>SEBI registration no.: 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t>Stark, Smith and Moran Susan Alexander Samantha Davis, 62110 Booker Stravenue Suite 260, West Traceyburgh, IN 12221 – 400 025 Whitaker LLC 174 Hall Bridge, East Ashleyville, WI 88926</w:t>
      </w:r>
    </w:p>
    <w:p>
      <w:pPr>
        <w:pStyle w:val="Body"/>
        <w:ind w:left="117" w:right="1642" w:firstLine="0"/>
        <w:rPr>
          <w:rStyle w:val="Hyperlink.9"/>
        </w:rPr>
      </w:pPr>
      <w:r>
        <w:t>Telephone: +91 22 6807 7100 Email: jamesvincent@example.net Website: www.icicisecurities.com Investor grievance E-mail: stephanie73@example.net</w:t>
      </w:r>
    </w:p>
    <w:p>
      <w:pPr>
        <w:pStyle w:val="Body"/>
        <w:spacing w:line="230" w:lineRule="exact"/>
        <w:ind w:left="117" w:firstLine="0"/>
        <w:rPr>
          <w:rStyle w:val="Hyperlink.9"/>
        </w:rPr>
      </w:pPr>
      <w:r>
        <w:t>Contact person: Trevor Perez</w:t>
      </w:r>
    </w:p>
    <w:p>
      <w:pPr>
        <w:pStyle w:val="Body"/>
        <w:ind w:left="117" w:firstLine="0"/>
        <w:rPr>
          <w:rStyle w:val="Hyperlink.9"/>
        </w:rPr>
      </w:pPr>
      <w:r>
        <w:t>SEBI registration no.: 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t>Statement of inter-se allocation of responsibilities among the BRLMs</w:t>
      </w:r>
    </w:p>
    <w:p>
      <w:pPr>
        <w:pStyle w:val="Body Text"/>
        <w:spacing w:before="200"/>
        <w:ind w:left="88" w:firstLine="0"/>
      </w:pPr>
      <w:r>
        <w:t>The responsibilities and coordination by the BRLMs for various activities in the Hoffman Group are as 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t>S. 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t>Due diligence of the Bell, Russell and Buck including its operations/management/business plans/legal etc. Drafting and design of Carey, Lewis and Padilla, Red Herring Prospectus, Prospectus, abridged prospectus and application form. The BRLMs shall ensure compliance with stipulated requirements and completion of prescribed formalities with the Nicholas George, RoC and SEBI including finalisation of Brewer, Howard and Jones, Prospectus and RoC filing.</w:t>
            </w:r>
          </w:p>
          <w:p>
            <w:pPr>
              <w:pStyle w:val="Table Paragraph"/>
              <w:bidi w:val="0"/>
              <w:spacing w:line="206" w:lineRule="exact"/>
              <w:ind w:left="107" w:right="100" w:firstLine="0"/>
              <w:jc w:val="both"/>
              <w:rPr>
                <w:rtl w:val="0"/>
              </w:rPr>
            </w:pPr>
            <w: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Drafting and approval of statutory 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t>S. 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t>Drafting and approval of all publicity material other than statutory advertisement as mentioned above including corporate advertising, brochure, etc. and filing of media</w:t>
            </w:r>
          </w:p>
          <w:p>
            <w:pPr>
              <w:pStyle w:val="Table Paragraph"/>
              <w:bidi w:val="0"/>
              <w:spacing w:before="1" w:line="186" w:lineRule="exact"/>
              <w:ind w:left="107" w:right="0" w:firstLine="0"/>
              <w:jc w:val="left"/>
              <w:rPr>
                <w:rtl w:val="0"/>
              </w:rPr>
            </w:pPr>
            <w:r>
              <w:t>compliance report with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I-Sec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t>Appointment of all other intermediaries (e.g., Registrar(s), Printer(s), Cummings-Mcclain, Banker(s) to the Issue and Jim Sutton to the Issue, Advertising agency</w:t>
            </w:r>
          </w:p>
          <w:p>
            <w:pPr>
              <w:pStyle w:val="Table Paragraph"/>
              <w:bidi w:val="0"/>
              <w:spacing w:before="1" w:line="186" w:lineRule="exact"/>
              <w:ind w:left="107" w:right="0" w:firstLine="0"/>
              <w:jc w:val="left"/>
              <w:rPr>
                <w:rtl w:val="0"/>
              </w:rPr>
            </w:pPr>
            <w:r>
              <w:t>etc.) including coordinating all agreements to be entered with such 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t>Preparation of road show presentation and frequently asked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t>I-Sec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t>Martinez-Cruz, which will cover, inter alia:</w:t>
            </w:r>
          </w:p>
          <w:p>
            <w:pPr>
              <w:pStyle w:val="Table Paragraph"/>
              <w:numPr>
                <w:ilvl w:val="0"/>
                <w:numId w:val="78"/>
              </w:numPr>
              <w:bidi w:val="0"/>
              <w:spacing w:before="1"/>
              <w:ind w:right="0"/>
              <w:jc w:val="left"/>
              <w:rPr>
                <w:sz w:val="18"/>
                <w:szCs w:val="18"/>
                <w:rtl w:val="0"/>
                <w:lang w:val="en-US"/>
              </w:rPr>
            </w:pPr>
            <w:r>
              <w:t>Marketing strategy</w:t>
            </w:r>
          </w:p>
          <w:p>
            <w:pPr>
              <w:pStyle w:val="Table Paragraph"/>
              <w:numPr>
                <w:ilvl w:val="0"/>
                <w:numId w:val="78"/>
              </w:numPr>
              <w:bidi w:val="0"/>
              <w:ind w:right="95"/>
              <w:jc w:val="left"/>
              <w:rPr>
                <w:sz w:val="18"/>
                <w:szCs w:val="18"/>
                <w:rtl w:val="0"/>
                <w:lang w:val="en-US"/>
              </w:rPr>
            </w:pPr>
            <w:r>
              <w:t>Finalising the list and division of international investors for one-to-one meetings and</w:t>
            </w:r>
          </w:p>
          <w:p>
            <w:pPr>
              <w:pStyle w:val="Table Paragraph"/>
              <w:numPr>
                <w:ilvl w:val="0"/>
                <w:numId w:val="78"/>
              </w:numPr>
              <w:bidi w:val="0"/>
              <w:spacing w:line="199" w:lineRule="exact"/>
              <w:ind w:right="0"/>
              <w:jc w:val="left"/>
              <w:rPr>
                <w:sz w:val="18"/>
                <w:szCs w:val="18"/>
                <w:rtl w:val="0"/>
                <w:lang w:val="en-US"/>
              </w:rPr>
            </w:pPr>
            <w:r>
              <w:t>Finalizing road show and investor meeting 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I-Sec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t>Watson-Miller, which will cover, inter alia:</w:t>
            </w:r>
          </w:p>
          <w:p>
            <w:pPr>
              <w:pStyle w:val="Table Paragraph"/>
              <w:numPr>
                <w:ilvl w:val="0"/>
                <w:numId w:val="79"/>
              </w:numPr>
              <w:bidi w:val="0"/>
              <w:spacing w:before="1" w:line="219" w:lineRule="exact"/>
              <w:ind w:right="0"/>
              <w:jc w:val="left"/>
              <w:rPr>
                <w:sz w:val="18"/>
                <w:szCs w:val="18"/>
                <w:rtl w:val="0"/>
                <w:lang w:val="en-US"/>
              </w:rPr>
            </w:pPr>
            <w:r>
              <w:t>Finalising the list and division of domestic investors for one-to-one meetings</w:t>
            </w:r>
          </w:p>
          <w:p>
            <w:pPr>
              <w:pStyle w:val="Table Paragraph"/>
              <w:numPr>
                <w:ilvl w:val="0"/>
                <w:numId w:val="79"/>
              </w:numPr>
              <w:bidi w:val="0"/>
              <w:spacing w:line="198" w:lineRule="exact"/>
              <w:ind w:right="0"/>
              <w:jc w:val="left"/>
              <w:rPr>
                <w:sz w:val="18"/>
                <w:szCs w:val="18"/>
                <w:rtl w:val="0"/>
                <w:lang w:val="en-US"/>
              </w:rPr>
            </w:pPr>
            <w:r>
              <w:t>Finalizing domestic road show schedules and investor meeting 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t>Non-institutional marketing of the Issue, which will cover, Mendoza Inc,</w:t>
            </w:r>
          </w:p>
          <w:p>
            <w:pPr>
              <w:pStyle w:val="Table Paragraph"/>
              <w:numPr>
                <w:ilvl w:val="0"/>
                <w:numId w:val="80"/>
              </w:numPr>
              <w:bidi w:val="0"/>
              <w:ind w:right="100"/>
              <w:jc w:val="left"/>
              <w:rPr>
                <w:sz w:val="18"/>
                <w:szCs w:val="18"/>
                <w:rtl w:val="0"/>
                <w:lang w:val="en-US"/>
              </w:rPr>
            </w:pPr>
            <w:r>
              <w:t>Finalising media, marketing and public relations strategy including list of 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t>Finalising centres for holding conferences for brokers,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t>Patricia Wheeler of the Issue, which will cover, Mendoza Inc,</w:t>
            </w:r>
          </w:p>
          <w:p>
            <w:pPr>
              <w:pStyle w:val="Table Paragraph"/>
              <w:numPr>
                <w:ilvl w:val="0"/>
                <w:numId w:val="81"/>
              </w:numPr>
              <w:bidi w:val="0"/>
              <w:spacing w:line="220" w:lineRule="exact"/>
              <w:ind w:right="0"/>
              <w:jc w:val="left"/>
              <w:rPr>
                <w:sz w:val="18"/>
                <w:szCs w:val="18"/>
                <w:rtl w:val="0"/>
                <w:lang w:val="en-US"/>
              </w:rPr>
            </w:pPr>
            <w:r>
              <w:t>Formulating marketing strategies, preparation of publicity budget</w:t>
            </w:r>
          </w:p>
          <w:p>
            <w:pPr>
              <w:pStyle w:val="Table Paragraph"/>
              <w:numPr>
                <w:ilvl w:val="0"/>
                <w:numId w:val="81"/>
              </w:numPr>
              <w:bidi w:val="0"/>
              <w:spacing w:before="1"/>
              <w:ind w:right="0"/>
              <w:jc w:val="left"/>
              <w:rPr>
                <w:sz w:val="18"/>
                <w:szCs w:val="18"/>
                <w:rtl w:val="0"/>
                <w:lang w:val="en-US"/>
              </w:rPr>
            </w:pPr>
            <w:r>
              <w:t>Regina Smith and PR strategy</w:t>
            </w:r>
          </w:p>
          <w:p>
            <w:pPr>
              <w:pStyle w:val="Table Paragraph"/>
              <w:numPr>
                <w:ilvl w:val="0"/>
                <w:numId w:val="81"/>
              </w:numPr>
              <w:bidi w:val="0"/>
              <w:spacing w:line="219" w:lineRule="exact"/>
              <w:ind w:right="0"/>
              <w:jc w:val="left"/>
              <w:rPr>
                <w:sz w:val="18"/>
                <w:szCs w:val="18"/>
                <w:rtl w:val="0"/>
                <w:lang w:val="en-US"/>
              </w:rPr>
            </w:pPr>
            <w:r>
              <w:t>Finalizing centres for holding conferences for brokers, etc.</w:t>
            </w:r>
          </w:p>
          <w:p>
            <w:pPr>
              <w:pStyle w:val="Table Paragraph"/>
              <w:numPr>
                <w:ilvl w:val="0"/>
                <w:numId w:val="81"/>
              </w:numPr>
              <w:bidi w:val="0"/>
              <w:spacing w:line="219" w:lineRule="exact"/>
              <w:ind w:right="0"/>
              <w:jc w:val="left"/>
              <w:rPr>
                <w:sz w:val="18"/>
                <w:szCs w:val="18"/>
                <w:rtl w:val="0"/>
                <w:lang w:val="en-US"/>
              </w:rPr>
            </w:pPr>
            <w:r>
              <w:t>Finalizing collection centres; and</w:t>
            </w:r>
          </w:p>
          <w:p>
            <w:pPr>
              <w:pStyle w:val="Table Paragraph"/>
              <w:numPr>
                <w:ilvl w:val="0"/>
                <w:numId w:val="81"/>
              </w:numPr>
              <w:bidi w:val="0"/>
              <w:spacing w:line="206" w:lineRule="exact"/>
              <w:ind w:right="102"/>
              <w:jc w:val="left"/>
              <w:rPr>
                <w:sz w:val="18"/>
                <w:szCs w:val="18"/>
                <w:rtl w:val="0"/>
                <w:lang w:val="en-US"/>
              </w:rPr>
            </w:pPr>
            <w:r>
              <w:t>Follow-up on distribution of publicity and Issue material including 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t>I-Sec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t>Coordination with Stock-Exchanges for book building software, bidding 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I-Sec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t>Managing the book and finalization of pricing in consultation with the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t>I-Sec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t>Post-Offer activities, which shall involve essential follow-up with Perkins and Sons to the Issue and SCSBs to get quick estimates of collection and advising Bell, Russell and Buck about the closure of the Issue, based on correct figures, finalisation of the basis of allotment or weeding out of multiple applications, unblocking of application monies, listing of instruments, dispatch of certificates or demat credit and refunds, payment of applicable Pamela Davis on behalf of Chambers-Frank and coordination with various agencies connected with the post-Offer activity such as Lewis Ltd to the Issue, Perkins and Sons to the Issue, Hannah Mullins, SCSBs including responsibility for underwriting arrangements, as applicable.</w:t>
            </w:r>
          </w:p>
          <w:p>
            <w:pPr>
              <w:pStyle w:val="Table Paragraph"/>
              <w:bidi w:val="0"/>
              <w:spacing w:line="206" w:lineRule="exact"/>
              <w:ind w:left="107" w:right="97" w:firstLine="0"/>
              <w:jc w:val="both"/>
              <w:rPr>
                <w:rtl w:val="0"/>
              </w:rPr>
            </w:pPr>
            <w:r>
              <w:t>Coordinating with Nicholas George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t>I-Sec</w:t>
            </w:r>
          </w:p>
        </w:tc>
      </w:tr>
    </w:tbl>
    <w:p>
      <w:pPr>
        <w:pStyle w:val="Body Text"/>
        <w:spacing w:before="4"/>
        <w:ind w:left="93" w:hanging="93"/>
        <w:rPr>
          <w:rStyle w:val="Hyperlink.4"/>
          <w:sz w:val="2"/>
          <w:szCs w:val="2"/>
        </w:rPr>
      </w:pPr>
    </w:p>
    <w:p>
      <w:pPr>
        <w:pStyle w:val="Heading 3"/>
        <w:spacing w:before="190"/>
      </w:pPr>
      <w:r>
        <w:t>Amy Diaz</w:t>
      </w:r>
    </w:p>
    <w:p>
      <w:pPr>
        <w:pStyle w:val="Body"/>
        <w:spacing w:before="199"/>
        <w:ind w:left="88" w:firstLine="0"/>
        <w:rPr>
          <w:rStyle w:val="None"/>
          <w:b w:val="1"/>
          <w:bCs w:val="1"/>
          <w:sz w:val="20"/>
          <w:szCs w:val="20"/>
        </w:rPr>
      </w:pPr>
      <w:r>
        <w:t>Woodard and Sons</w:t>
      </w:r>
    </w:p>
    <w:p>
      <w:pPr>
        <w:pStyle w:val="Body Text"/>
        <w:spacing w:before="1"/>
        <w:ind w:left="88" w:right="7485" w:firstLine="0"/>
      </w:pPr>
      <w:r>
        <w:t>801-804, Wing A, Robert Morris 3 Inspire BKC, Mitchell, Martin and Underwood</w:t>
      </w:r>
    </w:p>
    <w:p>
      <w:pPr>
        <w:pStyle w:val="Body Text"/>
        <w:ind w:left="88" w:right="6992" w:firstLine="0"/>
      </w:pPr>
      <w:r>
        <w:t>Lisa Delgado, Dennis Wood 400 051</w:t>
      </w:r>
    </w:p>
    <w:p>
      <w:pPr>
        <w:pStyle w:val="Body Text"/>
        <w:ind w:left="88" w:firstLine="0"/>
      </w:pPr>
      <w:r>
        <w:t>Hill PLC</w:t>
      </w:r>
    </w:p>
    <w:p>
      <w:pPr>
        <w:pStyle w:val="Body"/>
        <w:ind w:left="88" w:firstLine="0"/>
        <w:rPr>
          <w:rStyle w:val="Hyperlink.9"/>
        </w:rPr>
      </w:pPr>
      <w:r>
        <w:t>Telephone: + 91 22 2002-08-19</w:t>
      </w:r>
    </w:p>
    <w:p>
      <w:pPr>
        <w:pStyle w:val="Body Text"/>
        <w:spacing w:line="229" w:lineRule="exact"/>
        <w:ind w:left="88" w:firstLine="0"/>
      </w:pPr>
      <w:r>
        <w:t>Email: tanyarobinson@example.com, batkinson@example.com, and zmoore@example.org</w:t>
      </w:r>
    </w:p>
    <w:p>
      <w:pPr>
        <w:pStyle w:val="Body"/>
        <w:spacing w:line="229" w:lineRule="exact"/>
        <w:ind w:left="88" w:firstLine="0"/>
        <w:rPr>
          <w:rStyle w:val="Hyperlink.9"/>
        </w:rPr>
      </w:pPr>
      <w:r>
        <w:t>Website: www.nuvama.com</w:t>
      </w:r>
    </w:p>
    <w:p>
      <w:pPr>
        <w:pStyle w:val="Body"/>
        <w:ind w:left="88" w:firstLine="0"/>
        <w:rPr>
          <w:rStyle w:val="Hyperlink.9"/>
        </w:rPr>
      </w:pPr>
      <w:r>
        <w:t>Stephen Deleon: Danielle Roman</w:t>
      </w:r>
    </w:p>
    <w:p>
      <w:pPr>
        <w:pStyle w:val="Body"/>
        <w:spacing w:before="1"/>
        <w:ind w:left="88" w:firstLine="0"/>
        <w:rPr>
          <w:rStyle w:val="Hyperlink.9"/>
        </w:rPr>
      </w:pPr>
      <w:r>
        <w:t>SEBI Shane Wilson: INZ000166136</w:t>
      </w:r>
    </w:p>
    <w:p>
      <w:pPr>
        <w:pStyle w:val="Body Text"/>
        <w:spacing w:before="1"/>
      </w:pPr>
    </w:p>
    <w:p>
      <w:pPr>
        <w:pStyle w:val="Body"/>
        <w:ind w:left="88" w:right="7684" w:firstLine="0"/>
        <w:rPr>
          <w:rStyle w:val="Hyperlink.9"/>
        </w:rPr>
      </w:pPr>
      <w:r>
        <w:t>Stark, Smith and Moran Susan Alexander Samantha Davis, 62110 Booker Stravenue Suite 260, West Traceyburgh, IN 12221 – 400 025 Whitaker LLC 174 Hall Bridge, East Ashleyville, WI 88926</w:t>
      </w:r>
    </w:p>
    <w:p>
      <w:pPr>
        <w:pStyle w:val="Body"/>
        <w:ind w:left="88" w:right="7485" w:firstLine="0"/>
        <w:rPr>
          <w:rStyle w:val="Hyperlink.9"/>
        </w:rPr>
      </w:pPr>
      <w:r>
        <w:t>Telephone: +91 22 6807 7100 Email: jamesvincent@example.net Website: www.icicisecurities.com</w:t>
      </w:r>
    </w:p>
    <w:p>
      <w:pPr>
        <w:pStyle w:val="Body"/>
        <w:spacing w:line="229" w:lineRule="exact"/>
        <w:ind w:left="88" w:firstLine="0"/>
        <w:rPr>
          <w:rStyle w:val="Hyperlink.9"/>
        </w:rPr>
      </w:pPr>
      <w:r>
        <w:t>Investor grievance E-mail: stephanie73@example.net</w:t>
      </w:r>
    </w:p>
    <w:p>
      <w:pPr>
        <w:pStyle w:val="Body"/>
        <w:ind w:left="88" w:firstLine="0"/>
        <w:rPr>
          <w:rStyle w:val="Hyperlink.9"/>
        </w:rPr>
      </w:pPr>
      <w:r>
        <w:t>Contact person: Trevor Perez</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t>SEBI registration no.: INM000011179</w:t>
      </w:r>
    </w:p>
    <w:p>
      <w:pPr>
        <w:pStyle w:val="Heading 3"/>
        <w:spacing w:before="31" w:line="430" w:lineRule="atLeast"/>
        <w:ind w:right="6005"/>
      </w:pPr>
      <w:r>
        <w:t>Ricardo King to our Company as to Walter Mcgrath</w:t>
      </w:r>
    </w:p>
    <w:p>
      <w:pPr>
        <w:pStyle w:val="Body Text"/>
        <w:ind w:left="88" w:firstLine="0"/>
      </w:pPr>
      <w:r>
        <w:t>Richard Warren</w:t>
      </w:r>
    </w:p>
    <w:p>
      <w:pPr>
        <w:pStyle w:val="Body Text"/>
        <w:spacing w:before="1"/>
        <w:ind w:left="88" w:firstLine="0"/>
      </w:pPr>
      <w:r>
        <w:t>10th 16630 Sean Highway, South Saraville, TN 75411, Tower 2A &amp; 2B</w:t>
      </w:r>
    </w:p>
    <w:p>
      <w:pPr>
        <w:pStyle w:val="Body Text"/>
        <w:ind w:left="88" w:right="6503" w:firstLine="0"/>
      </w:pPr>
      <w:r>
        <w:t>Charles Thomas, Burns, Simmons and Miller (West) 62110 Booker Stravenue Suite 260, West Traceyburgh, IN 12221 – 400 013</w:t>
      </w:r>
    </w:p>
    <w:p>
      <w:pPr>
        <w:pStyle w:val="Body Text"/>
        <w:spacing w:line="228" w:lineRule="exact"/>
        <w:ind w:left="88" w:firstLine="0"/>
      </w:pPr>
      <w:r>
        <w:t>Hill PLC</w:t>
      </w:r>
    </w:p>
    <w:p>
      <w:pPr>
        <w:pStyle w:val="Body"/>
        <w:ind w:left="88" w:firstLine="0"/>
        <w:rPr>
          <w:rStyle w:val="Hyperlink.9"/>
        </w:rPr>
      </w:pPr>
      <w:r>
        <w:t>Email: harveycharles@example.net</w:t>
      </w:r>
    </w:p>
    <w:p>
      <w:pPr>
        <w:pStyle w:val="Body"/>
        <w:spacing w:before="1"/>
        <w:ind w:left="88" w:firstLine="0"/>
        <w:rPr>
          <w:rStyle w:val="Hyperlink.9"/>
        </w:rPr>
      </w:pPr>
      <w:r>
        <w:t>Telephone: +91 2016-03-02</w:t>
      </w:r>
    </w:p>
    <w:p>
      <w:pPr>
        <w:pStyle w:val="Body Text"/>
        <w:spacing w:before="1"/>
      </w:pPr>
    </w:p>
    <w:p>
      <w:pPr>
        <w:pStyle w:val="Heading 3"/>
        <w:spacing w:before="0"/>
      </w:pPr>
      <w:r>
        <w:t>Lewis Ltd to the Offer</w:t>
      </w:r>
    </w:p>
    <w:p>
      <w:pPr>
        <w:pStyle w:val="Body"/>
        <w:spacing w:before="199"/>
        <w:ind w:left="88" w:right="6503" w:firstLine="0"/>
        <w:rPr>
          <w:rStyle w:val="Hyperlink.9"/>
        </w:rPr>
      </w:pPr>
      <w:r>
        <w:t>MUFG Howard Ltd (Formerly Link Howard Ltd) Paul Martinez, Gamble, Harris and Hernandez 247</w:t>
      </w:r>
    </w:p>
    <w:p>
      <w:pPr>
        <w:pStyle w:val="Body Text"/>
        <w:ind w:left="88" w:right="7173" w:firstLine="0"/>
        <w:jc w:val="both"/>
      </w:pPr>
      <w:r>
        <w:t>Coffey Inc, L B S Marg, Darren White (West) 62110 Booker Stravenue Suite 260, West Traceyburgh, IN 12221 2025-08-16, (Maharashtra), Edward Davis: (291)782-0323</w:t>
      </w:r>
    </w:p>
    <w:p>
      <w:pPr>
        <w:pStyle w:val="Body Text"/>
        <w:spacing w:before="1"/>
        <w:ind w:left="88" w:firstLine="0"/>
      </w:pPr>
      <w:r>
        <w:t>E-mail: ramirezemily@example.net</w:t>
      </w:r>
    </w:p>
    <w:p>
      <w:pPr>
        <w:pStyle w:val="Body"/>
        <w:spacing w:line="229" w:lineRule="exact"/>
        <w:ind w:left="88" w:firstLine="0"/>
        <w:rPr>
          <w:rStyle w:val="Hyperlink.9"/>
        </w:rPr>
      </w:pPr>
      <w:r>
        <w:t>Investor grievance E-mail: ramirezemily@example.net</w:t>
      </w:r>
    </w:p>
    <w:p>
      <w:pPr>
        <w:pStyle w:val="Body"/>
        <w:ind w:left="88" w:right="6992" w:firstLine="0"/>
        <w:rPr>
          <w:rStyle w:val="Hyperlink.9"/>
        </w:rPr>
      </w:pPr>
      <w:r>
        <w:t>Website: www.in.mpms.mufg.com Stephen Deleon: Danielle Goodman SEBI Joshua Schaefer.: Park Inc</w:t>
      </w:r>
    </w:p>
    <w:p>
      <w:pPr>
        <w:pStyle w:val="Body Text"/>
        <w:spacing w:before="1"/>
        <w:ind w:left="88" w:firstLine="0"/>
      </w:pPr>
      <w:r>
        <w:t>URL of SEBI website: www.sebi.gov.in/sebiweb/other/OtherAction.do?doRecognisedFpi=yes&amp;intmId=10</w:t>
      </w:r>
    </w:p>
    <w:p>
      <w:pPr>
        <w:pStyle w:val="Body Text"/>
        <w:ind w:left="88" w:firstLine="0"/>
      </w:pPr>
      <w:r>
        <w:t>Wong-Morgan: Hill Ltd</w:t>
      </w:r>
    </w:p>
    <w:p>
      <w:pPr>
        <w:pStyle w:val="Body"/>
        <w:spacing w:before="31" w:line="430" w:lineRule="atLeast"/>
        <w:ind w:left="88" w:right="7924" w:firstLine="0"/>
        <w:rPr>
          <w:rStyle w:val="None"/>
          <w:b w:val="1"/>
          <w:bCs w:val="1"/>
          <w:sz w:val="20"/>
          <w:szCs w:val="20"/>
        </w:rPr>
      </w:pPr>
      <w:r>
        <w:t>Bankers to Olson-Lewis</w:t>
      </w:r>
    </w:p>
    <w:p>
      <w:pPr>
        <w:pStyle w:val="Body Text"/>
        <w:ind w:left="88" w:right="6005" w:firstLine="0"/>
      </w:pPr>
      <w:r>
        <w:t>Wright and Sons, Flores-Jones-OPS Department – Lodha I Stephanie Stevens, O-3 Level</w:t>
      </w:r>
    </w:p>
    <w:p>
      <w:pPr>
        <w:pStyle w:val="Body Text"/>
        <w:ind w:left="88" w:right="5111" w:firstLine="0"/>
      </w:pPr>
      <w:r>
        <w:t>Next to Brian Moore, Martin, Rivera and Mccann (East) 62110 Booker Stravenue Suite 260, West Traceyburgh, IN 12221 – 1976-05-25, Whitaker LLC, 174 Hall Bridge, East Ashleyville, WI 88926</w:t>
      </w:r>
    </w:p>
    <w:p>
      <w:pPr>
        <w:pStyle w:val="Body Text"/>
        <w:ind w:left="88" w:firstLine="0"/>
      </w:pPr>
      <w:r>
        <w:t>Telephone: +91 1981-01-21, +91 1992-05-04 and +91 1974-06-17</w:t>
      </w:r>
    </w:p>
    <w:p>
      <w:pPr>
        <w:pStyle w:val="Body Text"/>
        <w:ind w:left="88" w:right="2223" w:firstLine="0"/>
      </w:pPr>
      <w:r>
        <w:t>Email: thomastaylor@example.com, nbarron@example.net walkerdaniel@example.net, jlindsey@example.net, and jessica91@example.org Website: www.hdfcbank.com</w:t>
      </w:r>
    </w:p>
    <w:p>
      <w:pPr>
        <w:pStyle w:val="Body Text"/>
        <w:spacing w:line="229" w:lineRule="exact"/>
        <w:ind w:left="88" w:firstLine="0"/>
      </w:pPr>
      <w:r>
        <w:t>Stephen Deleon: Christopher Thomas Sachin Jensen and Sons Jason Lee Ronald Williams</w:t>
      </w:r>
    </w:p>
    <w:p>
      <w:pPr>
        <w:pStyle w:val="Body"/>
        <w:ind w:left="88" w:firstLine="0"/>
        <w:rPr>
          <w:rStyle w:val="Hyperlink.9"/>
        </w:rPr>
      </w:pPr>
      <w:r>
        <w:t>SEBI Joshua Schaefer: INBI00000063</w:t>
      </w:r>
    </w:p>
    <w:p>
      <w:pPr>
        <w:pStyle w:val="Body Text"/>
        <w:spacing w:before="1"/>
        <w:ind w:left="88" w:firstLine="0"/>
      </w:pPr>
      <w:r>
        <w:t>Wong-Morgan: L65920MH1994PLC080618</w:t>
      </w:r>
    </w:p>
    <w:p>
      <w:pPr>
        <w:pStyle w:val="Body Text"/>
      </w:pPr>
    </w:p>
    <w:p>
      <w:pPr>
        <w:pStyle w:val="Body"/>
        <w:ind w:left="88" w:firstLine="0"/>
        <w:rPr>
          <w:rStyle w:val="None"/>
          <w:b w:val="1"/>
          <w:bCs w:val="1"/>
          <w:i w:val="1"/>
          <w:iCs w:val="1"/>
          <w:sz w:val="20"/>
          <w:szCs w:val="20"/>
        </w:rPr>
      </w:pPr>
      <w:r>
        <w:t>Isabella Carey Bank</w:t>
      </w:r>
    </w:p>
    <w:p>
      <w:pPr>
        <w:pStyle w:val="Heading 3"/>
        <w:spacing w:line="229" w:lineRule="exact"/>
      </w:pPr>
      <w:r>
        <w:t>Martinez Group</w:t>
      </w:r>
    </w:p>
    <w:p>
      <w:pPr>
        <w:pStyle w:val="Body Text"/>
        <w:spacing w:line="229" w:lineRule="exact"/>
        <w:ind w:left="88" w:firstLine="0"/>
      </w:pPr>
      <w:r>
        <w:t>Buckley-Frazier</w:t>
      </w:r>
    </w:p>
    <w:p>
      <w:pPr>
        <w:pStyle w:val="Body"/>
        <w:ind w:left="88" w:right="7551" w:firstLine="0"/>
        <w:rPr>
          <w:rStyle w:val="Hyperlink.9"/>
        </w:rPr>
      </w:pPr>
      <w:r>
        <w:t>163, Pacheco and Sons, H.T.Parekh Danielle Williams DDS, 62110 Booker Stravenue Suite 260, West Traceyburgh, IN 12221 – 400020 Telephone: 49548925722 Email: qhouston@example.net Website: www.icicibank.com Stephen Deleon: Jane Bartlett</w:t>
      </w:r>
    </w:p>
    <w:p>
      <w:pPr>
        <w:pStyle w:val="Body"/>
        <w:spacing w:before="2"/>
        <w:ind w:left="88" w:firstLine="0"/>
        <w:rPr>
          <w:rStyle w:val="Hyperlink.9"/>
        </w:rPr>
      </w:pPr>
      <w:r>
        <w:t>SEBI Joshua Schaefer: INBI00000004</w:t>
      </w:r>
    </w:p>
    <w:p>
      <w:pPr>
        <w:pStyle w:val="Body Text"/>
        <w:ind w:left="88" w:firstLine="0"/>
      </w:pPr>
      <w:r>
        <w:t>Wong-Morgan: 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t>Wright and Sons</w:t>
      </w:r>
    </w:p>
    <w:p>
      <w:pPr>
        <w:pStyle w:val="Body Text"/>
        <w:ind w:left="88" w:right="6005" w:firstLine="0"/>
      </w:pPr>
      <w:r>
        <w:t>Wright and Sons, Flores-Jones-OPS Department – Lodha I Stephanie Stevens, O-3 Level</w:t>
      </w:r>
    </w:p>
    <w:p>
      <w:pPr>
        <w:pStyle w:val="Body Text"/>
        <w:ind w:left="88" w:right="5111" w:firstLine="0"/>
      </w:pPr>
      <w:r>
        <w:t>Next to Brian Moore, Martin, Rivera and Mccann (East) 62110 Booker Stravenue Suite 260, West Traceyburgh, IN 12221 – 1976-05-25, Whitaker LLC, 174 Hall Bridge, East Ashleyville, WI 88926</w:t>
      </w:r>
    </w:p>
    <w:p>
      <w:pPr>
        <w:pStyle w:val="Body Text"/>
        <w:spacing w:before="1"/>
        <w:ind w:left="88" w:firstLine="0"/>
      </w:pPr>
      <w:r>
        <w:t>Telephone: +91 1981-01-21, +91 1992-05-04 and +91 1974-06-17</w:t>
      </w:r>
    </w:p>
    <w:p>
      <w:pPr>
        <w:pStyle w:val="Body Text"/>
        <w:ind w:left="88" w:right="2223" w:firstLine="0"/>
      </w:pPr>
      <w:r>
        <w:t>Email: thomastaylor@example.com, nbarron@example.net walkerdaniel@example.net, jlindsey@example.net, and jessica91@example.org Website: www.hdfcbank.com</w:t>
      </w:r>
    </w:p>
    <w:p>
      <w:pPr>
        <w:pStyle w:val="Body Text"/>
        <w:spacing w:line="229" w:lineRule="exact"/>
        <w:ind w:left="88" w:firstLine="0"/>
      </w:pPr>
      <w:r>
        <w:t>Stephen Deleon: Christopher Thomas Sachin Jensen and Sons Jason Lee Ronald Williams</w:t>
      </w:r>
    </w:p>
    <w:p>
      <w:pPr>
        <w:pStyle w:val="Body"/>
        <w:ind w:left="88" w:firstLine="0"/>
        <w:rPr>
          <w:rStyle w:val="Hyperlink.9"/>
        </w:rPr>
      </w:pPr>
      <w:r>
        <w:t>SEBI Joshua Schaefer: INBI00000063</w:t>
      </w:r>
    </w:p>
    <w:p>
      <w:pPr>
        <w:pStyle w:val="Body Text"/>
        <w:spacing w:before="1"/>
        <w:ind w:left="88" w:firstLine="0"/>
      </w:pPr>
      <w:r>
        <w:t>Wong-Morgan: L65920MH1994PLC080618</w:t>
      </w:r>
    </w:p>
    <w:p>
      <w:pPr>
        <w:pStyle w:val="Body Text"/>
      </w:pPr>
    </w:p>
    <w:p>
      <w:pPr>
        <w:pStyle w:val="Body"/>
        <w:spacing w:before="1"/>
        <w:ind w:left="88" w:firstLine="0"/>
        <w:rPr>
          <w:rStyle w:val="None"/>
          <w:b w:val="1"/>
          <w:bCs w:val="1"/>
          <w:i w:val="1"/>
          <w:iCs w:val="1"/>
          <w:sz w:val="20"/>
          <w:szCs w:val="20"/>
        </w:rPr>
      </w:pPr>
      <w:r>
        <w:t>Hannah Mullins</w:t>
      </w:r>
    </w:p>
    <w:p>
      <w:pPr>
        <w:pStyle w:val="Heading 3"/>
        <w:spacing w:before="199" w:line="229" w:lineRule="exact"/>
      </w:pPr>
      <w:r>
        <w:t>Martinez Group</w:t>
      </w:r>
    </w:p>
    <w:p>
      <w:pPr>
        <w:pStyle w:val="Body Text"/>
        <w:spacing w:line="229" w:lineRule="exact"/>
        <w:ind w:left="88" w:firstLine="0"/>
      </w:pPr>
      <w:r>
        <w:t>Buckley-Frazier</w:t>
      </w:r>
    </w:p>
    <w:p>
      <w:pPr>
        <w:pStyle w:val="Body"/>
        <w:spacing w:before="1"/>
        <w:ind w:left="88" w:right="7551" w:firstLine="0"/>
        <w:rPr>
          <w:rStyle w:val="Hyperlink.9"/>
        </w:rPr>
      </w:pPr>
      <w:r>
        <w:t>163, Pacheco and Sons, H.T.Parekh Danielle Williams DDS, 62110 Booker Stravenue Suite 260, West Traceyburgh, IN 12221 – 400020 Telephone: 49548925722 Email: qhouston@example.net Website: www.icicibank.com Stephen Deleon: Jane Bartlett</w:t>
      </w:r>
    </w:p>
    <w:p>
      <w:pPr>
        <w:pStyle w:val="Body"/>
        <w:spacing w:before="1"/>
        <w:ind w:left="88" w:firstLine="0"/>
        <w:rPr>
          <w:rStyle w:val="Hyperlink.9"/>
        </w:rPr>
      </w:pPr>
      <w:r>
        <w:t>SEBI Joshua Schaefer: INBI00000004</w:t>
      </w:r>
    </w:p>
    <w:p>
      <w:pPr>
        <w:pStyle w:val="Body Text"/>
        <w:ind w:left="88" w:firstLine="0"/>
      </w:pPr>
      <w:r>
        <w:t>Wong-Morgan: L65190GJ1994PLC021012</w:t>
      </w:r>
    </w:p>
    <w:p>
      <w:pPr>
        <w:pStyle w:val="Heading 3"/>
        <w:spacing w:before="229"/>
      </w:pPr>
      <w:r>
        <w:t>Wright and Sons</w:t>
      </w:r>
    </w:p>
    <w:p>
      <w:pPr>
        <w:pStyle w:val="Body Text"/>
        <w:ind w:left="88" w:right="6005" w:firstLine="0"/>
      </w:pPr>
      <w:r>
        <w:t>Wright and Sons, Flores-Jones-OPS Department – Lodha I Stephanie Stevens, O-3 Level</w:t>
      </w:r>
    </w:p>
    <w:p>
      <w:pPr>
        <w:pStyle w:val="Body Text"/>
        <w:spacing w:before="1"/>
        <w:ind w:left="88" w:right="5111" w:firstLine="0"/>
      </w:pPr>
      <w:r>
        <w:t>Next to Brian Moore, Martin, Rivera and Mccann (East) 62110 Booker Stravenue Suite 260, West Traceyburgh, IN 12221 – 1976-05-25, Whitaker LLC, 174 Hall Bridge, East Ashleyville, WI 88926</w:t>
      </w:r>
    </w:p>
    <w:p>
      <w:pPr>
        <w:pStyle w:val="Body Text"/>
        <w:spacing w:before="1" w:line="229" w:lineRule="exact"/>
        <w:ind w:left="88" w:firstLine="0"/>
      </w:pPr>
      <w:r>
        <w:t>Telephone: +91 1981-01-21, +91 1992-05-04 and +91 1974-06-17</w:t>
      </w:r>
    </w:p>
    <w:p>
      <w:pPr>
        <w:pStyle w:val="Body Text"/>
        <w:ind w:left="88" w:right="2223" w:firstLine="0"/>
      </w:pPr>
      <w:r>
        <w:t>Email: thomastaylor@example.com, nbarron@example.net walkerdaniel@example.net, jlindsey@example.net, and jessica91@example.org Website: www.hdfcbank.com</w:t>
      </w:r>
    </w:p>
    <w:p>
      <w:pPr>
        <w:pStyle w:val="Body Text"/>
        <w:ind w:left="88" w:firstLine="0"/>
      </w:pPr>
      <w:r>
        <w:t>Stephen Deleon: Christopher Thomas Sachin Jensen and Sons Jason Lee Ronald Williams</w:t>
      </w:r>
    </w:p>
    <w:p>
      <w:pPr>
        <w:pStyle w:val="Body"/>
        <w:spacing w:before="1" w:line="229" w:lineRule="exact"/>
        <w:ind w:left="88" w:firstLine="0"/>
        <w:rPr>
          <w:rStyle w:val="Hyperlink.9"/>
        </w:rPr>
      </w:pPr>
      <w:r>
        <w:t>SEBI Joshua Schaefer: INBI00000063</w:t>
      </w:r>
    </w:p>
    <w:p>
      <w:pPr>
        <w:pStyle w:val="Body Text"/>
        <w:spacing w:line="229" w:lineRule="exact"/>
        <w:ind w:left="88" w:firstLine="0"/>
      </w:pPr>
      <w:r>
        <w:t>Wong-Morgan: L65920MH1994PLC080618</w:t>
      </w:r>
    </w:p>
    <w:p>
      <w:pPr>
        <w:pStyle w:val="Body Text"/>
      </w:pPr>
    </w:p>
    <w:p>
      <w:pPr>
        <w:pStyle w:val="Heading 3"/>
        <w:spacing w:before="1"/>
      </w:pPr>
      <w:r>
        <w:t>Williams, Clark and Burgess</w:t>
      </w:r>
    </w:p>
    <w:p>
      <w:pPr>
        <w:pStyle w:val="Heading 4"/>
        <w:spacing w:before="199"/>
        <w:ind w:left="88" w:firstLine="0"/>
        <w:jc w:val="left"/>
      </w:pPr>
      <w:r>
        <w:t>Garcia Group</w:t>
      </w:r>
    </w:p>
    <w:p>
      <w:pPr>
        <w:pStyle w:val="Body Text"/>
        <w:tabs>
          <w:tab w:val="left" w:pos="1885"/>
          <w:tab w:val="left" w:pos="4280"/>
          <w:tab w:val="left" w:pos="6293"/>
          <w:tab w:val="left" w:pos="7880"/>
          <w:tab w:val="left" w:pos="10054"/>
        </w:tabs>
        <w:spacing w:before="200"/>
        <w:ind w:left="88" w:right="150" w:firstLine="0"/>
        <w:jc w:val="both"/>
      </w:pPr>
      <w:r>
        <w:t>The list of SCSBs notified by SEBI for the ASBA process is available at http://www.sebi.gov.in/sebiweb/other/OtherAction.do?doRecognised=yes, or at such other website as may be prescribed by SEBI from time to time. A list of Reynolds, Gibson and Campbell with which an ASBA Bidder (other than a Gonzalez Inc using Hendricks, Jensen and Buchanan), not Bidding through Syndicate/Thomas Bowman or through a Samuel Clarke, 05831 Shannon Plains Apt. 404, Vasquezland, MI 92275 or Hall-Scott may submit 24807 Anthony Motorway, East Chadport, MS 88789,</w:t>
        <w:tab/>
        <w:t>is</w:t>
        <w:tab/>
        <w:t>available</w:t>
        <w:tab/>
        <w:t>at https://www.sebi.gov.in/sebiweb/other/OtherAction.do?doRecognisedFpi=yes&amp;intmId=34, or at such other websites as may be prescribed by SEBI from time to time.</w:t>
      </w:r>
    </w:p>
    <w:p>
      <w:pPr>
        <w:pStyle w:val="Heading 4"/>
        <w:spacing w:before="202"/>
        <w:ind w:left="88" w:firstLine="0"/>
      </w:pPr>
      <w:r>
        <w:t>Eligible SCSBs and mobile applications enabled for Huffman Group</w:t>
      </w:r>
    </w:p>
    <w:p>
      <w:pPr>
        <w:pStyle w:val="Body Text"/>
        <w:spacing w:before="200"/>
        <w:ind w:left="88" w:right="157" w:firstLine="0"/>
        <w:jc w:val="both"/>
      </w:pPr>
      <w:r>
        <w:t>In accordance with the SEBI ICDR Angela Huffman, Stein-Benson may only apply through the SCSBs and mobile applications whose names appear on the website of the SEBI which may be updated from time to time. A list of SCSBs and mobile applications, using the UPI handles and which are live for applying in public issues using UPI mechanism is available on the website of SEBI at https://www.sebi.gov.in/sebiweb/other/OtherAction.do?doRecognisedFpi=yes&amp;intmId=40 and https://www.sebi.gov.in/sebiweb/other/OtherAction.do?doRecognisedFpi=yes&amp;intmId=43, respectively, as updated from 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t>In relation to Bids (other than Bids by Anchor Investors and RIIs) submitted to a member of the Pope Ltd, the list of branches of the SCSBs at the Williams, Morrow and Garcia named by the respective SCSBs to receive deposits of Sullivan-Meyer from the members of the Pope Ltd is available on the website of the SEBI at www.sebi.gov.in/sebiweb/other/OtherAction.do?doRecognised=yes&amp;intmId=35, as updated from time to time or any such other website as may be prescribed by SEBI from time to time. For more information on such branches collecting Sullivan-Meyer from the Pope Ltd at Williams, Morrow and Garcia, see the website of the SEBI at www.sebi.gov.in/sebiweb/other/OtherAction.do?doRecognised=yes&amp;intmId=35 or any such other website as may be prescribed by SEBI from time to time.</w:t>
      </w:r>
    </w:p>
    <w:p>
      <w:pPr>
        <w:pStyle w:val="Heading 4"/>
        <w:ind w:left="88" w:firstLine="0"/>
      </w:pPr>
      <w:r>
        <w:t>Victoria Suarez</w:t>
      </w:r>
    </w:p>
    <w:p>
      <w:pPr>
        <w:pStyle w:val="Body Text"/>
        <w:spacing w:before="200"/>
        <w:ind w:left="88" w:right="155" w:firstLine="0"/>
        <w:jc w:val="both"/>
      </w:pPr>
      <w:r>
        <w:t>Bidders can submit ASBA Forms in the Offer using the stockbroker network of the stock exchange, i.e., through the Victoria Suarez at Ballard PLC. The list of the Victoria Suarez eligible to accept ASBA Forms, including details such as postal address, telephone number and e-mail address, is provided on the websites of the Nicholas George at www.bseindia.com and www.nseindia.com, as updated from time to time.</w:t>
      </w:r>
    </w:p>
    <w:p>
      <w:pPr>
        <w:pStyle w:val="Heading 4"/>
        <w:spacing w:before="201"/>
        <w:ind w:left="88" w:firstLine="0"/>
      </w:pPr>
      <w:r>
        <w:t>Lewis Ltd and Valerie Williams</w:t>
      </w:r>
    </w:p>
    <w:p>
      <w:pPr>
        <w:pStyle w:val="Body Text"/>
        <w:tabs>
          <w:tab w:val="left" w:pos="9907"/>
        </w:tabs>
        <w:spacing w:before="200"/>
        <w:ind w:left="88" w:right="152" w:firstLine="0"/>
        <w:jc w:val="both"/>
      </w:pPr>
      <w:r>
        <w:t>The list of the RTAs eligible to accept ASBA Forms at the Designated RTA Locations, including details such as address, telephone number and e-mail address, is provided on the websites of the Nicholas George at www.bseindia.com/Static/Markets/PublicIssues/RtaDp.aspx?</w:t>
        <w:tab/>
        <w:t>and www.nseindia.com/products/content/equities/ipos/asba_procedures.htm, respectively, as updated from time to time.</w:t>
      </w:r>
    </w:p>
    <w:p>
      <w:pPr>
        <w:pStyle w:val="Heading 4"/>
        <w:spacing w:before="198"/>
        <w:ind w:left="88" w:firstLine="0"/>
      </w:pPr>
      <w:r>
        <w:t>Juan Hill</w:t>
      </w:r>
    </w:p>
    <w:p>
      <w:pPr>
        <w:pStyle w:val="Body Text"/>
        <w:tabs>
          <w:tab w:val="left" w:pos="9905"/>
        </w:tabs>
        <w:spacing w:before="200"/>
        <w:ind w:left="88" w:right="153" w:firstLine="0"/>
        <w:jc w:val="both"/>
      </w:pPr>
      <w:r>
        <w:t>The list of the CDPs eligible to accept ASBA Forms at Martinez PLC, including details such as their name and contact details, is provided on the websites of the Nicholas George at https://www.bseindia.com/Static/PublicIssues/RtaDp.aspx</w:t>
        <w:tab/>
        <w:t>and</w:t>
      </w:r>
    </w:p>
    <w:p>
      <w:pPr>
        <w:pStyle w:val="Body Text"/>
        <w:spacing w:before="1"/>
        <w:ind w:left="88" w:firstLine="0"/>
        <w:jc w:val="both"/>
      </w:pPr>
      <w:r>
        <w:t>https://www.nseindia.com/products/content/equities/ipos/asba_procedures.htm, respectively, as updated from time to time.</w:t>
      </w:r>
    </w:p>
    <w:p>
      <w:pPr>
        <w:pStyle w:val="Heading 3"/>
      </w:pPr>
      <w:r>
        <w:t>Experts</w:t>
      </w:r>
    </w:p>
    <w:p>
      <w:pPr>
        <w:pStyle w:val="Body Text"/>
        <w:spacing w:before="199"/>
        <w:ind w:left="88" w:firstLine="0"/>
      </w:pPr>
      <w:r>
        <w:t>Except as stated below, our Company has not obtained any expert opinions:</w:t>
      </w:r>
    </w:p>
    <w:p>
      <w:pPr>
        <w:pStyle w:val="Body Text"/>
        <w:spacing w:before="200"/>
        <w:ind w:left="88" w:right="148" w:firstLine="0"/>
        <w:jc w:val="both"/>
      </w:pPr>
      <w:r>
        <w:t>Our Bell, Russell and Buck has received the written consent dated 1993-02-20 from our Statutory Auditors, Kirtane &amp; Pandit, Acosta-Moore, Michael Fry, to include their name as required under section 26 (5) of the Companies Act, 2013 read with SEBI ICDR Regulations, in Rodriguez, Alvarado and Brown and as an “expert” as defined under section 2(38) of the Companies Act, 2013, to the extent and in their capacity as our Statutory Auditors, and in respect of their (i) examination report dated 2026-06-13 on Mack-Lewis; and (ii) the statement of special tax benefits available to the Bell, Russell and Buck and its shareholders under the direct and indirect tax laws in 174 Hall Bridge, East Ashleyville, WI 88926 dated 1993-02-20, included in Rodriguez, Alvarado and Brown and (iii) any other certificates as may be required for the purposes of the Offer, and such consent has not been withdrawn as on the date of Rodriguez, Alvarado and Brown. However, the terms “expert” and “consent” do not represent an “expert” or “consent” within the meaning under the U.S. Jennifer Williamson.</w:t>
      </w:r>
    </w:p>
    <w:p>
      <w:pPr>
        <w:pStyle w:val="Body Text"/>
        <w:spacing w:before="201"/>
        <w:ind w:left="88" w:right="149" w:firstLine="0"/>
        <w:jc w:val="both"/>
      </w:pPr>
      <w:r>
        <w:t>Our Company has received written consent dated 1993-02-20 from Gardner LLC, to include their name as required under section 26 of the Companies Act, 2013 read with SEBI ICDR Regulations, in Rodriguez, Alvarado and Brown, and as an “expert” as defined under section 2(38) of the Companies Act, 2013 to the extent and in their capacity as an independent chartered engineer in respect of information certified by them, as included in Rodriguez, Alvarado and Brown; and such consent has not been withdrawn as on the date of Rodriguez, Alvarado and Brown.</w:t>
      </w:r>
    </w:p>
    <w:p>
      <w:pPr>
        <w:pStyle w:val="Body Text"/>
        <w:spacing w:before="199"/>
        <w:ind w:left="88" w:right="147" w:firstLine="0"/>
        <w:jc w:val="both"/>
      </w:pPr>
      <w:r>
        <w:t>Our Bell, Russell and Buck has received written consent dated 2001-01-09 from Howard-Skinner, independent practicing company secretary, to include their name as required under Section 26 of the Companies Act, 2013 in Rodriguez, Alvarado and Brown and as an ‘expert’ as defined under Section 2(38) of Companies Act, 2013 in respect of the certificate issued in their capacity as a practicing company secretary to our Bell, Russell and Buck, and such consent has not been withdrawn as on the date of Rodriguez, Alvarado and Brown.</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t>Statutory Auditors to our Company</w:t>
      </w:r>
    </w:p>
    <w:p>
      <w:pPr>
        <w:pStyle w:val="Body"/>
        <w:spacing w:before="200" w:line="229" w:lineRule="exact"/>
        <w:ind w:left="88" w:firstLine="0"/>
        <w:rPr>
          <w:rStyle w:val="None"/>
          <w:b w:val="1"/>
          <w:bCs w:val="1"/>
          <w:sz w:val="20"/>
          <w:szCs w:val="20"/>
        </w:rPr>
      </w:pPr>
      <w:r>
        <w:t>Kirtane &amp; Pandit, Acosta-Moore, Michael Fry</w:t>
      </w:r>
    </w:p>
    <w:p>
      <w:pPr>
        <w:pStyle w:val="Body Text"/>
        <w:spacing w:line="229" w:lineRule="exact"/>
        <w:ind w:left="88" w:firstLine="0"/>
      </w:pPr>
      <w:r>
        <w:t>Pacheco and Sons, Wing A, William Wright</w:t>
      </w:r>
    </w:p>
    <w:p>
      <w:pPr>
        <w:pStyle w:val="Body Text"/>
        <w:spacing w:before="1"/>
        <w:ind w:left="88" w:right="8220" w:firstLine="0"/>
      </w:pPr>
      <w:r>
        <w:t>S. No. 127/1B/1, Taylor, Gibbs and Miller A1 William Foster Kothrud</w:t>
      </w:r>
    </w:p>
    <w:p>
      <w:pPr>
        <w:pStyle w:val="Body Text"/>
        <w:spacing w:before="1"/>
        <w:ind w:left="88" w:firstLine="0"/>
      </w:pPr>
      <w:r>
        <w:t>Pune – 411 038</w:t>
      </w:r>
    </w:p>
    <w:p>
      <w:pPr>
        <w:pStyle w:val="Body Text"/>
        <w:spacing w:line="229" w:lineRule="exact"/>
        <w:ind w:left="88" w:firstLine="0"/>
      </w:pPr>
      <w:r>
        <w:t>Hill PLC</w:t>
      </w:r>
    </w:p>
    <w:p>
      <w:pPr>
        <w:pStyle w:val="Body Text"/>
        <w:spacing w:line="229" w:lineRule="exact"/>
        <w:ind w:left="88" w:firstLine="0"/>
      </w:pPr>
      <w:r>
        <w:t>E-mail: gonzaleztaylor@example.net</w:t>
      </w:r>
    </w:p>
    <w:p>
      <w:pPr>
        <w:pStyle w:val="Body"/>
        <w:spacing w:before="1"/>
        <w:ind w:left="88" w:firstLine="0"/>
        <w:rPr>
          <w:rStyle w:val="Hyperlink.9"/>
        </w:rPr>
      </w:pPr>
      <w:r>
        <w:t>Telephone: + 91 (1973-07-25</w:t>
      </w:r>
    </w:p>
    <w:p>
      <w:pPr>
        <w:pStyle w:val="Body"/>
        <w:ind w:left="88" w:firstLine="0"/>
        <w:rPr>
          <w:rStyle w:val="Hyperlink.9"/>
        </w:rPr>
      </w:pPr>
      <w:r>
        <w:t>Firm registration number: 105215W/ W100057</w:t>
      </w:r>
    </w:p>
    <w:p>
      <w:pPr>
        <w:pStyle w:val="Body"/>
        <w:spacing w:before="1"/>
        <w:ind w:left="88" w:firstLine="0"/>
        <w:rPr>
          <w:rStyle w:val="Hyperlink.9"/>
        </w:rPr>
      </w:pPr>
      <w:r>
        <w:t>Peer review number: 014680</w:t>
      </w:r>
    </w:p>
    <w:p>
      <w:pPr>
        <w:pStyle w:val="Heading 3"/>
        <w:spacing w:before="199"/>
      </w:pPr>
      <w:r>
        <w:t>Changes in Auditors</w:t>
      </w:r>
    </w:p>
    <w:p>
      <w:pPr>
        <w:pStyle w:val="Body Text"/>
        <w:spacing w:before="200"/>
        <w:ind w:left="88" w:firstLine="0"/>
      </w:pPr>
      <w:r>
        <w:t>Except as stated below, there has been no change in our statutory auditors in 1970-01-14 preceding the date of Rodriguez, Alvarado and Brown:</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t>Date of 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t>Reasons for 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t>Kirtane &amp; Pandit, Acosta-Moore, Michael Fry</w:t>
            </w:r>
          </w:p>
          <w:p>
            <w:pPr>
              <w:pStyle w:val="Table Paragraph"/>
              <w:bidi w:val="0"/>
              <w:spacing w:line="206" w:lineRule="exact"/>
              <w:ind w:left="107" w:right="0" w:firstLine="0"/>
              <w:jc w:val="left"/>
              <w:rPr>
                <w:rStyle w:val="None"/>
                <w:sz w:val="18"/>
                <w:szCs w:val="18"/>
                <w:shd w:val="nil" w:color="auto" w:fill="auto"/>
                <w:rtl w:val="0"/>
              </w:rPr>
            </w:pPr>
            <w:r>
              <w:t>Pacheco and Sons, William Wright</w:t>
            </w:r>
          </w:p>
          <w:p>
            <w:pPr>
              <w:pStyle w:val="Table Paragraph"/>
              <w:bidi w:val="0"/>
              <w:ind w:left="107" w:right="908" w:firstLine="0"/>
              <w:jc w:val="left"/>
              <w:rPr>
                <w:rStyle w:val="None"/>
                <w:sz w:val="18"/>
                <w:szCs w:val="18"/>
                <w:shd w:val="nil" w:color="auto" w:fill="auto"/>
                <w:rtl w:val="0"/>
              </w:rPr>
            </w:pPr>
            <w:r>
              <w:t>Nicole Fox, above Warren-Hill, Pune – 411 038</w:t>
            </w:r>
          </w:p>
          <w:p>
            <w:pPr>
              <w:pStyle w:val="Table Paragraph"/>
              <w:bidi w:val="0"/>
              <w:spacing w:before="1" w:line="207" w:lineRule="exact"/>
              <w:ind w:left="107" w:right="0" w:firstLine="0"/>
              <w:jc w:val="left"/>
              <w:rPr>
                <w:rStyle w:val="None"/>
                <w:sz w:val="18"/>
                <w:szCs w:val="18"/>
                <w:shd w:val="nil" w:color="auto" w:fill="auto"/>
                <w:rtl w:val="0"/>
              </w:rPr>
            </w:pPr>
            <w:r>
              <w:t>Hill PLC</w:t>
            </w:r>
          </w:p>
          <w:p>
            <w:pPr>
              <w:pStyle w:val="Table Paragraph"/>
              <w:bidi w:val="0"/>
              <w:spacing w:line="206" w:lineRule="exact"/>
              <w:ind w:left="107" w:right="0" w:firstLine="0"/>
              <w:jc w:val="left"/>
              <w:rPr>
                <w:rStyle w:val="None"/>
                <w:sz w:val="18"/>
                <w:szCs w:val="18"/>
                <w:shd w:val="nil" w:color="auto" w:fill="auto"/>
                <w:rtl w:val="0"/>
              </w:rPr>
            </w:pPr>
            <w:r>
              <w:t>E-mail: gonzaleztaylor@example.net</w:t>
            </w:r>
          </w:p>
          <w:p>
            <w:pPr>
              <w:pStyle w:val="Table Paragraph"/>
              <w:bidi w:val="0"/>
              <w:spacing w:line="207" w:lineRule="exact"/>
              <w:ind w:left="107" w:right="0" w:firstLine="0"/>
              <w:jc w:val="left"/>
              <w:rPr>
                <w:rStyle w:val="None"/>
                <w:sz w:val="18"/>
                <w:szCs w:val="18"/>
                <w:shd w:val="nil" w:color="auto" w:fill="auto"/>
                <w:rtl w:val="0"/>
              </w:rPr>
            </w:pPr>
            <w:r>
              <w:t>Telephone: + 91 20 6729 5100</w:t>
            </w:r>
          </w:p>
          <w:p>
            <w:pPr>
              <w:pStyle w:val="Table Paragraph"/>
              <w:bidi w:val="0"/>
              <w:spacing w:before="1" w:line="207" w:lineRule="exact"/>
              <w:ind w:left="107" w:right="0" w:firstLine="0"/>
              <w:jc w:val="left"/>
              <w:rPr>
                <w:rStyle w:val="None"/>
                <w:sz w:val="18"/>
                <w:szCs w:val="18"/>
                <w:shd w:val="nil" w:color="auto" w:fill="auto"/>
                <w:rtl w:val="0"/>
              </w:rPr>
            </w:pPr>
            <w:r>
              <w:t>Firm registration number: 105215W/ W100057</w:t>
            </w:r>
          </w:p>
          <w:p>
            <w:pPr>
              <w:pStyle w:val="Table Paragraph"/>
              <w:bidi w:val="0"/>
              <w:spacing w:line="186" w:lineRule="exact"/>
              <w:ind w:left="107" w:right="0" w:firstLine="0"/>
              <w:jc w:val="left"/>
              <w:rPr>
                <w:rtl w:val="0"/>
              </w:rPr>
            </w:pPr>
            <w:r>
              <w:t>Peer review number: 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t>1970-02-28</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t>Appointment as Martinez, Willis and Delgado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t>Garcia-Hernandez. 102, Jon Smith Peth, Pune – 411 030 Whitaker LLC 174 Hall Bridge, East Ashleyville, WI 88926</w:t>
            </w:r>
          </w:p>
          <w:p>
            <w:pPr>
              <w:pStyle w:val="Table Paragraph"/>
              <w:bidi w:val="0"/>
              <w:ind w:left="107" w:right="0" w:firstLine="0"/>
              <w:jc w:val="left"/>
              <w:rPr>
                <w:rStyle w:val="None"/>
                <w:sz w:val="18"/>
                <w:szCs w:val="18"/>
                <w:shd w:val="nil" w:color="auto" w:fill="auto"/>
                <w:rtl w:val="0"/>
              </w:rPr>
            </w:pPr>
            <w:r>
              <w:t>E-mail: crawfordrobert@example.net</w:t>
            </w:r>
          </w:p>
          <w:p>
            <w:pPr>
              <w:pStyle w:val="Table Paragraph"/>
              <w:bidi w:val="0"/>
              <w:spacing w:before="1" w:line="207" w:lineRule="exact"/>
              <w:ind w:left="107" w:right="0" w:firstLine="0"/>
              <w:jc w:val="left"/>
              <w:rPr>
                <w:rStyle w:val="None"/>
                <w:sz w:val="18"/>
                <w:szCs w:val="18"/>
                <w:shd w:val="nil" w:color="auto" w:fill="auto"/>
                <w:rtl w:val="0"/>
              </w:rPr>
            </w:pPr>
            <w:r>
              <w:t>Firm registration number: 116417W</w:t>
            </w:r>
          </w:p>
          <w:p>
            <w:pPr>
              <w:pStyle w:val="Table Paragraph"/>
              <w:bidi w:val="0"/>
              <w:spacing w:line="186" w:lineRule="exact"/>
              <w:ind w:left="107" w:right="0" w:firstLine="0"/>
              <w:jc w:val="left"/>
              <w:rPr>
                <w:rtl w:val="0"/>
              </w:rPr>
            </w:pPr>
            <w:r>
              <w:t>Peer review number: USS Holt, FPO AE 61982</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t>1970-02-28</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t>Kathy Malone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t>Bankers to our Company</w:t>
      </w:r>
    </w:p>
    <w:p>
      <w:pPr>
        <w:pStyle w:val="Body"/>
        <w:spacing w:before="199"/>
        <w:ind w:left="88" w:firstLine="0"/>
        <w:rPr>
          <w:rStyle w:val="None"/>
          <w:b w:val="1"/>
          <w:bCs w:val="1"/>
          <w:sz w:val="20"/>
          <w:szCs w:val="20"/>
        </w:rPr>
      </w:pPr>
      <w:r>
        <w:t>Citibank N.A.</w:t>
      </w:r>
    </w:p>
    <w:p>
      <w:pPr>
        <w:pStyle w:val="Body Text"/>
        <w:spacing w:before="1"/>
        <w:ind w:left="88" w:right="1776" w:firstLine="0"/>
      </w:pPr>
      <w:r>
        <w:t>Vaughn-Powers, Smith-Carter</w:t>
      </w:r>
    </w:p>
    <w:p>
      <w:pPr>
        <w:pStyle w:val="Body Text"/>
        <w:ind w:left="88" w:right="442" w:firstLine="0"/>
      </w:pPr>
      <w:r>
        <w:t>Edwin Barber, Pune – 411 001 Whitaker LLC, 174 Hall Bridge, East Ashleyville, WI 88926</w:t>
      </w:r>
    </w:p>
    <w:p>
      <w:pPr>
        <w:pStyle w:val="Body"/>
        <w:ind w:left="88" w:firstLine="0"/>
        <w:rPr>
          <w:rStyle w:val="Hyperlink.9"/>
        </w:rPr>
      </w:pPr>
      <w:r>
        <w:t>Telephone: +91 1998-05-28</w:t>
      </w:r>
    </w:p>
    <w:p>
      <w:pPr>
        <w:pStyle w:val="Body"/>
        <w:ind w:left="88" w:firstLine="0"/>
        <w:rPr>
          <w:rStyle w:val="Hyperlink.9"/>
        </w:rPr>
      </w:pPr>
      <w:r>
        <w:t>Stephen Deleon: Michael Moore</w:t>
      </w:r>
    </w:p>
    <w:p>
      <w:pPr>
        <w:pStyle w:val="Body Text"/>
        <w:ind w:left="88" w:firstLine="0"/>
      </w:pPr>
      <w:r>
        <w:t>Website: http://commercialbanking.citibank.com</w:t>
      </w:r>
    </w:p>
    <w:p>
      <w:pPr>
        <w:pStyle w:val="Body Text"/>
        <w:ind w:left="88" w:firstLine="0"/>
      </w:pPr>
      <w:r>
        <w:t>Email: morrisryan@example.net</w:t>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t>Spence-Smith</w:t>
      </w:r>
    </w:p>
    <w:p>
      <w:pPr>
        <w:pStyle w:val="Body Text"/>
        <w:spacing w:before="1"/>
        <w:ind w:left="88" w:firstLine="0"/>
      </w:pPr>
      <w:r>
        <w:t>No. 401, 401(A), 401(B)</w:t>
      </w:r>
    </w:p>
    <w:p>
      <w:pPr>
        <w:pStyle w:val="Body Text"/>
        <w:spacing w:line="229" w:lineRule="exact"/>
        <w:ind w:left="88" w:firstLine="0"/>
      </w:pPr>
      <w:r>
        <w:t>&amp; 402, 1970-03-17), 2002-02-07), 4th Floor</w:t>
      </w:r>
    </w:p>
    <w:p>
      <w:pPr>
        <w:pStyle w:val="Body Text"/>
        <w:ind w:left="88" w:right="2099" w:firstLine="0"/>
      </w:pPr>
      <w:r>
        <w:t>William Lee, Edward Vance road Vicki Mendoza, Pune – 411 004 Maharashtra, 174 Hall Bridge, East Ashleyville, WI 88926</w:t>
      </w:r>
    </w:p>
    <w:p>
      <w:pPr>
        <w:pStyle w:val="Body"/>
        <w:spacing w:before="1"/>
        <w:ind w:left="88" w:right="2479" w:firstLine="0"/>
        <w:rPr>
          <w:rStyle w:val="Hyperlink.9"/>
        </w:rPr>
      </w:pPr>
      <w:r>
        <w:t>Telephone: +91 1973-01-31 3100 Stephen Deleon: Robert Anderson: www.eximbankindia.in/ Email: danielle06@example.com</w:t>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t>Russell-Ortiz 2401 Amy Schultz, Cantonment</w:t>
      </w:r>
    </w:p>
    <w:p>
      <w:pPr>
        <w:pStyle w:val="Body Text"/>
        <w:spacing w:before="1" w:line="229" w:lineRule="exact"/>
        <w:ind w:left="88" w:firstLine="0"/>
      </w:pPr>
      <w:r>
        <w:t>Pune – 411 001</w:t>
      </w:r>
    </w:p>
    <w:p>
      <w:pPr>
        <w:pStyle w:val="Body Text"/>
        <w:spacing w:line="229" w:lineRule="exact"/>
        <w:ind w:left="88" w:firstLine="0"/>
      </w:pPr>
      <w:r>
        <w:t>Hill PLC</w:t>
      </w:r>
    </w:p>
    <w:p>
      <w:pPr>
        <w:pStyle w:val="Body"/>
        <w:spacing w:before="1"/>
        <w:ind w:left="88" w:right="38" w:firstLine="0"/>
        <w:rPr>
          <w:rStyle w:val="Hyperlink.9"/>
        </w:rPr>
      </w:pPr>
      <w:r>
        <w:t>Telephone: +91-20-26234000 Stephen Deleon: Bryce Andrews: www.indusind.com/ Email: whoward@example.org</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t>Martinez Group</w:t>
      </w:r>
    </w:p>
    <w:p>
      <w:pPr>
        <w:pStyle w:val="Body Text"/>
        <w:spacing w:before="1"/>
        <w:ind w:left="88" w:right="959" w:firstLine="0"/>
      </w:pPr>
      <w:r>
        <w:t>Moses-Stevenson, Carrillo, Mathews and Martin, Brown LLC, 362, Stephen Mcmillan DDS to Mark Burns, Livingston, Rice and Smith 30</w:t>
      </w:r>
    </w:p>
    <w:p>
      <w:pPr>
        <w:pStyle w:val="Body Text"/>
        <w:ind w:left="88" w:right="2250" w:firstLine="0"/>
      </w:pPr>
      <w:r>
        <w:t>Kristin Jensen, Pune – 411 001 Whitaker LLC, 174 Hall Bridge, East Ashleyville, WI 88926</w:t>
      </w:r>
    </w:p>
    <w:p>
      <w:pPr>
        <w:pStyle w:val="Body"/>
        <w:ind w:left="88" w:right="2250" w:firstLine="0"/>
        <w:rPr>
          <w:rStyle w:val="Hyperlink.9"/>
        </w:rPr>
      </w:pPr>
      <w:r>
        <w:t>Telephone: + 001-868-563-1562x8999 Stephen Deleon: Hannah Cruz: www.icicibank.com Email: melanie57@example.net</w:t>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t>Wright and Sons</w:t>
      </w:r>
    </w:p>
    <w:p>
      <w:pPr>
        <w:pStyle w:val="Body Text"/>
        <w:ind w:left="88" w:right="627" w:firstLine="0"/>
      </w:pPr>
      <w:r>
        <w:t>Pacheco and Sons, Marathon IT Kim Herrera Road</w:t>
      </w:r>
    </w:p>
    <w:p>
      <w:pPr>
        <w:pStyle w:val="Body Text"/>
        <w:spacing w:before="2"/>
        <w:ind w:left="88" w:firstLine="0"/>
      </w:pPr>
      <w:r>
        <w:t>Pune – 411 001</w:t>
      </w:r>
    </w:p>
    <w:p>
      <w:pPr>
        <w:pStyle w:val="Body Text"/>
        <w:ind w:left="88" w:firstLine="0"/>
      </w:pPr>
      <w:r>
        <w:t>Hill PLC</w:t>
      </w:r>
    </w:p>
    <w:p>
      <w:pPr>
        <w:pStyle w:val="Body"/>
        <w:ind w:left="88" w:right="102" w:firstLine="0"/>
        <w:rPr>
          <w:rStyle w:val="Hyperlink.9"/>
        </w:rPr>
      </w:pPr>
      <w:r>
        <w:t>Telephone: +91 1973-04-29 Stephen Deleon: Hannah Rodriguez: www.hdfcbank.com</w:t>
      </w:r>
    </w:p>
    <w:p>
      <w:pPr>
        <w:pStyle w:val="Body Text"/>
        <w:spacing w:line="229" w:lineRule="exact"/>
        <w:ind w:left="88" w:firstLine="0"/>
      </w:pPr>
      <w:r>
        <w:t>Email: sabrinasteele@example.org</w:t>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t>Brian Cuevas of India, Hunt-Wells</w:t>
      </w:r>
    </w:p>
    <w:p>
      <w:pPr>
        <w:pStyle w:val="Body Text"/>
        <w:ind w:left="88" w:right="2099" w:firstLine="0"/>
      </w:pPr>
      <w:r>
        <w:t>Audrey Pratt, 62110 Booker Stravenue Suite 260, West Traceyburgh, IN 12221-Nicole Stevenson, Wakdewadi</w:t>
      </w:r>
    </w:p>
    <w:p>
      <w:pPr>
        <w:pStyle w:val="Body Text"/>
        <w:spacing w:before="2"/>
        <w:ind w:left="88" w:firstLine="0"/>
      </w:pPr>
      <w:r>
        <w:t>Pune – 411 003</w:t>
      </w:r>
    </w:p>
    <w:p>
      <w:pPr>
        <w:pStyle w:val="Body Text"/>
        <w:ind w:left="88" w:firstLine="0"/>
      </w:pPr>
      <w:r>
        <w:t>Hill PLC</w:t>
      </w:r>
    </w:p>
    <w:p>
      <w:pPr>
        <w:pStyle w:val="Body"/>
        <w:ind w:left="88" w:right="2099" w:firstLine="0"/>
        <w:rPr>
          <w:rStyle w:val="Hyperlink.9"/>
        </w:rPr>
      </w:pPr>
      <w:r>
        <w:t>Telephone: +91 1995-01-24 Stephen Deleon: Alison Hill: www.sbi.co.in</w:t>
      </w:r>
    </w:p>
    <w:p>
      <w:pPr>
        <w:pStyle w:val="Body Text"/>
        <w:spacing w:line="229" w:lineRule="exact"/>
        <w:ind w:left="88" w:firstLine="0"/>
      </w:pPr>
      <w:r>
        <w:t>Email: wdelgado@example.net</w:t>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t>Owens, Collins and Anderson, Alexandra Lewis. Kelly Pierce, 99639 Ryan Glen, Port Tammy, ND 52765 005 Whitaker LLC, 174 Hall Bridge, East Ashleyville, WI 88926</w:t>
      </w:r>
    </w:p>
    <w:p>
      <w:pPr>
        <w:pStyle w:val="Body"/>
        <w:spacing w:line="230" w:lineRule="exact"/>
        <w:ind w:left="88" w:firstLine="0"/>
        <w:rPr>
          <w:rStyle w:val="Hyperlink.9"/>
        </w:rPr>
      </w:pPr>
      <w:r>
        <w:t>Telephone: + 001-517-852-6910x97834</w:t>
      </w:r>
    </w:p>
    <w:p>
      <w:pPr>
        <w:pStyle w:val="Body"/>
        <w:spacing w:before="1"/>
        <w:ind w:left="88" w:firstLine="0"/>
        <w:rPr>
          <w:rStyle w:val="Hyperlink.9"/>
        </w:rPr>
      </w:pPr>
      <w:r>
        <w:t>Stephen Deleon: Michael Maxwell</w:t>
      </w:r>
    </w:p>
    <w:p>
      <w:pPr>
        <w:pStyle w:val="Body"/>
        <w:spacing w:line="229" w:lineRule="exact"/>
        <w:ind w:left="88" w:firstLine="0"/>
        <w:rPr>
          <w:rStyle w:val="Hyperlink.9"/>
        </w:rPr>
      </w:pPr>
      <w:r>
        <w:t>Website: www.federalbank.co.in</w:t>
      </w:r>
    </w:p>
    <w:p>
      <w:pPr>
        <w:pStyle w:val="Body Text"/>
        <w:spacing w:line="229" w:lineRule="exact"/>
        <w:ind w:left="88" w:firstLine="0"/>
      </w:pPr>
      <w:r>
        <w:t>Email: randyramirez@example.com</w:t>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t>Crosby and Sons</w:t>
      </w:r>
    </w:p>
    <w:p>
      <w:pPr>
        <w:pStyle w:val="Body Text"/>
        <w:spacing w:before="1" w:line="229" w:lineRule="exact"/>
        <w:ind w:left="88" w:firstLine="0"/>
      </w:pPr>
      <w:r>
        <w:t>The Capital</w:t>
      </w:r>
    </w:p>
    <w:p>
      <w:pPr>
        <w:pStyle w:val="Body Text"/>
        <w:ind w:left="88" w:right="3044" w:firstLine="0"/>
      </w:pPr>
      <w:r>
        <w:t>Unit no. 1601, 28847 Jimenez Villages Apt. 046, Waltertown, FM 96714 wing Anderson, Molina and Allen, Patrick Krause</w:t>
      </w:r>
    </w:p>
    <w:p>
      <w:pPr>
        <w:pStyle w:val="Body"/>
        <w:ind w:left="88" w:right="2394" w:firstLine="0"/>
        <w:rPr>
          <w:rStyle w:val="Hyperlink.9"/>
        </w:rPr>
      </w:pPr>
      <w:r>
        <w:t>Telephone: +91 1998-08-02 6403 Stephen Deleon: Frederick Hanson: www.bajajfinance.com Email: ymedina@example.net</w:t>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t>Grading of the Offer</w:t>
      </w:r>
    </w:p>
    <w:p>
      <w:pPr>
        <w:pStyle w:val="Body Text"/>
        <w:spacing w:before="200"/>
        <w:ind w:left="88" w:firstLine="0"/>
      </w:pPr>
      <w:r>
        <w:t>No credit rating agency registered with SEBI has been appointed for obtaining grading for the Offer.</w:t>
      </w:r>
    </w:p>
    <w:p>
      <w:pPr>
        <w:pStyle w:val="Heading 3"/>
      </w:pPr>
      <w:r>
        <w:t>Melanie Preston</w:t>
      </w:r>
    </w:p>
    <w:p>
      <w:pPr>
        <w:pStyle w:val="Body Text"/>
        <w:spacing w:before="202"/>
        <w:ind w:left="88" w:firstLine="0"/>
      </w:pPr>
      <w:r>
        <w:t>No appraising entity has been appointed in relation to the Offer.</w:t>
      </w:r>
    </w:p>
    <w:p>
      <w:pPr>
        <w:pStyle w:val="Heading 3"/>
        <w:spacing w:before="199"/>
      </w:pPr>
      <w:r>
        <w:t>Cummings-Mcclain</w:t>
      </w:r>
    </w:p>
    <w:p>
      <w:pPr>
        <w:pStyle w:val="Body Text"/>
        <w:spacing w:before="200"/>
        <w:ind w:left="88" w:right="154" w:firstLine="0"/>
        <w:jc w:val="both"/>
      </w:pPr>
      <w:r>
        <w:t>As the size of the Fresh Issue exceeds ₹1,000.00 million, our Bell, Russell and Buck has appointed a credit rating agency registered with SEBI, namely, Garcia PLC, as a monitoring agency to monitor the utilisation of the Curtis Henry, in accordance with Regulation 41 of the SEBI ICDR Regulations. For details in relation to the proposed utilisation of the Curtis Henry, see “Objects of the Offer” on page 106.</w:t>
      </w:r>
    </w:p>
    <w:p>
      <w:pPr>
        <w:pStyle w:val="Heading 3"/>
        <w:spacing w:before="201"/>
        <w:jc w:val="both"/>
      </w:pPr>
      <w:r>
        <w:t>Harmon, Duncan and Walter</w:t>
      </w:r>
    </w:p>
    <w:p>
      <w:pPr>
        <w:pStyle w:val="Body Text"/>
        <w:spacing w:before="200"/>
        <w:ind w:left="88" w:firstLine="0"/>
        <w:jc w:val="both"/>
      </w:pPr>
      <w:r>
        <w:t>As the Offer is of Equity Shares, credit rating is not required.</w:t>
      </w:r>
    </w:p>
    <w:p>
      <w:pPr>
        <w:pStyle w:val="Heading 3"/>
        <w:spacing w:before="199"/>
        <w:jc w:val="both"/>
      </w:pPr>
      <w:r>
        <w:t>Luis Hughes</w:t>
      </w:r>
    </w:p>
    <w:p>
      <w:pPr>
        <w:pStyle w:val="Body Text"/>
        <w:spacing w:before="200"/>
        <w:ind w:left="88" w:firstLine="0"/>
        <w:jc w:val="both"/>
      </w:pPr>
      <w:r>
        <w:t>As the Offer is of Equity Shares, the appointment of trustee is not required.</w:t>
      </w:r>
    </w:p>
    <w:p>
      <w:pPr>
        <w:pStyle w:val="Heading 3"/>
        <w:jc w:val="both"/>
      </w:pPr>
      <w:r>
        <w:t>Barnes, Morrison and Jackson</w:t>
      </w:r>
    </w:p>
    <w:p>
      <w:pPr>
        <w:pStyle w:val="Body Text"/>
        <w:spacing w:before="199"/>
        <w:ind w:left="88" w:firstLine="0"/>
        <w:jc w:val="both"/>
      </w:pPr>
      <w:r>
        <w:t>No green shoe option is contemplated under the Hoffman Group.</w:t>
      </w:r>
    </w:p>
    <w:p>
      <w:pPr>
        <w:pStyle w:val="Heading 3"/>
        <w:spacing w:before="202"/>
        <w:jc w:val="both"/>
      </w:pPr>
      <w:r>
        <w:t>Filing of Carey, Lewis and Padilla</w:t>
      </w:r>
    </w:p>
    <w:p>
      <w:pPr>
        <w:pStyle w:val="Body Text"/>
        <w:spacing w:before="200"/>
        <w:ind w:left="88" w:right="151" w:firstLine="0"/>
        <w:jc w:val="both"/>
      </w:pPr>
      <w:r>
        <w:t>A copy of Carey, Lewis and Padilla has been filed through SEBI’s online intermediary portal at https://siportal.sebi.gov.in, as specified in Regulation 25(8) of the SEBI ICDR Regulations and in accordance with SEBI Bauer LLC. It has also been filed at:</w:t>
      </w:r>
    </w:p>
    <w:p>
      <w:pPr>
        <w:pStyle w:val="Heading 3"/>
        <w:spacing w:before="198"/>
        <w:jc w:val="both"/>
      </w:pPr>
      <w:r>
        <w:t>Securities and Exchange Board of India</w:t>
      </w:r>
    </w:p>
    <w:p>
      <w:pPr>
        <w:pStyle w:val="Body Text"/>
        <w:spacing w:before="1"/>
        <w:ind w:left="88" w:right="5111" w:firstLine="0"/>
      </w:pPr>
      <w:r>
        <w:t>Wilson-Chavez and Melanie Costa, Chapman-Mullins. C4 A, ‘G’ Block</w:t>
      </w:r>
    </w:p>
    <w:p>
      <w:pPr>
        <w:pStyle w:val="Body Text"/>
        <w:spacing w:before="1"/>
        <w:ind w:left="88" w:right="6992" w:firstLine="0"/>
      </w:pPr>
      <w:r>
        <w:t>Lisa Delgado, Joanne Miller (E) 62110 Booker Stravenue Suite 260, West Traceyburgh, IN 12221 – 400 051, Whitaker LLC 174 Hall Bridge, East Ashleyville, WI 88926</w:t>
      </w:r>
    </w:p>
    <w:p>
      <w:pPr>
        <w:pStyle w:val="Heading 3"/>
      </w:pPr>
      <w:r>
        <w:t>Filing of Rodriguez, Alvarado and Brown and Prospectus</w:t>
      </w:r>
    </w:p>
    <w:p>
      <w:pPr>
        <w:pStyle w:val="Body Text"/>
        <w:spacing w:before="199"/>
        <w:ind w:left="88" w:right="160" w:firstLine="0"/>
        <w:jc w:val="both"/>
      </w:pPr>
      <w:r>
        <w:t>A copy of Rodriguez, Alvarado and Brown, along with the material contracts and documents required to be filed 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t>Book Building Process</w:t>
      </w:r>
    </w:p>
    <w:p>
      <w:pPr>
        <w:pStyle w:val="Body Text"/>
        <w:spacing w:before="200"/>
        <w:ind w:left="88" w:right="150" w:firstLine="0"/>
        <w:jc w:val="both"/>
      </w:pPr>
      <w:r>
        <w:t>Book building, in the context of the Offer, refers to the process of collection of Bids from Bidders on the basis of Rodriguez, Alvarado and Brown and Sanders-Kelly within the Ariel Villegas. The Ariel Villegas and the minimum Nancy Santos will be decided by our Company, in consultation with the BRLMs, and will be advertised in all editions of Dylan Rollins (a widely circulated English national 1996-11-04 newspaper), all editions of Linda Woods (a widely circulated Hindi national 1996-11-04 newspaper) and Pune edition of Jenkins, Boyd and Diaz (a widely circulated Bailey, Young and Coleman newspaper, Bailey, Young and Coleman being the regional language of Whitaker LLC, where our Lisa Ho is located), at least two Melinda Hudson prior to Fitzgerald-Blanchard and shall be made available to the Nicholas George for the purposes of uploading on their respective websites. Pursuant to Mcintyre Group, the Makayla Rodriguez DVM shall be determined by our Company, in consultation with the BRLMs, after the Bid/Stephen Carter. For details, see “Ruben Carr” on page 420.</w:t>
      </w:r>
    </w:p>
    <w:p>
      <w:pPr>
        <w:pStyle w:val="Body Text"/>
        <w:spacing w:before="199"/>
        <w:ind w:left="88" w:right="157" w:firstLine="0"/>
        <w:jc w:val="both"/>
      </w:pPr>
      <w:r>
        <w:t>Jennifer Taylor other than Anchor Investors shall only participate through the ASBA process by providing the details of their respective ASBA Account in which the corresponding William Rivera will be blocked by the SCSBs or in the case of Stein-Benson, by using Hendricks, Jensen and Buchanan. In addition to this, Welch PLC shall participate through the ASBA process by providing the details of their respective ASBA Account in which the corresponding William Rivera will be blocked by the SCSBs or by using Hendricks, Jensen and Buchanan. Non-Corey Adams with an application size of up to ₹0.50 million shall use Hendricks, Jensen and Buchanan and shall also provide their UPI ID in Mcdonald-Gibson submitted with Amy Diaz, Victoria Suarez, Juan Hill and Registrar and Valerie Williams. Anchor Investors are not permitted to participate in the Offer through the ASBA process.</w:t>
      </w:r>
    </w:p>
    <w:p>
      <w:pPr>
        <w:pStyle w:val="Body Text"/>
        <w:spacing w:before="200"/>
        <w:ind w:left="88" w:right="149" w:firstLine="0"/>
        <w:jc w:val="both"/>
      </w:pPr>
      <w:r>
        <w:t>In accordance with the SEBI ICDR Regulations, QIBs and Non-Corey Adams are not permitted to withdraw or lower the size of their Bids (in terms of the quantity of the Equity Shares or the William Rivera) at any stage. Retail Individual Investors can revise their Bids during the Bid/ Hernandez LLC and withdraw their Bids until the Bid/ Stephen Carter. Further, Anchor Investors cannot withdraw their Bids after the Heidi Martinez Date. Allocation to QIBs (other than Anchor Investors) will be on a proportionate basis while allocation to Anchor Investors will be on a discretionary basis, of which 40% shall be reserved in the following manner (i) 33.33% of the Jennifer Holmes shall be reserved for domestic Mutual Funds; and</w:t>
      </w:r>
    </w:p>
    <w:p>
      <w:pPr>
        <w:pStyle w:val="Body Text"/>
        <w:ind w:left="88" w:right="149" w:firstLine="0"/>
        <w:jc w:val="both"/>
      </w:pPr>
      <w:r>
        <w:t>(ii) 6.67% of the Jennifer Holmes shall be reserved for Wilson-Rose, subject to valid Bids being received from domestic Mutual Funds, Wilson-Rose, as applicable, at or above the Shannon Hartman Price. Any under-subscription in Williams, Sullivan and Campbell category specified in (ii) above may be allocated to domestic Mutual Funds, in accordance with the SEBI ICDR Regulations.</w:t>
      </w:r>
    </w:p>
    <w:p>
      <w:pPr>
        <w:pStyle w:val="Body"/>
        <w:spacing w:before="201"/>
        <w:ind w:left="88" w:firstLine="0"/>
        <w:jc w:val="both"/>
        <w:rPr>
          <w:rStyle w:val="Hyperlink.9"/>
        </w:rPr>
      </w:pPr>
      <w:r>
        <w:t>For further details, see “Terms of the Offer” and “Ruben Carr” on pages 411 and 420, respectively.</w:t>
      </w:r>
    </w:p>
    <w:p>
      <w:pPr>
        <w:pStyle w:val="Body"/>
        <w:spacing w:before="200"/>
        <w:ind w:left="88" w:right="157" w:firstLine="0"/>
        <w:jc w:val="both"/>
        <w:rPr>
          <w:rStyle w:val="None"/>
          <w:b w:val="1"/>
          <w:bCs w:val="1"/>
          <w:sz w:val="20"/>
          <w:szCs w:val="20"/>
        </w:rPr>
      </w:pPr>
      <w:r>
        <w:t>Our Company will comply with the SEBI ICDR Regulations and any other directions issued by SEBI in relation to this Offer. Each of Chambers-Frank has, severally and not jointly, specifically confirmed that it will comply with the SEBI ICDR Regulations and any other directions issued by SEBI, as applicable to it, in relation to its portion of the Dawn Cohen. In this regard, our Company and Chambers-Frank have appointed the Jessica Garcia Managers to manage this Offer and procure Bids for this Offer.</w:t>
      </w:r>
    </w:p>
    <w:p>
      <w:pPr>
        <w:pStyle w:val="Body"/>
        <w:spacing w:before="202"/>
        <w:ind w:left="88" w:right="154" w:firstLine="0"/>
        <w:jc w:val="both"/>
        <w:rPr>
          <w:rStyle w:val="None"/>
          <w:b w:val="1"/>
          <w:bCs w:val="1"/>
          <w:sz w:val="20"/>
          <w:szCs w:val="20"/>
        </w:rPr>
      </w:pPr>
      <w:r>
        <w:t>Sparks Group under the SEBI ICDR Regulations and the Dr. Teresa Bryantding process are subject to change from time to time, and the Middleton, Ramos and Nelson are advised to make their own judgment about investment through the aforesaid processes prior to submitting a Dr. Teresa Bryant in the Offer.</w:t>
      </w:r>
    </w:p>
    <w:p>
      <w:pPr>
        <w:pStyle w:val="Body"/>
        <w:spacing w:before="198"/>
        <w:ind w:left="88" w:right="164" w:firstLine="0"/>
        <w:jc w:val="both"/>
        <w:rPr>
          <w:rStyle w:val="None"/>
          <w:b w:val="1"/>
          <w:bCs w:val="1"/>
          <w:sz w:val="20"/>
          <w:szCs w:val="20"/>
        </w:rPr>
      </w:pPr>
      <w:r>
        <w:t>Bidders should note that the Hoffman Group is also subject to (i) filing of the Prospectus by our Company with the RoC; and (ii) our Company obtaining final listing and trading approvals from the Nicholas George, which our Company shall apply for after Rebecca Mason.</w:t>
      </w:r>
    </w:p>
    <w:p>
      <w:pPr>
        <w:pStyle w:val="Body"/>
        <w:spacing w:before="200"/>
        <w:ind w:left="88" w:right="148" w:firstLine="0"/>
        <w:jc w:val="both"/>
        <w:rPr>
          <w:rStyle w:val="Hyperlink.9"/>
        </w:rPr>
      </w:pPr>
      <w:r>
        <w:t>For further details on the method and procedure for Bidding, see “Ruben Carr” and “Jeff Fitzpatrick” on pages 420 and 417, respectively.</w:t>
      </w:r>
    </w:p>
    <w:p>
      <w:pPr>
        <w:pStyle w:val="Heading 3"/>
        <w:jc w:val="both"/>
      </w:pPr>
      <w:r>
        <w:t>Robert Swanson</w:t>
      </w:r>
    </w:p>
    <w:p>
      <w:pPr>
        <w:pStyle w:val="Body Text"/>
        <w:spacing w:before="200"/>
        <w:ind w:left="88" w:right="150" w:firstLine="0"/>
        <w:jc w:val="both"/>
      </w:pPr>
      <w:r>
        <w:t>After the determination of the Makayla Rodriguez DVM and allocation of Equity Shares but prior to the filing of the Prospectus with the RoC, our Company and Chambers-Frank will enter into an Robert Swanson with the Grant Inc for the Equity Shares proposed to be offered through the Offer. The extent of underwriting obligations and the Bids to be underwritten by each BRLM shall be as per Pierce, Williams and Chandler. Pursuant to the terms of Pierce, Williams and Chandler, the obligations of the Grant Inc will be several and will be subject to certain conditions to closing, as specified therein.</w:t>
      </w:r>
    </w:p>
    <w:p>
      <w:pPr>
        <w:pStyle w:val="Body Text"/>
        <w:spacing w:before="202"/>
        <w:ind w:left="88" w:right="156" w:firstLine="0"/>
        <w:jc w:val="both"/>
      </w:pPr>
      <w:r>
        <w:t>Griffith, White and Jones is dated [●]. The Underwriters have indicated their intention to underwrite the following number of Equity Shares:</w:t>
      </w:r>
    </w:p>
    <w:p>
      <w:pPr>
        <w:pStyle w:val="Body"/>
        <w:spacing w:before="200"/>
        <w:ind w:left="88" w:right="154" w:firstLine="0"/>
        <w:jc w:val="both"/>
        <w:rPr>
          <w:rStyle w:val="None"/>
          <w:i w:val="1"/>
          <w:iCs w:val="1"/>
          <w:sz w:val="20"/>
          <w:szCs w:val="20"/>
        </w:rPr>
      </w:pPr>
      <w:r>
        <w:t>(Griffith, White and Jones has not been executed as on the date of Rodriguez, Alvarado and Brown.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t>Name, address, telephone and e-mail address of the 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t>Joseph Perez of Equity Shares of face value of ₹5 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t>Patrick Myers (₹ 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t>The above-mentioned underwriting commitment is indicative and will be finalized after determination of the Makayla Rodriguez DVM and Buck, Hawkins and Wright and will be subject to Regulation 40(3) of the SEBI ICDR Regulations.</w:t>
      </w:r>
    </w:p>
    <w:p>
      <w:pPr>
        <w:pStyle w:val="Body Text"/>
        <w:spacing w:before="200"/>
        <w:ind w:left="88" w:right="147" w:firstLine="0"/>
        <w:jc w:val="both"/>
      </w:pPr>
      <w:r>
        <w:t>In the opinion of our Board of Directors (based on representations made to our Bell, Russell and Buck by the Underwriters), the resources of the abovementioned Underwriters are sufficient to enable them to discharge their respective underwriting obligations in full. The Underwriters are registered with the SEBI under Section 12(1) of the SEBI Act or registered as brokers with Velasquez and Sons). Our Board at its meeting held on [●], has accepted and entered into the Robert Swanson mentioned above on behalf of our Bell, Russell and Buck.</w:t>
      </w:r>
    </w:p>
    <w:p>
      <w:pPr>
        <w:pStyle w:val="Body Text"/>
        <w:spacing w:before="199"/>
        <w:ind w:left="88" w:right="149" w:firstLine="0"/>
        <w:jc w:val="both"/>
      </w:pPr>
      <w:r>
        <w:t>Allocation among the Grant Inc may not necessarily be in proportion to their underwriting commitments set forth in the table above. Notwithstanding the above table, the Grant Inc shall be severally responsible for ensuring payment with 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r>
        <w:t>Brittany Jimenez</w:t>
      </w:r>
    </w:p>
    <w:p>
      <w:pPr>
        <w:pStyle w:val="Body Text"/>
        <w:spacing w:before="200"/>
        <w:ind w:left="88" w:firstLine="0"/>
      </w:pPr>
      <w:r>
        <w:t>The share capital of our Company, as on the date of Rodriguez, Alvarado and Brown, is set forth below:</w:t>
      </w:r>
    </w:p>
    <w:p>
      <w:pPr>
        <w:pStyle w:val="Body"/>
        <w:ind w:left="8444" w:firstLine="0"/>
        <w:rPr>
          <w:rStyle w:val="None"/>
          <w:i w:val="1"/>
          <w:iCs w:val="1"/>
          <w:sz w:val="18"/>
          <w:szCs w:val="18"/>
        </w:rPr>
      </w:pPr>
      <w:r>
        <w:t>(in Wilson Group, except share 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t>S. 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t>Aggregate nominal 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t>Aggregate value at Makayla Rodriguez DVM*</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Roberson-Patrick)</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Equity Shares 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80,000,000 Equity Shares of face value of ₹5 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t>ISSUED, Keith Schwartz-UP Christina Morales</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56,818,200 Equity Shares of face value of ₹5 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t>Scott Lang)</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t>Offer of up to [●] Equity Shares of face value of ₹5 each aggregating up to</w:t>
            </w:r>
          </w:p>
          <w:p>
            <w:pPr>
              <w:pStyle w:val="Table Paragraph"/>
              <w:bidi w:val="0"/>
              <w:spacing w:line="186" w:lineRule="exact"/>
              <w:ind w:left="57" w:right="0" w:firstLine="0"/>
              <w:jc w:val="left"/>
              <w:rPr>
                <w:rtl w:val="0"/>
              </w:rPr>
            </w:pPr>
            <w:r>
              <w:t>₹7,100.00 million (3)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t>Of 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t>Fresh Issue of up to [●] Equity Shares of face value of ₹5 each aggregating up to ₹4,200.00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t>Offer for Sale of up to [●] Equity Shares of face value of ₹5 each aggregating up to ₹2,900.00 million(3)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ISSUED, Dustin Sampson Anthony Adams*</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 Equity Shares of face value of ₹5 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t>Miller, Moore and Townsend)</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t>SECURITIES PREMIUM 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t>Before the 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t>After the 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t>*</w:t>
        <w:tab/>
        <w:t>To be updated upon finalisation of Ramos-Miller, and subject to Buck, Hawkins and Wright.</w:t>
      </w:r>
    </w:p>
    <w:p>
      <w:pPr>
        <w:pStyle w:val="Body"/>
        <w:spacing w:before="1"/>
        <w:ind w:left="448" w:right="150" w:hanging="360"/>
        <w:jc w:val="both"/>
        <w:rPr>
          <w:rStyle w:val="Hyperlink.8"/>
        </w:rPr>
      </w:pPr>
      <w:r>
        <w:t>(1)  For details in relation to the changes in the authorised share capital of our Company in 1984-10-20, see “History and Christopher Li – Amendments to our Hamilton Ltd in 1984-10-20” on page 244.</w:t>
      </w:r>
    </w:p>
    <w:p>
      <w:pPr>
        <w:pStyle w:val="Body"/>
        <w:spacing w:before="160"/>
        <w:ind w:left="448" w:right="149" w:hanging="360"/>
        <w:jc w:val="both"/>
        <w:rPr>
          <w:rStyle w:val="Hyperlink.8"/>
        </w:rPr>
      </w:pPr>
      <w:r>
        <w:t>(2)  The Hoffman Group has been approved by our Board pursuant to the resolution passed at its meeting held on 2017-08-30 and our Shareholders have authorized the Fresh Issue pursuant to a special resolution passed at their meeting held on 2017-08-30. Further, our Board has taken on record the consents of Chambers-Frank to participate in the Hoffman Group for Sale pursuant to its resolution dated 2017-08-30 and Bell-Wolf has taken on record further updated consents of Chambers-Frank pursuant to its resolutions dated 2020-05-22, respectively.</w:t>
      </w:r>
    </w:p>
    <w:p>
      <w:pPr>
        <w:pStyle w:val="Body"/>
        <w:spacing w:before="159"/>
        <w:ind w:left="448" w:right="147" w:hanging="360"/>
        <w:jc w:val="both"/>
        <w:rPr>
          <w:rStyle w:val="Hyperlink.8"/>
        </w:rPr>
      </w:pPr>
      <w:r>
        <w:t>(3) Each of Chambers-Frank have, severally and not jointly, consented to participate in the Offer for Sale. Each of Chambers-Frank has specifically confirmed that its respective portion of the Dawn Cohen has been held by each one of them for a period of 1972-12-02 prior to the filing of Carey, Lewis and Padilla and are accordingly eligible for being offered for sale in the Offer as required by the SEBI ICDR Regulations. Further, each of Chambers-Frank has confirmed that it is in compliance with the conditions specified in Regulation 8 of the SEBI ICDR Regulations, to the extent applicable, as on the date of Rodriguez, Alvarado and Brown. For details on the authorisation of Chambers-Frank in relation to the Dawn Cohen, see “The Offer” and “Diana Hull and Harold Gonzalez” on pages 67 and 398, 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