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sz w:val="28"/>
        </w:rPr>
        <w:t>软件杯 A3</w:t>
      </w:r>
    </w:p>
    <w:p>
      <w:pPr>
        <w:jc w:val="center"/>
      </w:pPr>
      <w:r>
        <w:rPr>
          <w:rFonts w:ascii="Times New Roman" w:hAnsi="Times New Roman" w:eastAsia="SimSun"/>
          <w:b/>
          <w:sz w:val="44"/>
        </w:rPr>
        <w:t>智学引擎系统开发说明书</w:t>
      </w:r>
    </w:p>
    <w:p>
      <w:pPr>
        <w:jc w:val="center"/>
      </w:pPr>
      <w:r>
        <w:rPr>
          <w:rFonts w:ascii="Times New Roman" w:hAnsi="Times New Roman" w:eastAsia="SimSun"/>
          <w:b w:val="0"/>
          <w:sz w:val="24"/>
        </w:rPr>
        <w:t>MySQL + Milvus + 知识图谱 + 公共 KG 对齐方案</w:t>
      </w:r>
    </w:p>
    <w:p>
      <w:pPr>
        <w:jc w:val="center"/>
      </w:pPr>
      <w:r>
        <w:rPr>
          <w:rFonts w:ascii="Times New Roman" w:hAnsi="Times New Roman" w:eastAsia="SimSun"/>
          <w:b w:val="0"/>
          <w:sz w:val="22"/>
        </w:rPr>
        <w:t>版本：v1.1</w:t>
      </w:r>
    </w:p>
    <w:p>
      <w:pPr>
        <w:jc w:val="center"/>
      </w:pPr>
      <w:r>
        <w:rPr>
          <w:rFonts w:ascii="Times New Roman" w:hAnsi="Times New Roman" w:eastAsia="SimSun"/>
          <w:b w:val="0"/>
          <w:sz w:val="21"/>
        </w:rPr>
        <w:t>生成日期：2026-06-22</w:t>
      </w:r>
    </w:p>
    <w:p/>
    <w:tbl>
      <w:tblPr>
        <w:tblW w:type="auto" w:w="0"/>
        <w:jc w:val="center"/>
        <w:tblLayout w:type="fixed"/>
        <w:tblLook w:firstColumn="1" w:firstRow="1" w:lastColumn="0" w:lastRow="0" w:noHBand="0" w:noVBand="1" w:val="04A0"/>
      </w:tblPr>
      <w:tblGrid>
        <w:gridCol w:w="4621"/>
        <w:gridCol w:w="4621"/>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8"/>
              </w:rPr>
              <w:t>项目</w:t>
            </w:r>
          </w:p>
        </w:tc>
        <w:tc>
          <w:tcPr>
            <w:tcW w:type="dxa" w:w="7200"/>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8"/>
              </w:rPr>
              <w:t>内容</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8"/>
              </w:rPr>
              <w:t>需求基线</w:t>
            </w:r>
          </w:p>
        </w:tc>
        <w:tc>
          <w:tcPr>
            <w:tcW w:type="dxa" w:w="7200"/>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8"/>
              </w:rPr>
              <w:t>软件杯A3_智学引擎_需求规格说明书_v1.2_用户系统版.docx</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8"/>
              </w:rPr>
              <w:t>覆盖矩阵</w:t>
            </w:r>
          </w:p>
        </w:tc>
        <w:tc>
          <w:tcPr>
            <w:tcW w:type="dxa" w:w="7200"/>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8"/>
              </w:rPr>
              <w:t>软件杯A3_智学引擎_比赛要求覆盖矩阵_v1.1.xlsx</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8"/>
              </w:rPr>
              <w:t>技术修订</w:t>
            </w:r>
          </w:p>
        </w:tc>
        <w:tc>
          <w:tcPr>
            <w:tcW w:type="dxa" w:w="7200"/>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8"/>
              </w:rPr>
              <w:t>将 v1.0 中 PostgreSQL/pgvector 方案调整为 MySQL + Milvus；补充知识图谱与 public_kg_alignment_paper.pdf 的 PG-Align 类技术方案。</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8"/>
              </w:rPr>
              <w:t>架构口径</w:t>
            </w:r>
          </w:p>
        </w:tc>
        <w:tc>
          <w:tcPr>
            <w:tcW w:type="dxa" w:w="7200"/>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8"/>
              </w:rPr>
              <w:t>本文中的总体架构指系统逻辑架构；另给出数据架构、算法架构和部署拓扑，避免混用。</w:t>
            </w:r>
          </w:p>
        </w:tc>
      </w:tr>
    </w:tbl>
    <w:p/>
    <w:p>
      <w:pPr>
        <w:pStyle w:val="Heading1"/>
        <w:spacing w:before="240" w:after="100"/>
      </w:pPr>
      <w:r>
        <w:rPr>
          <w:rFonts w:ascii="Times New Roman" w:hAnsi="Times New Roman" w:eastAsia="SimSun"/>
          <w:b/>
          <w:sz w:val="31"/>
        </w:rPr>
        <w:t>目录</w:t>
      </w:r>
    </w:p>
    <w:p>
      <w:r>
        <w:rPr>
          <w:rFonts w:ascii="Times New Roman" w:hAnsi="Times New Roman" w:eastAsia="SimSun"/>
          <w:b w:val="0"/>
          <w:sz w:val="21"/>
        </w:rPr>
        <w:t>1 文档概述</w:t>
      </w:r>
    </w:p>
    <w:p>
      <w:r>
        <w:rPr>
          <w:rFonts w:ascii="Times New Roman" w:hAnsi="Times New Roman" w:eastAsia="SimSun"/>
          <w:b w:val="0"/>
          <w:sz w:val="21"/>
        </w:rPr>
        <w:t>2 本机环境与技术选型</w:t>
      </w:r>
    </w:p>
    <w:p>
      <w:r>
        <w:rPr>
          <w:rFonts w:ascii="Times New Roman" w:hAnsi="Times New Roman" w:eastAsia="SimSun"/>
          <w:b w:val="0"/>
          <w:sz w:val="21"/>
        </w:rPr>
        <w:t>3 架构视图说明</w:t>
      </w:r>
    </w:p>
    <w:p>
      <w:r>
        <w:rPr>
          <w:rFonts w:ascii="Times New Roman" w:hAnsi="Times New Roman" w:eastAsia="SimSun"/>
          <w:b w:val="0"/>
          <w:sz w:val="21"/>
        </w:rPr>
        <w:t>4 系统总体逻辑架构</w:t>
      </w:r>
    </w:p>
    <w:p>
      <w:r>
        <w:rPr>
          <w:rFonts w:ascii="Times New Roman" w:hAnsi="Times New Roman" w:eastAsia="SimSun"/>
          <w:b w:val="0"/>
          <w:sz w:val="21"/>
        </w:rPr>
        <w:t>5 知识图谱与公共 KG 对齐算法设计</w:t>
      </w:r>
    </w:p>
    <w:p>
      <w:r>
        <w:rPr>
          <w:rFonts w:ascii="Times New Roman" w:hAnsi="Times New Roman" w:eastAsia="SimSun"/>
          <w:b w:val="0"/>
          <w:sz w:val="21"/>
        </w:rPr>
        <w:t>6 数据与存储架构</w:t>
      </w:r>
    </w:p>
    <w:p>
      <w:r>
        <w:rPr>
          <w:rFonts w:ascii="Times New Roman" w:hAnsi="Times New Roman" w:eastAsia="SimSun"/>
          <w:b w:val="0"/>
          <w:sz w:val="21"/>
        </w:rPr>
        <w:t>7 模块划分与工程目录</w:t>
      </w:r>
    </w:p>
    <w:p>
      <w:r>
        <w:rPr>
          <w:rFonts w:ascii="Times New Roman" w:hAnsi="Times New Roman" w:eastAsia="SimSun"/>
          <w:b w:val="0"/>
          <w:sz w:val="21"/>
        </w:rPr>
        <w:t>8 前端设计</w:t>
      </w:r>
    </w:p>
    <w:p>
      <w:r>
        <w:rPr>
          <w:rFonts w:ascii="Times New Roman" w:hAnsi="Times New Roman" w:eastAsia="SimSun"/>
          <w:b w:val="0"/>
          <w:sz w:val="21"/>
        </w:rPr>
        <w:t>9 后端与 Agent 编排设计</w:t>
      </w:r>
    </w:p>
    <w:p>
      <w:r>
        <w:rPr>
          <w:rFonts w:ascii="Times New Roman" w:hAnsi="Times New Roman" w:eastAsia="SimSun"/>
          <w:b w:val="0"/>
          <w:sz w:val="21"/>
        </w:rPr>
        <w:t>10 接口设计</w:t>
      </w:r>
    </w:p>
    <w:p>
      <w:r>
        <w:rPr>
          <w:rFonts w:ascii="Times New Roman" w:hAnsi="Times New Roman" w:eastAsia="SimSun"/>
          <w:b w:val="0"/>
          <w:sz w:val="21"/>
        </w:rPr>
        <w:t>11 安全可信与合规设计</w:t>
      </w:r>
    </w:p>
    <w:p>
      <w:r>
        <w:rPr>
          <w:rFonts w:ascii="Times New Roman" w:hAnsi="Times New Roman" w:eastAsia="SimSun"/>
          <w:b w:val="0"/>
          <w:sz w:val="21"/>
        </w:rPr>
        <w:t>12 部署与运维设计</w:t>
      </w:r>
    </w:p>
    <w:p>
      <w:r>
        <w:rPr>
          <w:rFonts w:ascii="Times New Roman" w:hAnsi="Times New Roman" w:eastAsia="SimSun"/>
          <w:b w:val="0"/>
          <w:sz w:val="21"/>
        </w:rPr>
        <w:t>13 测试与质量保障</w:t>
      </w:r>
    </w:p>
    <w:p>
      <w:r>
        <w:rPr>
          <w:rFonts w:ascii="Times New Roman" w:hAnsi="Times New Roman" w:eastAsia="SimSun"/>
          <w:b w:val="0"/>
          <w:sz w:val="21"/>
        </w:rPr>
        <w:t>14 开发计划与风险</w:t>
      </w:r>
    </w:p>
    <w:p>
      <w:r>
        <w:rPr>
          <w:rFonts w:ascii="Times New Roman" w:hAnsi="Times New Roman" w:eastAsia="SimSun"/>
          <w:b w:val="0"/>
          <w:sz w:val="21"/>
        </w:rPr>
        <w:t>附录 A 配置项清单</w:t>
      </w:r>
    </w:p>
    <w:p>
      <w:pPr>
        <w:pStyle w:val="Heading1"/>
        <w:spacing w:before="240" w:after="100"/>
      </w:pPr>
      <w:r>
        <w:rPr>
          <w:rFonts w:ascii="Times New Roman" w:hAnsi="Times New Roman" w:eastAsia="SimSun"/>
          <w:b/>
          <w:sz w:val="31"/>
        </w:rPr>
        <w:t>1 文档概述</w:t>
      </w:r>
    </w:p>
    <w:p>
      <w:r>
        <w:rPr>
          <w:rFonts w:ascii="Times New Roman" w:hAnsi="Times New Roman" w:eastAsia="SimSun"/>
          <w:b w:val="0"/>
          <w:sz w:val="21"/>
        </w:rPr>
        <w:t>本文档用于指导智学引擎系统的设计、编码、测试和部署。v1.1 在 v1.0 基础上重新校准技术选型和架构口径：数据库采用 MySQL，向量数据库采用 Milvus，知识图谱作为核心数据结构纳入系统设计，并参考 public_kg_alignment_paper.pdf 的公共知识图谱对齐思路实现学习者知识图谱构建和缺失前置知识识别。</w:t>
      </w:r>
    </w:p>
    <w:p>
      <w:pPr>
        <w:pStyle w:val="Heading2"/>
        <w:spacing w:before="160" w:after="100"/>
      </w:pPr>
      <w:r>
        <w:rPr>
          <w:rFonts w:ascii="Times New Roman" w:hAnsi="Times New Roman" w:eastAsia="SimSun"/>
          <w:b/>
          <w:sz w:val="26"/>
        </w:rPr>
        <w:t>1.1 设计原则</w:t>
      </w:r>
    </w:p>
    <w:p>
      <w:pPr>
        <w:pStyle w:val="ListBullet"/>
        <w:spacing w:after="40"/>
      </w:pPr>
      <w:r>
        <w:rPr>
          <w:rFonts w:ascii="Times New Roman" w:hAnsi="Times New Roman" w:eastAsia="SimSun"/>
          <w:sz w:val="21"/>
        </w:rPr>
        <w:t>以需求基线为准，所有技术模块必须能追溯到已确认的 UC、FR、NFR 和验收场景。</w:t>
      </w:r>
    </w:p>
    <w:p>
      <w:pPr>
        <w:pStyle w:val="ListBullet"/>
        <w:spacing w:after="40"/>
      </w:pPr>
      <w:r>
        <w:rPr>
          <w:rFonts w:ascii="Times New Roman" w:hAnsi="Times New Roman" w:eastAsia="SimSun"/>
          <w:sz w:val="21"/>
        </w:rPr>
        <w:t>以本机可部署为前提，不假设本机已经安装 MySQL、Milvus、Redis 等服务，通过 Docker Compose 提供一致运行环境。</w:t>
      </w:r>
    </w:p>
    <w:p>
      <w:pPr>
        <w:pStyle w:val="ListBullet"/>
        <w:spacing w:after="40"/>
      </w:pPr>
      <w:r>
        <w:rPr>
          <w:rFonts w:ascii="Times New Roman" w:hAnsi="Times New Roman" w:eastAsia="SimSun"/>
          <w:sz w:val="21"/>
        </w:rPr>
        <w:t>以知识图谱为核心组织课程概念、前置关系、学生掌握状态和学习路径。</w:t>
      </w:r>
    </w:p>
    <w:p>
      <w:pPr>
        <w:pStyle w:val="ListBullet"/>
        <w:spacing w:after="40"/>
      </w:pPr>
      <w:r>
        <w:rPr>
          <w:rFonts w:ascii="Times New Roman" w:hAnsi="Times New Roman" w:eastAsia="SimSun"/>
          <w:sz w:val="21"/>
        </w:rPr>
        <w:t>以 Milvus 支撑语义检索、概念召回和 RAG 检索，不把向量能力挤压到关系数据库中。</w:t>
      </w:r>
    </w:p>
    <w:p>
      <w:pPr>
        <w:pStyle w:val="ListBullet"/>
        <w:spacing w:after="40"/>
      </w:pPr>
      <w:r>
        <w:rPr>
          <w:rFonts w:ascii="Times New Roman" w:hAnsi="Times New Roman" w:eastAsia="SimSun"/>
          <w:sz w:val="21"/>
        </w:rPr>
        <w:t>以 MySQL 保存业务数据、图谱节点边、任务记录和合规清单，便于团队理解、备份和部署。</w:t>
      </w:r>
    </w:p>
    <w:p>
      <w:pPr>
        <w:pStyle w:val="ListBullet"/>
        <w:spacing w:after="40"/>
      </w:pPr>
      <w:r>
        <w:rPr>
          <w:rFonts w:ascii="Times New Roman" w:hAnsi="Times New Roman" w:eastAsia="SimSun"/>
          <w:sz w:val="21"/>
        </w:rPr>
        <w:t>以 PG-Align 类算法将公共课程 KG 和学习者个人 KG 对齐，识别缺失前置知识并驱动个性化资源生成。</w:t>
      </w:r>
    </w:p>
    <w:p>
      <w:pPr>
        <w:pStyle w:val="Heading1"/>
        <w:spacing w:before="240" w:after="100"/>
      </w:pPr>
      <w:r>
        <w:rPr>
          <w:rFonts w:ascii="Times New Roman" w:hAnsi="Times New Roman" w:eastAsia="SimSun"/>
          <w:b/>
          <w:sz w:val="31"/>
        </w:rPr>
        <w:t>2 本机环境与技术选型</w:t>
      </w:r>
    </w:p>
    <w:p>
      <w:pPr>
        <w:pStyle w:val="Heading2"/>
        <w:spacing w:before="160" w:after="100"/>
      </w:pPr>
      <w:r>
        <w:rPr>
          <w:rFonts w:ascii="Times New Roman" w:hAnsi="Times New Roman" w:eastAsia="SimSun"/>
          <w:b/>
          <w:sz w:val="26"/>
        </w:rPr>
        <w:t>2.1 本机环境检查结论</w:t>
      </w:r>
    </w:p>
    <w:tbl>
      <w:tblPr>
        <w:tblW w:type="auto" w:w="0"/>
        <w:jc w:val="center"/>
        <w:tblLayout w:type="fixed"/>
        <w:tblLook w:firstColumn="1" w:firstRow="1" w:lastColumn="0" w:lastRow="0" w:noHBand="0" w:noVBand="1" w:val="04A0"/>
      </w:tblPr>
      <w:tblGrid>
        <w:gridCol w:w="3081"/>
        <w:gridCol w:w="3081"/>
        <w:gridCol w:w="3081"/>
      </w:tblGrid>
      <w:tr>
        <w:tc>
          <w:tcPr>
            <w:tcW w:type="dxa" w:w="1587"/>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项目</w:t>
            </w:r>
          </w:p>
        </w:tc>
        <w:tc>
          <w:tcPr>
            <w:tcW w:type="dxa" w:w="351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检查结论</w:t>
            </w:r>
          </w:p>
        </w:tc>
        <w:tc>
          <w:tcPr>
            <w:tcW w:type="dxa" w:w="379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设计影响</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Docker</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本机存在 Docker 命令，但 Docker Desktop Service 当前为 Stopped。</w:t>
            </w:r>
          </w:p>
        </w:tc>
        <w:tc>
          <w:tcPr>
            <w:tcW w:type="dxa" w:w="379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项目应提供 Docker Compose；运行前需启动 Docker Desktop。</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Node.js</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本机存在 Node.js，可用于前端开发。</w:t>
            </w:r>
          </w:p>
        </w:tc>
        <w:tc>
          <w:tcPr>
            <w:tcW w:type="dxa" w:w="379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前端采用 Vue 3 + Vite，能直接开发和构建。</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Python</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本机存在 Python，可用于后端、Agent 和文档工具。</w:t>
            </w:r>
          </w:p>
        </w:tc>
        <w:tc>
          <w:tcPr>
            <w:tcW w:type="dxa" w:w="379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后端采用 FastAPI，Agent 算法可用 Python 实现。</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未发现本机 MySQL 命令或服务。</w:t>
            </w:r>
          </w:p>
        </w:tc>
        <w:tc>
          <w:tcPr>
            <w:tcW w:type="dxa" w:w="379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不依赖本机预装，使用 Docker Compose 启动 MySQL。</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未发现本机 Milvus 服务。</w:t>
            </w:r>
          </w:p>
        </w:tc>
        <w:tc>
          <w:tcPr>
            <w:tcW w:type="dxa" w:w="379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使用 Milvus Standalone Docker 服务，包含 etcd/MinIO 依赖。</w:t>
            </w:r>
          </w:p>
        </w:tc>
      </w:tr>
      <w:tr>
        <w:tc>
          <w:tcPr>
            <w:tcW w:type="dxa" w:w="1587"/>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PostgreSQL</w:t>
            </w:r>
          </w:p>
        </w:tc>
        <w:tc>
          <w:tcPr>
            <w:tcW w:type="dxa" w:w="351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未发现本机 PostgreSQL 命令或服务。</w:t>
            </w:r>
          </w:p>
        </w:tc>
        <w:tc>
          <w:tcPr>
            <w:tcW w:type="dxa" w:w="379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v1.0 选择 PostgreSQL/pgvector 不比 MySQL/Milvus 更贴合本机。</w:t>
            </w:r>
          </w:p>
        </w:tc>
      </w:tr>
    </w:tbl>
    <w:p/>
    <w:p>
      <w:pPr>
        <w:pStyle w:val="Heading2"/>
        <w:spacing w:before="160" w:after="100"/>
      </w:pPr>
      <w:r>
        <w:rPr>
          <w:rFonts w:ascii="Times New Roman" w:hAnsi="Times New Roman" w:eastAsia="SimSun"/>
          <w:b/>
          <w:sz w:val="26"/>
        </w:rPr>
        <w:t>2.2 MySQL、Milvus 选择说明</w:t>
      </w:r>
    </w:p>
    <w:tbl>
      <w:tblPr>
        <w:tblW w:type="auto" w:w="0"/>
        <w:jc w:val="center"/>
        <w:tblLayout w:type="fixed"/>
        <w:tblLook w:firstColumn="1" w:firstRow="1" w:lastColumn="0" w:lastRow="0" w:noHBand="0" w:noVBand="1" w:val="04A0"/>
      </w:tblPr>
      <w:tblGrid>
        <w:gridCol w:w="3081"/>
        <w:gridCol w:w="3081"/>
        <w:gridCol w:w="3081"/>
      </w:tblGrid>
      <w:tr>
        <w:tc>
          <w:tcPr>
            <w:tcW w:type="dxa" w:w="204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问题</w:t>
            </w:r>
          </w:p>
        </w:tc>
        <w:tc>
          <w:tcPr>
            <w:tcW w:type="dxa" w:w="181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结论</w:t>
            </w:r>
          </w:p>
        </w:tc>
        <w:tc>
          <w:tcPr>
            <w:tcW w:type="dxa" w:w="5046"/>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理由</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为什么不沿用 PostgreSQL/pgvector</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v1.1 不沿用。</w:t>
            </w:r>
          </w:p>
        </w:tc>
        <w:tc>
          <w:tcPr>
            <w:tcW w:type="dxa" w:w="5046"/>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v1.0 主要出于简化部署考虑；但本机并没有 PostgreSQL，且赛题包含 RAG、多模态资源和知识图谱，对向量检索独立扩展更有价值。</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为什么选 MySQL</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作为关系业务库。</w:t>
            </w:r>
          </w:p>
        </w:tc>
        <w:tc>
          <w:tcPr>
            <w:tcW w:type="dxa" w:w="5046"/>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MySQL 8 在教学项目和团队协作中更常见，适合保存用户、画像、资源、任务、审核、合规和图谱节点边；通过 Docker 可稳定复现。</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为什么选 Milvus</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作为向量数据库。</w:t>
            </w:r>
          </w:p>
        </w:tc>
        <w:tc>
          <w:tcPr>
            <w:tcW w:type="dxa" w:w="5046"/>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Milvus 更适合大规模文本块、资源、题目、概念描述和多模态素材 embedding 检索，便于后续扩展混合检索和向量召回。</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是否需要 Neo4j</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P0 不强制。</w:t>
            </w:r>
          </w:p>
        </w:tc>
        <w:tc>
          <w:tcPr>
            <w:tcW w:type="dxa" w:w="5046"/>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本系统知识图谱可以先用 MySQL 节点表和边表实现；如果后续需要复杂图算法，可同步到 Neo4j 作为增强模块。</w:t>
            </w:r>
          </w:p>
        </w:tc>
      </w:tr>
      <w:tr>
        <w:tc>
          <w:tcPr>
            <w:tcW w:type="dxa" w:w="204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是否符合本机状况</w:t>
            </w:r>
          </w:p>
        </w:tc>
        <w:tc>
          <w:tcPr>
            <w:tcW w:type="dxa" w:w="181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符合可复现原则。</w:t>
            </w:r>
          </w:p>
        </w:tc>
        <w:tc>
          <w:tcPr>
            <w:tcW w:type="dxa" w:w="5046"/>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当前本机没有运行数据库服务，因此不应绑定某个已安装服务；以 Docker Compose 固化依赖更可靠。</w:t>
            </w:r>
          </w:p>
        </w:tc>
      </w:tr>
    </w:tbl>
    <w:p/>
    <w:p>
      <w:pPr>
        <w:pStyle w:val="Heading1"/>
        <w:spacing w:before="240" w:after="100"/>
      </w:pPr>
      <w:r>
        <w:rPr>
          <w:rFonts w:ascii="Times New Roman" w:hAnsi="Times New Roman" w:eastAsia="SimSun"/>
          <w:b/>
          <w:sz w:val="31"/>
        </w:rPr>
        <w:t>3 架构视图说明</w:t>
      </w:r>
    </w:p>
    <w:p>
      <w:r>
        <w:rPr>
          <w:rFonts w:ascii="Times New Roman" w:hAnsi="Times New Roman" w:eastAsia="SimSun"/>
          <w:b w:val="0"/>
          <w:sz w:val="21"/>
        </w:rPr>
        <w:t>为避免“架构”概念混用，本文将架构拆成四个视图：系统总体逻辑架构、数据与知识图谱架构、算法架构、部署拓扑。后续开发文档和汇报材料应保持这四个口径一致。</w:t>
      </w:r>
    </w:p>
    <w:tbl>
      <w:tblPr>
        <w:tblW w:type="auto" w:w="0"/>
        <w:jc w:val="center"/>
        <w:tblLayout w:type="fixed"/>
        <w:tblLook w:firstColumn="1" w:firstRow="1" w:lastColumn="0" w:lastRow="0" w:noHBand="0" w:noVBand="1" w:val="04A0"/>
      </w:tblPr>
      <w:tblGrid>
        <w:gridCol w:w="3081"/>
        <w:gridCol w:w="3081"/>
        <w:gridCol w:w="3081"/>
      </w:tblGrid>
      <w:tr>
        <w:tc>
          <w:tcPr>
            <w:tcW w:type="dxa" w:w="226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架构视图</w:t>
            </w:r>
          </w:p>
        </w:tc>
        <w:tc>
          <w:tcPr>
            <w:tcW w:type="dxa" w:w="419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回答的问题</w:t>
            </w:r>
          </w:p>
        </w:tc>
        <w:tc>
          <w:tcPr>
            <w:tcW w:type="dxa" w:w="243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本文位置</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系统总体逻辑架构</w:t>
            </w:r>
          </w:p>
        </w:tc>
        <w:tc>
          <w:tcPr>
            <w:tcW w:type="dxa" w:w="419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系统有哪些层、模块和主要依赖。</w:t>
            </w:r>
          </w:p>
        </w:tc>
        <w:tc>
          <w:tcPr>
            <w:tcW w:type="dxa" w:w="243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第 4 章</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数据与知识图谱架构</w:t>
            </w:r>
          </w:p>
        </w:tc>
        <w:tc>
          <w:tcPr>
            <w:tcW w:type="dxa" w:w="419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MySQL、Milvus、Redis、MinIO 和 KG 数据如何组织。</w:t>
            </w:r>
          </w:p>
        </w:tc>
        <w:tc>
          <w:tcPr>
            <w:tcW w:type="dxa" w:w="243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第 6 章</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算法架构</w:t>
            </w:r>
          </w:p>
        </w:tc>
        <w:tc>
          <w:tcPr>
            <w:tcW w:type="dxa" w:w="419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如何参考公共 KG 对齐论文完成个人知识图谱构建和缺失前置知识识别。</w:t>
            </w:r>
          </w:p>
        </w:tc>
        <w:tc>
          <w:tcPr>
            <w:tcW w:type="dxa" w:w="243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第 5 章</w:t>
            </w:r>
          </w:p>
        </w:tc>
      </w:tr>
      <w:tr>
        <w:tc>
          <w:tcPr>
            <w:tcW w:type="dxa" w:w="226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部署拓扑</w:t>
            </w:r>
          </w:p>
        </w:tc>
        <w:tc>
          <w:tcPr>
            <w:tcW w:type="dxa" w:w="419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本机和初赛环境如何启动服务。</w:t>
            </w:r>
          </w:p>
        </w:tc>
        <w:tc>
          <w:tcPr>
            <w:tcW w:type="dxa" w:w="243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第 12 章</w:t>
            </w:r>
          </w:p>
        </w:tc>
      </w:tr>
    </w:tbl>
    <w:p/>
    <w:p>
      <w:pPr>
        <w:pStyle w:val="Heading1"/>
        <w:spacing w:before="240" w:after="100"/>
      </w:pPr>
      <w:r>
        <w:rPr>
          <w:rFonts w:ascii="Times New Roman" w:hAnsi="Times New Roman" w:eastAsia="SimSun"/>
          <w:b/>
          <w:sz w:val="31"/>
        </w:rPr>
        <w:t>4 系统总体逻辑架构</w:t>
      </w:r>
    </w:p>
    <w:p>
      <w:r>
        <w:rPr>
          <w:rFonts w:ascii="Times New Roman" w:hAnsi="Times New Roman" w:eastAsia="SimSun"/>
          <w:b w:val="0"/>
          <w:sz w:val="21"/>
        </w:rPr>
        <w:t>系统总体逻辑架构描述的是产品和服务层面的组件关系，不等同于物理部署图。它用于说明前端、后端、Agent、数据服务和外部模型之间如何协作。</w:t>
      </w:r>
    </w:p>
    <w:p>
      <w:r>
        <w:drawing>
          <wp:inline xmlns:a="http://schemas.openxmlformats.org/drawingml/2006/main" xmlns:pic="http://schemas.openxmlformats.org/drawingml/2006/picture">
            <wp:extent cx="5943600" cy="38039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803904"/>
                    </a:xfrm>
                    <a:prstGeom prst="rect"/>
                  </pic:spPr>
                </pic:pic>
              </a:graphicData>
            </a:graphic>
          </wp:inline>
        </w:drawing>
      </w:r>
    </w:p>
    <w:p>
      <w:pPr>
        <w:jc w:val="center"/>
      </w:pPr>
      <w:r>
        <w:rPr>
          <w:rFonts w:ascii="Times New Roman" w:hAnsi="Times New Roman" w:eastAsia="SimSun"/>
          <w:b w:val="0"/>
          <w:sz w:val="18"/>
        </w:rPr>
        <w:t>图 1 系统总体逻辑架构</w:t>
      </w:r>
    </w:p>
    <w:tbl>
      <w:tblPr>
        <w:tblW w:type="auto" w:w="0"/>
        <w:jc w:val="center"/>
        <w:tblLayout w:type="fixed"/>
        <w:tblLook w:firstColumn="1" w:firstRow="1" w:lastColumn="0" w:lastRow="0" w:noHBand="0" w:noVBand="1" w:val="04A0"/>
      </w:tblPr>
      <w:tblGrid>
        <w:gridCol w:w="3081"/>
        <w:gridCol w:w="3081"/>
        <w:gridCol w:w="3081"/>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层次</w:t>
            </w:r>
          </w:p>
        </w:tc>
        <w:tc>
          <w:tcPr>
            <w:tcW w:type="dxa" w:w="351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职责</w:t>
            </w:r>
          </w:p>
        </w:tc>
        <w:tc>
          <w:tcPr>
            <w:tcW w:type="dxa" w:w="368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主要组件</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用户交互层</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提供学生、教师和管理员操作入口。</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学生端、教师端、资源卡片、系统管理端。</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应用服务层</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处理业务 API、权限、画像、资源、路径、监控和知识库管理。</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FastAPI、Service、Repository、SSE。</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智能体与算法层</w:t>
            </w:r>
          </w:p>
        </w:tc>
        <w:tc>
          <w:tcPr>
            <w:tcW w:type="dxa" w:w="351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执行画像、KG 对齐、检索、规划、生成、审核和评估。</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Agent Orchestrator、KGAlignmentAgent、RetrieverAgent、GeneratorAgent。</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数据基础设施层</w:t>
            </w:r>
          </w:p>
        </w:tc>
        <w:tc>
          <w:tcPr>
            <w:tcW w:type="dxa" w:w="351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保存业务数据、图谱、向量索引、缓存、文件资源和日志。</w:t>
            </w:r>
          </w:p>
        </w:tc>
        <w:tc>
          <w:tcPr>
            <w:tcW w:type="dxa" w:w="368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MySQL、Milvus、Redis、MinIO、课程公共 KG。</w:t>
            </w:r>
          </w:p>
        </w:tc>
      </w:tr>
    </w:tbl>
    <w:p/>
    <w:p>
      <w:pPr>
        <w:pStyle w:val="Heading1"/>
        <w:spacing w:before="240" w:after="100"/>
      </w:pPr>
      <w:r>
        <w:rPr>
          <w:rFonts w:ascii="Times New Roman" w:hAnsi="Times New Roman" w:eastAsia="SimSun"/>
          <w:b/>
          <w:sz w:val="31"/>
        </w:rPr>
        <w:t>5 知识图谱与公共 KG 对齐算法设计</w:t>
      </w:r>
    </w:p>
    <w:p>
      <w:pPr>
        <w:pStyle w:val="Heading2"/>
        <w:spacing w:before="160" w:after="100"/>
      </w:pPr>
      <w:r>
        <w:rPr>
          <w:rFonts w:ascii="Times New Roman" w:hAnsi="Times New Roman" w:eastAsia="SimSun"/>
          <w:b/>
          <w:sz w:val="26"/>
        </w:rPr>
        <w:t>5.1 论文技术方案吸收范围</w:t>
      </w:r>
    </w:p>
    <w:p>
      <w:r>
        <w:rPr>
          <w:rFonts w:ascii="Times New Roman" w:hAnsi="Times New Roman" w:eastAsia="SimSun"/>
          <w:b w:val="0"/>
          <w:sz w:val="21"/>
        </w:rPr>
        <w:t>public_kg_alignment_paper.pdf 的核心思想可归纳为：先构建公共课程知识图谱 Gc=(C,Rc)，其中 C 为课程概念，Rc 为概念前置关系；再为学习者维护个人学习图谱 Gu=(V,E,M)，其中 V 是学习者笔记、练习、资源或知识状态节点，E 是个人图谱中的关系，M 是个人节点到公共概念的映射。系统通过文本相似度或向量召回完成概念对齐，再利用公共 KG 的前置边推断个人图谱中的缺失前置关系和待补知识点。</w:t>
      </w:r>
    </w:p>
    <w:p>
      <w:r>
        <w:rPr>
          <w:rFonts w:ascii="Times New Roman" w:hAnsi="Times New Roman" w:eastAsia="SimSun"/>
          <w:b w:val="0"/>
          <w:sz w:val="21"/>
        </w:rPr>
        <w:t>该论文思路属于系统开发说明书中的算法架构和知识图谱设计内容，应在本阶段纳入，而不是等到编码后再补。</w:t>
      </w:r>
    </w:p>
    <w:p>
      <w:r>
        <w:drawing>
          <wp:inline xmlns:a="http://schemas.openxmlformats.org/drawingml/2006/main" xmlns:pic="http://schemas.openxmlformats.org/drawingml/2006/picture">
            <wp:extent cx="5943600" cy="3668050"/>
            <wp:docPr id="2" name="Picture 2"/>
            <wp:cNvGraphicFramePr>
              <a:graphicFrameLocks noChangeAspect="1"/>
            </wp:cNvGraphicFramePr>
            <a:graphic>
              <a:graphicData uri="http://schemas.openxmlformats.org/drawingml/2006/picture">
                <pic:pic>
                  <pic:nvPicPr>
                    <pic:cNvPr id="0" name="kg_alignment.png"/>
                    <pic:cNvPicPr/>
                  </pic:nvPicPr>
                  <pic:blipFill>
                    <a:blip r:embed="rId12"/>
                    <a:stretch>
                      <a:fillRect/>
                    </a:stretch>
                  </pic:blipFill>
                  <pic:spPr>
                    <a:xfrm>
                      <a:off x="0" y="0"/>
                      <a:ext cx="5943600" cy="3668050"/>
                    </a:xfrm>
                    <a:prstGeom prst="rect"/>
                  </pic:spPr>
                </pic:pic>
              </a:graphicData>
            </a:graphic>
          </wp:inline>
        </w:drawing>
      </w:r>
    </w:p>
    <w:p>
      <w:pPr>
        <w:jc w:val="center"/>
      </w:pPr>
      <w:r>
        <w:rPr>
          <w:rFonts w:ascii="Times New Roman" w:hAnsi="Times New Roman" w:eastAsia="SimSun"/>
          <w:b w:val="0"/>
          <w:sz w:val="18"/>
        </w:rPr>
        <w:t>图 2 公共知识图谱对齐与学习路径生成方案</w:t>
      </w:r>
    </w:p>
    <w:p>
      <w:pPr>
        <w:pStyle w:val="Heading2"/>
        <w:spacing w:before="160" w:after="100"/>
      </w:pPr>
      <w:r>
        <w:rPr>
          <w:rFonts w:ascii="Times New Roman" w:hAnsi="Times New Roman" w:eastAsia="SimSun"/>
          <w:b/>
          <w:sz w:val="26"/>
        </w:rPr>
        <w:t>5.2 核心算法流程</w:t>
      </w:r>
    </w:p>
    <w:tbl>
      <w:tblPr>
        <w:tblW w:type="auto" w:w="0"/>
        <w:jc w:val="center"/>
        <w:tblLayout w:type="fixed"/>
        <w:tblLook w:firstColumn="1" w:firstRow="1" w:lastColumn="0" w:lastRow="0" w:noHBand="0" w:noVBand="1" w:val="04A0"/>
      </w:tblPr>
      <w:tblGrid>
        <w:gridCol w:w="2310"/>
        <w:gridCol w:w="2310"/>
        <w:gridCol w:w="2310"/>
        <w:gridCol w:w="2310"/>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步骤</w:t>
            </w:r>
          </w:p>
        </w:tc>
        <w:tc>
          <w:tcPr>
            <w:tcW w:type="dxa" w:w="238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输入</w:t>
            </w:r>
          </w:p>
        </w:tc>
        <w:tc>
          <w:tcPr>
            <w:tcW w:type="dxa" w:w="300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处理</w:t>
            </w:r>
          </w:p>
        </w:tc>
        <w:tc>
          <w:tcPr>
            <w:tcW w:type="dxa" w:w="181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输出</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公共 KG 构建</w:t>
            </w:r>
          </w:p>
        </w:tc>
        <w:tc>
          <w:tcPr>
            <w:tcW w:type="dxa" w:w="238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课程大纲、章节、教材摘要、实验和题库。</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抽取概念 C，人工或半自动维护前置边 Rc。</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course_concepts、concept_prerequisites。</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学习证据采集</w:t>
            </w:r>
          </w:p>
        </w:tc>
        <w:tc>
          <w:tcPr>
            <w:tcW w:type="dxa" w:w="238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学生画像、练习结果、问答、资源学习记录。</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生成学习证据节点 V，并记录掌握度、错因和时间。</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learner_concept_states、practice_submissions。</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概念候选召回</w:t>
            </w:r>
          </w:p>
        </w:tc>
        <w:tc>
          <w:tcPr>
            <w:tcW w:type="dxa" w:w="238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学习证据文本或错因描述。</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用 Milvus 检索相似课程概念，返回 top-k 候选。</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候选概念集合。</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KG 对齐</w:t>
            </w:r>
          </w:p>
        </w:tc>
        <w:tc>
          <w:tcPr>
            <w:tcW w:type="dxa" w:w="238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候选概念、公共 KG、学习者 KG。</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综合向量相似度、关键词、章节上下文和前置关系约束选择最优概念。</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个人节点到公共概念的映射 M。</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缺失前置知识识别</w:t>
            </w:r>
          </w:p>
        </w:tc>
        <w:tc>
          <w:tcPr>
            <w:tcW w:type="dxa" w:w="238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已对齐概念 cnew 和公共前置边 Rc。</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查找 cnew 的直接或 k-hop 前置概念，若学习者图谱中没有掌握记录，则标记为缺失。</w:t>
            </w:r>
          </w:p>
        </w:tc>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missing_prerequisites。</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路径与资源生成</w:t>
            </w:r>
          </w:p>
        </w:tc>
        <w:tc>
          <w:tcPr>
            <w:tcW w:type="dxa" w:w="238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缺失前置知识、学习目标和画像。</w:t>
            </w:r>
          </w:p>
        </w:tc>
        <w:tc>
          <w:tcPr>
            <w:tcW w:type="dxa" w:w="300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按先修顺序生成补救路径和资源卡片。</w:t>
            </w:r>
          </w:p>
        </w:tc>
        <w:tc>
          <w:tcPr>
            <w:tcW w:type="dxa" w:w="181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learning_paths、resources。</w:t>
            </w:r>
          </w:p>
        </w:tc>
      </w:tr>
    </w:tbl>
    <w:p/>
    <w:p>
      <w:pPr>
        <w:pStyle w:val="Heading2"/>
        <w:spacing w:before="160" w:after="100"/>
      </w:pPr>
      <w:r>
        <w:rPr>
          <w:rFonts w:ascii="Times New Roman" w:hAnsi="Times New Roman" w:eastAsia="SimSun"/>
          <w:b/>
          <w:sz w:val="26"/>
        </w:rPr>
        <w:t>5.3 与系统需求的关系</w:t>
      </w:r>
    </w:p>
    <w:p>
      <w:pPr>
        <w:pStyle w:val="ListBullet"/>
        <w:spacing w:after="40"/>
      </w:pPr>
      <w:r>
        <w:rPr>
          <w:rFonts w:ascii="Times New Roman" w:hAnsi="Times New Roman" w:eastAsia="SimSun"/>
          <w:sz w:val="21"/>
        </w:rPr>
        <w:t>FR-004/FR-005：课程知识库和知识图谱由公共 KG 支撑。</w:t>
      </w:r>
    </w:p>
    <w:p>
      <w:pPr>
        <w:pStyle w:val="ListBullet"/>
        <w:spacing w:after="40"/>
      </w:pPr>
      <w:r>
        <w:rPr>
          <w:rFonts w:ascii="Times New Roman" w:hAnsi="Times New Roman" w:eastAsia="SimSun"/>
          <w:sz w:val="21"/>
        </w:rPr>
        <w:t>FR-006：Milvus 向量召回用于 RAG 检索和概念候选召回。</w:t>
      </w:r>
    </w:p>
    <w:p>
      <w:pPr>
        <w:pStyle w:val="ListBullet"/>
        <w:spacing w:after="40"/>
      </w:pPr>
      <w:r>
        <w:rPr>
          <w:rFonts w:ascii="Times New Roman" w:hAnsi="Times New Roman" w:eastAsia="SimSun"/>
          <w:sz w:val="21"/>
        </w:rPr>
        <w:t>FR-012/FR-013：缺失前置知识识别直接驱动学习路径和学习效果评估。</w:t>
      </w:r>
    </w:p>
    <w:p>
      <w:pPr>
        <w:pStyle w:val="ListBullet"/>
        <w:spacing w:after="40"/>
      </w:pPr>
      <w:r>
        <w:rPr>
          <w:rFonts w:ascii="Times New Roman" w:hAnsi="Times New Roman" w:eastAsia="SimSun"/>
          <w:sz w:val="21"/>
        </w:rPr>
        <w:t>FR-009/NFR-007：公共 KG 前置关系和引用来源降低生成内容幻觉风险。</w:t>
      </w:r>
    </w:p>
    <w:p>
      <w:pPr>
        <w:pStyle w:val="ListBullet"/>
        <w:spacing w:after="40"/>
      </w:pPr>
      <w:r>
        <w:rPr>
          <w:rFonts w:ascii="Times New Roman" w:hAnsi="Times New Roman" w:eastAsia="SimSun"/>
          <w:sz w:val="21"/>
        </w:rPr>
        <w:t>UC-03/UC-06：学习者 KG 的掌握状态和缺口用于路径调整和学习报告。</w:t>
      </w:r>
    </w:p>
    <w:p>
      <w:pPr>
        <w:pStyle w:val="Heading1"/>
        <w:spacing w:before="240" w:after="100"/>
      </w:pPr>
      <w:r>
        <w:rPr>
          <w:rFonts w:ascii="Times New Roman" w:hAnsi="Times New Roman" w:eastAsia="SimSun"/>
          <w:b/>
          <w:sz w:val="31"/>
        </w:rPr>
        <w:t>6 数据与存储架构</w:t>
      </w:r>
    </w:p>
    <w:p>
      <w:r>
        <w:drawing>
          <wp:inline xmlns:a="http://schemas.openxmlformats.org/drawingml/2006/main" xmlns:pic="http://schemas.openxmlformats.org/drawingml/2006/picture">
            <wp:extent cx="5943600" cy="3668050"/>
            <wp:docPr id="3" name="Picture 3"/>
            <wp:cNvGraphicFramePr>
              <a:graphicFrameLocks noChangeAspect="1"/>
            </wp:cNvGraphicFramePr>
            <a:graphic>
              <a:graphicData uri="http://schemas.openxmlformats.org/drawingml/2006/picture">
                <pic:pic>
                  <pic:nvPicPr>
                    <pic:cNvPr id="0" name="data_arch.png"/>
                    <pic:cNvPicPr/>
                  </pic:nvPicPr>
                  <pic:blipFill>
                    <a:blip r:embed="rId13"/>
                    <a:stretch>
                      <a:fillRect/>
                    </a:stretch>
                  </pic:blipFill>
                  <pic:spPr>
                    <a:xfrm>
                      <a:off x="0" y="0"/>
                      <a:ext cx="5943600" cy="3668050"/>
                    </a:xfrm>
                    <a:prstGeom prst="rect"/>
                  </pic:spPr>
                </pic:pic>
              </a:graphicData>
            </a:graphic>
          </wp:inline>
        </w:drawing>
      </w:r>
    </w:p>
    <w:p>
      <w:pPr>
        <w:jc w:val="center"/>
      </w:pPr>
      <w:r>
        <w:rPr>
          <w:rFonts w:ascii="Times New Roman" w:hAnsi="Times New Roman" w:eastAsia="SimSun"/>
          <w:b w:val="0"/>
          <w:sz w:val="18"/>
        </w:rPr>
        <w:t>图 3 数据与知识图谱架构</w:t>
      </w:r>
    </w:p>
    <w:p>
      <w:pPr>
        <w:pStyle w:val="Heading2"/>
        <w:spacing w:before="160" w:after="100"/>
      </w:pPr>
      <w:r>
        <w:rPr>
          <w:rFonts w:ascii="Times New Roman" w:hAnsi="Times New Roman" w:eastAsia="SimSun"/>
          <w:b/>
          <w:sz w:val="26"/>
        </w:rPr>
        <w:t>6.1 存储职责划分</w:t>
      </w:r>
    </w:p>
    <w:tbl>
      <w:tblPr>
        <w:tblW w:type="auto" w:w="0"/>
        <w:jc w:val="center"/>
        <w:tblLayout w:type="fixed"/>
        <w:tblLook w:firstColumn="1" w:firstRow="1" w:lastColumn="0" w:lastRow="0" w:noHBand="0" w:noVBand="1" w:val="04A0"/>
      </w:tblPr>
      <w:tblGrid>
        <w:gridCol w:w="3081"/>
        <w:gridCol w:w="3081"/>
        <w:gridCol w:w="3081"/>
      </w:tblGrid>
      <w:tr>
        <w:tc>
          <w:tcPr>
            <w:tcW w:type="dxa" w:w="1587"/>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组件</w:t>
            </w:r>
          </w:p>
        </w:tc>
        <w:tc>
          <w:tcPr>
            <w:tcW w:type="dxa" w:w="4819"/>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保存内容</w:t>
            </w:r>
          </w:p>
        </w:tc>
        <w:tc>
          <w:tcPr>
            <w:tcW w:type="dxa" w:w="249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说明</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 8</w:t>
            </w:r>
          </w:p>
        </w:tc>
        <w:tc>
          <w:tcPr>
            <w:tcW w:type="dxa" w:w="481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用户、画像、资源、路径、任务、审核、合规清单、公共 KG 节点边、学习者 KG 节点边。</w:t>
            </w:r>
          </w:p>
        </w:tc>
        <w:tc>
          <w:tcPr>
            <w:tcW w:type="dxa" w:w="249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主业务库和图谱结构库。</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w:t>
            </w:r>
          </w:p>
        </w:tc>
        <w:tc>
          <w:tcPr>
            <w:tcW w:type="dxa" w:w="481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课程知识片段、概念描述、题目、资源、学习证据、多模态素材描述的向量。</w:t>
            </w:r>
          </w:p>
        </w:tc>
        <w:tc>
          <w:tcPr>
            <w:tcW w:type="dxa" w:w="249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语义召回和 RAG 检索。</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Redis</w:t>
            </w:r>
          </w:p>
        </w:tc>
        <w:tc>
          <w:tcPr>
            <w:tcW w:type="dxa" w:w="481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任务状态、SSE 消息、缓存、限流、短期队列。</w:t>
            </w:r>
          </w:p>
        </w:tc>
        <w:tc>
          <w:tcPr>
            <w:tcW w:type="dxa" w:w="249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保证长任务可追踪。</w:t>
            </w:r>
          </w:p>
        </w:tc>
      </w:tr>
      <w:tr>
        <w:tc>
          <w:tcPr>
            <w:tcW w:type="dxa" w:w="1587"/>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MinIO</w:t>
            </w:r>
          </w:p>
        </w:tc>
        <w:tc>
          <w:tcPr>
            <w:tcW w:type="dxa" w:w="481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上传文件、生成图片、视频、关键帧、导图和附件。</w:t>
            </w:r>
          </w:p>
        </w:tc>
        <w:tc>
          <w:tcPr>
            <w:tcW w:type="dxa" w:w="249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对象存储。</w:t>
            </w:r>
          </w:p>
        </w:tc>
      </w:tr>
      <w:tr>
        <w:tc>
          <w:tcPr>
            <w:tcW w:type="dxa" w:w="1587"/>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可选 Neo4j</w:t>
            </w:r>
          </w:p>
        </w:tc>
        <w:tc>
          <w:tcPr>
            <w:tcW w:type="dxa" w:w="4819"/>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复杂图查询或图算法实验。</w:t>
            </w:r>
          </w:p>
        </w:tc>
        <w:tc>
          <w:tcPr>
            <w:tcW w:type="dxa" w:w="249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非 P0，后续增强。</w:t>
            </w:r>
          </w:p>
        </w:tc>
      </w:tr>
    </w:tbl>
    <w:p/>
    <w:p>
      <w:pPr>
        <w:pStyle w:val="Heading2"/>
        <w:spacing w:before="160" w:after="100"/>
      </w:pPr>
      <w:r>
        <w:rPr>
          <w:rFonts w:ascii="Times New Roman" w:hAnsi="Times New Roman" w:eastAsia="SimSun"/>
          <w:b/>
          <w:sz w:val="26"/>
        </w:rPr>
        <w:t>6.2 核心 MySQL 表</w:t>
      </w:r>
    </w:p>
    <w:tbl>
      <w:tblPr>
        <w:tblW w:type="auto" w:w="0"/>
        <w:jc w:val="center"/>
        <w:tblLayout w:type="fixed"/>
        <w:tblLook w:firstColumn="1" w:firstRow="1" w:lastColumn="0" w:lastRow="0" w:noHBand="0" w:noVBand="1" w:val="04A0"/>
      </w:tblPr>
      <w:tblGrid>
        <w:gridCol w:w="3081"/>
        <w:gridCol w:w="3081"/>
        <w:gridCol w:w="3081"/>
      </w:tblGrid>
      <w:tr>
        <w:tc>
          <w:tcPr>
            <w:tcW w:type="dxa" w:w="204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表名</w:t>
            </w:r>
          </w:p>
        </w:tc>
        <w:tc>
          <w:tcPr>
            <w:tcW w:type="dxa" w:w="3969"/>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关键字段</w:t>
            </w:r>
          </w:p>
        </w:tc>
        <w:tc>
          <w:tcPr>
            <w:tcW w:type="dxa" w:w="289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5"/>
              </w:rPr>
              <w:t>说明</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users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id、username、role、status、created_at</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用户和角色。</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learning_profiles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id、user_id、version、profile_json、confirmed_at</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学习画像。</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course_concepts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id、course_id、name、description、chapter、difficulty</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公共课程 KG 概念节点。</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concept_prerequisites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id、course_id、source_concept_id、target_concept_id、relation_type、confidence</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公共课程 KG 前置边。</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knowledge_chunks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id、course_id、concept_id、content、source_id、milvus_id</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知识库分块和向量 ID。</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learner_concept_states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id、user_id、concept_id、mastery、evidence_type、updated_at</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学习者对公共概念的掌握状态。</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learner_graph_edges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id、user_id、source_node_id、target_node_id、edge_type、confidence</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学习者个人 KG 关系。</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missing_prerequisites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id、user_id、target_concept_id、missing_concept_id、reason、status</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缺失前置知识识别结果。</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resources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id、user_id、type、title、content、status、citations_json</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资源卡片。</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agent_runs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id、task_id、user_id、task_type、status、started_at、finished_at</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Agent 任务记录。</w:t>
            </w:r>
          </w:p>
        </w:tc>
      </w:tr>
      <w:tr>
        <w:tc>
          <w:tcPr>
            <w:tcW w:type="dxa" w:w="204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agent_logs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id、run_id、agent_name、input_summary、output_summary、status、latency_ms</w:t>
            </w:r>
          </w:p>
        </w:tc>
        <w:tc>
          <w:tcPr>
            <w:tcW w:type="dxa" w:w="289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Agent 节点日志。</w:t>
            </w:r>
          </w:p>
        </w:tc>
      </w:tr>
      <w:tr>
        <w:tc>
          <w:tcPr>
            <w:tcW w:type="dxa" w:w="204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compliance_records</w:t>
            </w:r>
          </w:p>
        </w:tc>
        <w:tc>
          <w:tcPr>
            <w:tcW w:type="dxa" w:w="3969"/>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5"/>
              </w:rPr>
              <w:t>id、category、name、source、license、purpose、review_status</w:t>
            </w:r>
          </w:p>
        </w:tc>
        <w:tc>
          <w:tcPr>
            <w:tcW w:type="dxa" w:w="289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5"/>
              </w:rPr>
              <w:t>合规记录。</w:t>
            </w:r>
          </w:p>
        </w:tc>
      </w:tr>
    </w:tbl>
    <w:p/>
    <w:p>
      <w:pPr>
        <w:pStyle w:val="Heading2"/>
        <w:spacing w:before="160" w:after="100"/>
      </w:pPr>
      <w:r>
        <w:rPr>
          <w:rFonts w:ascii="Times New Roman" w:hAnsi="Times New Roman" w:eastAsia="SimSun"/>
          <w:b/>
          <w:sz w:val="26"/>
        </w:rPr>
        <w:t>6.3 Milvus Collection 设计</w:t>
      </w:r>
    </w:p>
    <w:tbl>
      <w:tblPr>
        <w:tblW w:type="auto" w:w="0"/>
        <w:jc w:val="center"/>
        <w:tblLayout w:type="fixed"/>
        <w:tblLook w:firstColumn="1" w:firstRow="1" w:lastColumn="0" w:lastRow="0" w:noHBand="0" w:noVBand="1" w:val="04A0"/>
      </w:tblPr>
      <w:tblGrid>
        <w:gridCol w:w="3081"/>
        <w:gridCol w:w="3081"/>
        <w:gridCol w:w="3081"/>
      </w:tblGrid>
      <w:tr>
        <w:tc>
          <w:tcPr>
            <w:tcW w:type="dxa" w:w="226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Collection</w:t>
            </w:r>
          </w:p>
        </w:tc>
        <w:tc>
          <w:tcPr>
            <w:tcW w:type="dxa" w:w="3402"/>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向量来源</w:t>
            </w:r>
          </w:p>
        </w:tc>
        <w:tc>
          <w:tcPr>
            <w:tcW w:type="dxa" w:w="323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主要字段</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kg_concept_vectors</w:t>
            </w:r>
          </w:p>
        </w:tc>
        <w:tc>
          <w:tcPr>
            <w:tcW w:type="dxa" w:w="340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课程概念名称、定义、章节上下文。</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concept_id、course_id、chapter、embedding、text_hash。</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knowledge_chunk_vectors</w:t>
            </w:r>
          </w:p>
        </w:tc>
        <w:tc>
          <w:tcPr>
            <w:tcW w:type="dxa" w:w="3402"/>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知识库分块文本。</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chunk_id、concept_id、source_id、embedding、metadata。</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resource_vectors</w:t>
            </w:r>
          </w:p>
        </w:tc>
        <w:tc>
          <w:tcPr>
            <w:tcW w:type="dxa" w:w="3402"/>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生成资源标题、摘要和适配理由。</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resource_id、type、user_id、embedding、metadata。</w:t>
            </w:r>
          </w:p>
        </w:tc>
      </w:tr>
      <w:tr>
        <w:tc>
          <w:tcPr>
            <w:tcW w:type="dxa" w:w="226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learner_evidence_vectors</w:t>
            </w:r>
          </w:p>
        </w:tc>
        <w:tc>
          <w:tcPr>
            <w:tcW w:type="dxa" w:w="3402"/>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练习错因、问答、笔记、反馈。</w:t>
            </w:r>
          </w:p>
        </w:tc>
        <w:tc>
          <w:tcPr>
            <w:tcW w:type="dxa" w:w="323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evidence_id、user_id、concept_id、embedding、metadata。</w:t>
            </w:r>
          </w:p>
        </w:tc>
      </w:tr>
    </w:tbl>
    <w:p/>
    <w:p>
      <w:pPr>
        <w:pStyle w:val="Heading1"/>
        <w:spacing w:before="240" w:after="100"/>
      </w:pPr>
      <w:r>
        <w:rPr>
          <w:rFonts w:ascii="Times New Roman" w:hAnsi="Times New Roman" w:eastAsia="SimSun"/>
          <w:b/>
          <w:sz w:val="31"/>
        </w:rPr>
        <w:t>7 模块划分与工程目录</w:t>
      </w:r>
    </w:p>
    <w:tbl>
      <w:tblPr>
        <w:tblW w:type="auto" w:w="0"/>
        <w:jc w:val="center"/>
        <w:tblLayout w:type="fixed"/>
        <w:tblLook w:firstColumn="1" w:firstRow="1" w:lastColumn="0" w:lastRow="0" w:noHBand="0" w:noVBand="1" w:val="04A0"/>
      </w:tblPr>
      <w:tblGrid>
        <w:gridCol w:w="3081"/>
        <w:gridCol w:w="3081"/>
        <w:gridCol w:w="3081"/>
      </w:tblGrid>
      <w:tr>
        <w:tc>
          <w:tcPr>
            <w:tcW w:type="dxa" w:w="181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模块</w:t>
            </w:r>
          </w:p>
        </w:tc>
        <w:tc>
          <w:tcPr>
            <w:tcW w:type="dxa" w:w="4082"/>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职责</w:t>
            </w:r>
          </w:p>
        </w:tc>
        <w:tc>
          <w:tcPr>
            <w:tcW w:type="dxa" w:w="300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关键目录</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前端模块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学生端、教师端、管理端、资源卡片、SSE 状态。</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frontend/src/pages、components、stores、api</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业务服务模块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画像、资源、路径、练习、审核、合规。</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backend/app/services</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KG 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公共课程 KG、学习者 KG、PG-Align 类对齐、缺失前置知识识别。</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backend/app/kg</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向量检索模块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Milvus collection 管理、embedding 写入、top-k 召回。</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backend/app/vector</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Agent 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Agent Contract、编排器、模型网关、节点日志。</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backend/app/agents</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数据模块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MySQL ORM、迁移、Repository。</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backend/app/models、repositories、alembic</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部署模块</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Docker Compose、Nginx、环境变量模板。</w:t>
            </w:r>
          </w:p>
        </w:tc>
        <w:tc>
          <w:tcPr>
            <w:tcW w:type="dxa" w:w="300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deploy/</w:t>
            </w:r>
          </w:p>
        </w:tc>
      </w:tr>
      <w:tr>
        <w:tc>
          <w:tcPr>
            <w:tcW w:type="dxa" w:w="181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测试模块</w:t>
            </w:r>
          </w:p>
        </w:tc>
        <w:tc>
          <w:tcPr>
            <w:tcW w:type="dxa" w:w="4082"/>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单元、接口、E2E、RAG/KG 评测。</w:t>
            </w:r>
          </w:p>
        </w:tc>
        <w:tc>
          <w:tcPr>
            <w:tcW w:type="dxa" w:w="300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tests/</w:t>
            </w:r>
          </w:p>
        </w:tc>
      </w:tr>
    </w:tbl>
    <w:p/>
    <w:p>
      <w:pPr>
        <w:pStyle w:val="Heading2"/>
        <w:spacing w:before="160" w:after="100"/>
      </w:pPr>
      <w:r>
        <w:rPr>
          <w:rFonts w:ascii="Times New Roman" w:hAnsi="Times New Roman" w:eastAsia="SimSun"/>
          <w:b/>
          <w:sz w:val="26"/>
        </w:rPr>
        <w:t>7.1 推荐工程目录</w:t>
      </w:r>
    </w:p>
    <w:tbl>
      <w:tblPr>
        <w:tblW w:type="auto" w:w="0"/>
        <w:jc w:val="center"/>
        <w:tblLayout w:type="fixed"/>
        <w:tblLook w:firstColumn="1" w:firstRow="1" w:lastColumn="0" w:lastRow="0" w:noHBand="0" w:noVBand="1" w:val="04A0"/>
      </w:tblPr>
      <w:tblGrid>
        <w:gridCol w:w="4621"/>
        <w:gridCol w:w="4621"/>
      </w:tblGrid>
      <w:tr>
        <w:tc>
          <w:tcPr>
            <w:tcW w:type="dxa" w:w="294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路径</w:t>
            </w:r>
          </w:p>
        </w:tc>
        <w:tc>
          <w:tcPr>
            <w:tcW w:type="dxa" w:w="5953"/>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用途</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backend/app/kg/public_graph.py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公共课程 KG 构建、导入、前置边维护。</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backend/app/kg/learner_graph.py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学习者个人 KG、掌握状态和缺失前置知识。</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backend/app/kg/alignment.py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参考 PG-Align 的概念对齐和前置边投影算法。</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backend/app/vector/milvus_client.py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Milvus 连接、collection 初始化、向量写入和检索。</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backend/app/agents/kg_alignment_agent.py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KG 对齐 Agent。</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backend/app/agents/retriever_agent.py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RAG 检索 Agent。</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backend/app/services/path_service.py</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基于缺失前置知识生成学习路径。</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data/knowledge/software_engineering/</w:t>
            </w:r>
          </w:p>
        </w:tc>
        <w:tc>
          <w:tcPr>
            <w:tcW w:type="dxa" w:w="5953"/>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《软件工程》课程知识库素材。</w:t>
            </w:r>
          </w:p>
        </w:tc>
      </w:tr>
      <w:tr>
        <w:tc>
          <w:tcPr>
            <w:tcW w:type="dxa" w:w="294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deploy/docker-compose.yml</w:t>
            </w:r>
          </w:p>
        </w:tc>
        <w:tc>
          <w:tcPr>
            <w:tcW w:type="dxa" w:w="5953"/>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MySQL、Milvus、Redis、MinIO、后端、前端启动配置。</w:t>
            </w:r>
          </w:p>
        </w:tc>
      </w:tr>
    </w:tbl>
    <w:p/>
    <w:p>
      <w:pPr>
        <w:pStyle w:val="Heading1"/>
        <w:spacing w:before="240" w:after="100"/>
      </w:pPr>
      <w:r>
        <w:rPr>
          <w:rFonts w:ascii="Times New Roman" w:hAnsi="Times New Roman" w:eastAsia="SimSun"/>
          <w:b/>
          <w:sz w:val="31"/>
        </w:rPr>
        <w:t>8 前端设计</w:t>
      </w:r>
    </w:p>
    <w:tbl>
      <w:tblPr>
        <w:tblW w:type="auto" w:w="0"/>
        <w:jc w:val="center"/>
        <w:tblLayout w:type="fixed"/>
        <w:tblLook w:firstColumn="1" w:firstRow="1" w:lastColumn="0" w:lastRow="0" w:noHBand="0" w:noVBand="1" w:val="04A0"/>
      </w:tblPr>
      <w:tblGrid>
        <w:gridCol w:w="4621"/>
        <w:gridCol w:w="4621"/>
      </w:tblGrid>
      <w:tr>
        <w:tc>
          <w:tcPr>
            <w:tcW w:type="dxa" w:w="181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页面</w:t>
            </w:r>
          </w:p>
        </w:tc>
        <w:tc>
          <w:tcPr>
            <w:tcW w:type="dxa" w:w="7087"/>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新增 KG/向量能力呈现</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资源中心</w:t>
            </w:r>
          </w:p>
        </w:tc>
        <w:tc>
          <w:tcPr>
            <w:tcW w:type="dxa" w:w="708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展示资源适配理由、引用来源和对应知识图谱概念。</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学习路径</w:t>
            </w:r>
          </w:p>
        </w:tc>
        <w:tc>
          <w:tcPr>
            <w:tcW w:type="dxa" w:w="708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展示缺失前置知识、补救顺序、已掌握/未掌握节点。</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知识图谱页</w:t>
            </w:r>
          </w:p>
        </w:tc>
        <w:tc>
          <w:tcPr>
            <w:tcW w:type="dxa" w:w="708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展示公共课程 KG、个人学习 KG、前置关系和薄弱节点。</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画像对话</w:t>
            </w:r>
          </w:p>
        </w:tc>
        <w:tc>
          <w:tcPr>
            <w:tcW w:type="dxa" w:w="708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将学生输入映射到课程概念和学习目标。</w:t>
            </w:r>
          </w:p>
        </w:tc>
      </w:tr>
      <w:tr>
        <w:tc>
          <w:tcPr>
            <w:tcW w:type="dxa" w:w="181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辅导问答</w:t>
            </w:r>
          </w:p>
        </w:tc>
        <w:tc>
          <w:tcPr>
            <w:tcW w:type="dxa" w:w="708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展示 Milvus 检索片段、引用和拒答原因。</w:t>
            </w:r>
          </w:p>
        </w:tc>
      </w:tr>
      <w:tr>
        <w:tc>
          <w:tcPr>
            <w:tcW w:type="dxa" w:w="181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教师知识库管理</w:t>
            </w:r>
          </w:p>
        </w:tc>
        <w:tc>
          <w:tcPr>
            <w:tcW w:type="dxa" w:w="7087"/>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维护概念、前置边、素材来源和向量化状态。</w:t>
            </w:r>
          </w:p>
        </w:tc>
      </w:tr>
    </w:tbl>
    <w:p/>
    <w:p>
      <w:pPr>
        <w:pStyle w:val="Heading1"/>
        <w:spacing w:before="240" w:after="100"/>
      </w:pPr>
      <w:r>
        <w:rPr>
          <w:rFonts w:ascii="Times New Roman" w:hAnsi="Times New Roman" w:eastAsia="SimSun"/>
          <w:b/>
          <w:sz w:val="31"/>
        </w:rPr>
        <w:t>9 后端与 Agent 编排设计</w:t>
      </w:r>
    </w:p>
    <w:p>
      <w:pPr>
        <w:pStyle w:val="Heading2"/>
        <w:spacing w:before="160" w:after="100"/>
      </w:pPr>
      <w:r>
        <w:rPr>
          <w:rFonts w:ascii="Times New Roman" w:hAnsi="Times New Roman" w:eastAsia="SimSun"/>
          <w:b/>
          <w:sz w:val="26"/>
        </w:rPr>
        <w:t>9.1 Agent 列表</w:t>
      </w:r>
    </w:p>
    <w:tbl>
      <w:tblPr>
        <w:tblW w:type="auto" w:w="0"/>
        <w:jc w:val="center"/>
        <w:tblLayout w:type="fixed"/>
        <w:tblLook w:firstColumn="1" w:firstRow="1" w:lastColumn="0" w:lastRow="0" w:noHBand="0" w:noVBand="1" w:val="04A0"/>
      </w:tblPr>
      <w:tblGrid>
        <w:gridCol w:w="3081"/>
        <w:gridCol w:w="3081"/>
        <w:gridCol w:w="3081"/>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Agent</w:t>
            </w:r>
          </w:p>
        </w:tc>
        <w:tc>
          <w:tcPr>
            <w:tcW w:type="dxa" w:w="3969"/>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职责</w:t>
            </w:r>
          </w:p>
        </w:tc>
        <w:tc>
          <w:tcPr>
            <w:tcW w:type="dxa" w:w="323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关键输出</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ProfileAgent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抽取画像并形成学习证据。</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LearningProfile、learner_evidence_vectors。</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KGAlignmentAgent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将学习证据对齐到公共课程概念。</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concept_id、alignment_score、missing_prerequisites。</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RetrieverAgent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调用 Milvus 和 MySQL 进行混合检索。</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citations、knowledge_chunks、concept_context。</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PlannerAgent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根据缺失前置知识规划路径和资源。</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LearningPath、resource_plan。</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GeneratorAgent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生成讲义、题目、导图、代码案例、视频/动画素材。</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Resource draft、asset list。</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AuditAgent</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审核引用、事实、安全和画像适配。</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AuditReport、risk_level。</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PathAgent</w:t>
            </w:r>
          </w:p>
        </w:tc>
        <w:tc>
          <w:tcPr>
            <w:tcW w:type="dxa" w:w="3969"/>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根据练习结果更新掌握度和路径。</w:t>
            </w:r>
          </w:p>
        </w:tc>
        <w:tc>
          <w:tcPr>
            <w:tcW w:type="dxa" w:w="323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learner_concept_states、path adjustment。</w:t>
            </w:r>
          </w:p>
        </w:tc>
      </w:tr>
    </w:tbl>
    <w:p/>
    <w:p>
      <w:pPr>
        <w:pStyle w:val="Heading2"/>
        <w:spacing w:before="160" w:after="100"/>
      </w:pPr>
      <w:r>
        <w:rPr>
          <w:rFonts w:ascii="Times New Roman" w:hAnsi="Times New Roman" w:eastAsia="SimSun"/>
          <w:b/>
          <w:sz w:val="26"/>
        </w:rPr>
        <w:t>9.2 KGAlignmentAgent 伪流程</w:t>
      </w:r>
    </w:p>
    <w:tbl>
      <w:tblPr>
        <w:tblW w:type="auto" w:w="0"/>
        <w:jc w:val="center"/>
        <w:tblLayout w:type="fixed"/>
        <w:tblLook w:firstColumn="1" w:firstRow="1" w:lastColumn="0" w:lastRow="0" w:noHBand="0" w:noVBand="1" w:val="04A0"/>
      </w:tblPr>
      <w:tblGrid>
        <w:gridCol w:w="4621"/>
        <w:gridCol w:w="4621"/>
      </w:tblGrid>
      <w:tr>
        <w:tc>
          <w:tcPr>
            <w:tcW w:type="dxa" w:w="113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步骤</w:t>
            </w:r>
          </w:p>
        </w:tc>
        <w:tc>
          <w:tcPr>
            <w:tcW w:type="dxa" w:w="7767"/>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处理</w:t>
            </w:r>
          </w:p>
        </w:tc>
      </w:tr>
      <w:tr>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1</w:t>
            </w:r>
          </w:p>
        </w:tc>
        <w:tc>
          <w:tcPr>
            <w:tcW w:type="dxa" w:w="776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接收学习证据文本 x，例如错因描述、问答问题、笔记或资源反馈。</w:t>
            </w:r>
          </w:p>
        </w:tc>
      </w:tr>
      <w:tr>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2</w:t>
            </w:r>
          </w:p>
        </w:tc>
        <w:tc>
          <w:tcPr>
            <w:tcW w:type="dxa" w:w="776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调用 embedding 模型生成向量，并在 Milvus 的 kg_concept_vectors 中召回 top-k 概念。</w:t>
            </w:r>
          </w:p>
        </w:tc>
      </w:tr>
      <w:tr>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3</w:t>
            </w:r>
          </w:p>
        </w:tc>
        <w:tc>
          <w:tcPr>
            <w:tcW w:type="dxa" w:w="776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结合章节、关键词、画像目标和公共 KG 前置关系，对候选概念重新排序，得到 cnew。</w:t>
            </w:r>
          </w:p>
        </w:tc>
      </w:tr>
      <w:tr>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4</w:t>
            </w:r>
          </w:p>
        </w:tc>
        <w:tc>
          <w:tcPr>
            <w:tcW w:type="dxa" w:w="776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查询 concept_prerequisites 中 cnew 的直接前置概念和必要 k-hop 前置概念。</w:t>
            </w:r>
          </w:p>
        </w:tc>
      </w:tr>
      <w:tr>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5</w:t>
            </w:r>
          </w:p>
        </w:tc>
        <w:tc>
          <w:tcPr>
            <w:tcW w:type="dxa" w:w="7767"/>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查询 learner_concept_states，若前置概念未掌握或无证据，则写入 missing_prerequisites。</w:t>
            </w:r>
          </w:p>
        </w:tc>
      </w:tr>
      <w:tr>
        <w:tc>
          <w:tcPr>
            <w:tcW w:type="dxa" w:w="113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6</w:t>
            </w:r>
          </w:p>
        </w:tc>
        <w:tc>
          <w:tcPr>
            <w:tcW w:type="dxa" w:w="7767"/>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将缺失前置知识交给 PlannerAgent，生成补救路径和资源卡片。</w:t>
            </w:r>
          </w:p>
        </w:tc>
      </w:tr>
    </w:tbl>
    <w:p/>
    <w:p>
      <w:pPr>
        <w:pStyle w:val="Heading1"/>
        <w:spacing w:before="240" w:after="100"/>
      </w:pPr>
      <w:r>
        <w:rPr>
          <w:rFonts w:ascii="Times New Roman" w:hAnsi="Times New Roman" w:eastAsia="SimSun"/>
          <w:b/>
          <w:sz w:val="31"/>
        </w:rPr>
        <w:t>10 接口设计</w:t>
      </w:r>
    </w:p>
    <w:tbl>
      <w:tblPr>
        <w:tblW w:type="auto" w:w="0"/>
        <w:jc w:val="center"/>
        <w:tblLayout w:type="fixed"/>
        <w:tblLook w:firstColumn="1" w:firstRow="1" w:lastColumn="0" w:lastRow="0" w:noHBand="0" w:noVBand="1" w:val="04A0"/>
      </w:tblPr>
      <w:tblGrid>
        <w:gridCol w:w="3081"/>
        <w:gridCol w:w="3081"/>
        <w:gridCol w:w="3081"/>
      </w:tblGrid>
      <w:tr>
        <w:tc>
          <w:tcPr>
            <w:tcW w:type="dxa" w:w="283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接口</w:t>
            </w:r>
          </w:p>
        </w:tc>
        <w:tc>
          <w:tcPr>
            <w:tcW w:type="dxa" w:w="113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方法</w:t>
            </w:r>
          </w:p>
        </w:tc>
        <w:tc>
          <w:tcPr>
            <w:tcW w:type="dxa" w:w="4932"/>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说明</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/api/kg/concepts</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查询或维护公共课程概念。</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/api/kg/prerequisites</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查询或维护概念前置关系。</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/api/kg/learner/{user_id}</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查询学习者个人 KG 和掌握状态。</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/api/kg/align</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触发学习证据到公共 KG 的对齐。</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/api/kg/missing-prerequisites</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查询缺失前置知识。</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/api/vector/search</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Milvus 向量检索调试接口。</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/api/knowledge/import</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导入课程知识库并写入 MySQL + Milvus。</w:t>
            </w:r>
          </w:p>
        </w:tc>
      </w:tr>
      <w:tr>
        <w:tc>
          <w:tcPr>
            <w:tcW w:type="dxa" w:w="283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/api/resources/generate</w:t>
            </w:r>
          </w:p>
        </w:tc>
        <w:tc>
          <w:tcPr>
            <w:tcW w:type="dxa" w:w="113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POST</w:t>
            </w:r>
          </w:p>
        </w:tc>
        <w:tc>
          <w:tcPr>
            <w:tcW w:type="dxa" w:w="493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基于画像、KG 缺口和 RAG 创建资源生成任务。</w:t>
            </w:r>
          </w:p>
        </w:tc>
      </w:tr>
      <w:tr>
        <w:tc>
          <w:tcPr>
            <w:tcW w:type="dxa" w:w="283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/api/tasks/{id}/events</w:t>
            </w:r>
          </w:p>
        </w:tc>
        <w:tc>
          <w:tcPr>
            <w:tcW w:type="dxa" w:w="113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GET</w:t>
            </w:r>
          </w:p>
        </w:tc>
        <w:tc>
          <w:tcPr>
            <w:tcW w:type="dxa" w:w="4932"/>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SSE 任务状态和流式输出。</w:t>
            </w:r>
          </w:p>
        </w:tc>
      </w:tr>
    </w:tbl>
    <w:p/>
    <w:p>
      <w:pPr>
        <w:pStyle w:val="Heading1"/>
        <w:spacing w:before="240" w:after="100"/>
      </w:pPr>
      <w:r>
        <w:rPr>
          <w:rFonts w:ascii="Times New Roman" w:hAnsi="Times New Roman" w:eastAsia="SimSun"/>
          <w:b/>
          <w:sz w:val="31"/>
        </w:rPr>
        <w:t>11 安全可信与合规设计</w:t>
      </w:r>
    </w:p>
    <w:p>
      <w:pPr>
        <w:pStyle w:val="ListBullet"/>
        <w:spacing w:after="40"/>
      </w:pPr>
      <w:r>
        <w:rPr>
          <w:rFonts w:ascii="Times New Roman" w:hAnsi="Times New Roman" w:eastAsia="SimSun"/>
          <w:sz w:val="21"/>
        </w:rPr>
        <w:t>向量检索结果不能直接作为事实输出，必须带回 MySQL 中的知识库来源和引用。</w:t>
      </w:r>
    </w:p>
    <w:p>
      <w:pPr>
        <w:pStyle w:val="ListBullet"/>
        <w:spacing w:after="40"/>
      </w:pPr>
      <w:r>
        <w:rPr>
          <w:rFonts w:ascii="Times New Roman" w:hAnsi="Times New Roman" w:eastAsia="SimSun"/>
          <w:sz w:val="21"/>
        </w:rPr>
        <w:t>公共 KG 的前置关系需要教师审核或可追溯来源，不能完全由模型自动写入正式表。</w:t>
      </w:r>
    </w:p>
    <w:p>
      <w:pPr>
        <w:pStyle w:val="ListBullet"/>
        <w:spacing w:after="40"/>
      </w:pPr>
      <w:r>
        <w:rPr>
          <w:rFonts w:ascii="Times New Roman" w:hAnsi="Times New Roman" w:eastAsia="SimSun"/>
          <w:sz w:val="21"/>
        </w:rPr>
        <w:t>KGAlignmentAgent 输出必须记录 alignment_score、候选概念和选择理由，便于审核。</w:t>
      </w:r>
    </w:p>
    <w:p>
      <w:pPr>
        <w:pStyle w:val="ListBullet"/>
        <w:spacing w:after="40"/>
      </w:pPr>
      <w:r>
        <w:rPr>
          <w:rFonts w:ascii="Times New Roman" w:hAnsi="Times New Roman" w:eastAsia="SimSun"/>
          <w:sz w:val="21"/>
        </w:rPr>
        <w:t>Milvus collection 中不保存敏感原文，只保存向量、业务 ID 和必要 metadata。</w:t>
      </w:r>
    </w:p>
    <w:p>
      <w:pPr>
        <w:pStyle w:val="ListBullet"/>
        <w:spacing w:after="40"/>
      </w:pPr>
      <w:r>
        <w:rPr>
          <w:rFonts w:ascii="Times New Roman" w:hAnsi="Times New Roman" w:eastAsia="SimSun"/>
          <w:sz w:val="21"/>
        </w:rPr>
        <w:t>AI 工具、模型服务、课程资料和开源依赖均写入 compliance_records。</w:t>
      </w:r>
    </w:p>
    <w:p>
      <w:pPr>
        <w:pStyle w:val="Heading1"/>
        <w:spacing w:before="240" w:after="100"/>
      </w:pPr>
      <w:r>
        <w:rPr>
          <w:rFonts w:ascii="Times New Roman" w:hAnsi="Times New Roman" w:eastAsia="SimSun"/>
          <w:b/>
          <w:sz w:val="31"/>
        </w:rPr>
        <w:t>12 部署与运维设计</w:t>
      </w:r>
    </w:p>
    <w:p>
      <w:r>
        <w:drawing>
          <wp:inline xmlns:a="http://schemas.openxmlformats.org/drawingml/2006/main" xmlns:pic="http://schemas.openxmlformats.org/drawingml/2006/picture">
            <wp:extent cx="5943600" cy="3668050"/>
            <wp:docPr id="4" name="Picture 4"/>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943600" cy="3668050"/>
                    </a:xfrm>
                    <a:prstGeom prst="rect"/>
                  </pic:spPr>
                </pic:pic>
              </a:graphicData>
            </a:graphic>
          </wp:inline>
        </w:drawing>
      </w:r>
    </w:p>
    <w:p>
      <w:pPr>
        <w:jc w:val="center"/>
      </w:pPr>
      <w:r>
        <w:rPr>
          <w:rFonts w:ascii="Times New Roman" w:hAnsi="Times New Roman" w:eastAsia="SimSun"/>
          <w:b w:val="0"/>
          <w:sz w:val="18"/>
        </w:rPr>
        <w:t>图 4 本机与初赛部署拓扑</w:t>
      </w:r>
    </w:p>
    <w:p>
      <w:pPr>
        <w:pStyle w:val="Heading2"/>
        <w:spacing w:before="160" w:after="100"/>
      </w:pPr>
      <w:r>
        <w:rPr>
          <w:rFonts w:ascii="Times New Roman" w:hAnsi="Times New Roman" w:eastAsia="SimSun"/>
          <w:b/>
          <w:sz w:val="26"/>
        </w:rPr>
        <w:t>12.1 Docker Compose 服务</w:t>
      </w:r>
    </w:p>
    <w:tbl>
      <w:tblPr>
        <w:tblW w:type="auto" w:w="0"/>
        <w:jc w:val="center"/>
        <w:tblLayout w:type="fixed"/>
        <w:tblLook w:firstColumn="1" w:firstRow="1" w:lastColumn="0" w:lastRow="0" w:noHBand="0" w:noVBand="1" w:val="04A0"/>
      </w:tblPr>
      <w:tblGrid>
        <w:gridCol w:w="3081"/>
        <w:gridCol w:w="3081"/>
        <w:gridCol w:w="3081"/>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服务</w:t>
            </w:r>
          </w:p>
        </w:tc>
        <w:tc>
          <w:tcPr>
            <w:tcW w:type="dxa" w:w="3969"/>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作用</w:t>
            </w:r>
          </w:p>
        </w:tc>
        <w:tc>
          <w:tcPr>
            <w:tcW w:type="dxa" w:w="323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备注</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frontend</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Vue 前端构建和静态资源。</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Nginx 托管。</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backend</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FastAPI API 服务。</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连接 MySQL、Milvus、Redis、MinIO。</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worker</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Agent、知识库导入、向量化和资源生成任务。</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可水平扩展。</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业务数据和 KG 结构存储。</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需持久化 volume。</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向量数据库。</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Standalone 模式。</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etcd</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元数据依赖。</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组件。</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minio</w:t>
            </w:r>
          </w:p>
        </w:tc>
        <w:tc>
          <w:tcPr>
            <w:tcW w:type="dxa" w:w="3969"/>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对象存储和 Milvus 文件依赖。</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同时保存生成资源附件。</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redis</w:t>
            </w:r>
          </w:p>
        </w:tc>
        <w:tc>
          <w:tcPr>
            <w:tcW w:type="dxa" w:w="3969"/>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任务状态、缓存、限流和队列。</w:t>
            </w:r>
          </w:p>
        </w:tc>
        <w:tc>
          <w:tcPr>
            <w:tcW w:type="dxa" w:w="323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SSE 状态来源。</w:t>
            </w:r>
          </w:p>
        </w:tc>
      </w:tr>
    </w:tbl>
    <w:p/>
    <w:p>
      <w:pPr>
        <w:pStyle w:val="Heading2"/>
        <w:spacing w:before="160" w:after="100"/>
      </w:pPr>
      <w:r>
        <w:rPr>
          <w:rFonts w:ascii="Times New Roman" w:hAnsi="Times New Roman" w:eastAsia="SimSun"/>
          <w:b/>
          <w:sz w:val="26"/>
        </w:rPr>
        <w:t>12.2 环境变量</w:t>
      </w:r>
    </w:p>
    <w:tbl>
      <w:tblPr>
        <w:tblW w:type="auto" w:w="0"/>
        <w:jc w:val="center"/>
        <w:tblLayout w:type="fixed"/>
        <w:tblLook w:firstColumn="1" w:firstRow="1" w:lastColumn="0" w:lastRow="0" w:noHBand="0" w:noVBand="1" w:val="04A0"/>
      </w:tblPr>
      <w:tblGrid>
        <w:gridCol w:w="3081"/>
        <w:gridCol w:w="3081"/>
        <w:gridCol w:w="3081"/>
      </w:tblGrid>
      <w:tr>
        <w:tc>
          <w:tcPr>
            <w:tcW w:type="dxa" w:w="226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变量</w:t>
            </w:r>
          </w:p>
        </w:tc>
        <w:tc>
          <w:tcPr>
            <w:tcW w:type="dxa" w:w="317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说明</w:t>
            </w:r>
          </w:p>
        </w:tc>
        <w:tc>
          <w:tcPr>
            <w:tcW w:type="dxa" w:w="345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示例</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MYSQL_DSN</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 连接串。</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mysql+pymysql://rjb:pass@mysql:3306/rjb</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MILVUS_HOST</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主机。</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MILVUS_PORT</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端口。</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19530</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REDIS_URL</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Redis 连接串。</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redis://redis:6379/0</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MINIO_ENDPOINT</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对象存储地址。</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http://minio:9000</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MODEL_PROVIDER</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模型服务提供方。</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spark</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KG_ALIGNMENT_TOP_K</w:t>
            </w:r>
          </w:p>
        </w:tc>
        <w:tc>
          <w:tcPr>
            <w:tcW w:type="dxa" w:w="317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概念候选召回数量。</w:t>
            </w:r>
          </w:p>
        </w:tc>
        <w:tc>
          <w:tcPr>
            <w:tcW w:type="dxa" w:w="345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8</w:t>
            </w:r>
          </w:p>
        </w:tc>
      </w:tr>
      <w:tr>
        <w:tc>
          <w:tcPr>
            <w:tcW w:type="dxa" w:w="226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KG_PREREQ_HOPS</w:t>
            </w:r>
          </w:p>
        </w:tc>
        <w:tc>
          <w:tcPr>
            <w:tcW w:type="dxa" w:w="317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前置知识搜索跳数。</w:t>
            </w:r>
          </w:p>
        </w:tc>
        <w:tc>
          <w:tcPr>
            <w:tcW w:type="dxa" w:w="345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2</w:t>
            </w:r>
          </w:p>
        </w:tc>
      </w:tr>
    </w:tbl>
    <w:p/>
    <w:p>
      <w:pPr>
        <w:pStyle w:val="Heading1"/>
        <w:spacing w:before="240" w:after="100"/>
      </w:pPr>
      <w:r>
        <w:rPr>
          <w:rFonts w:ascii="Times New Roman" w:hAnsi="Times New Roman" w:eastAsia="SimSun"/>
          <w:b/>
          <w:sz w:val="31"/>
        </w:rPr>
        <w:t>13 测试与质量保障</w:t>
      </w:r>
    </w:p>
    <w:tbl>
      <w:tblPr>
        <w:tblW w:type="auto" w:w="0"/>
        <w:jc w:val="center"/>
        <w:tblLayout w:type="fixed"/>
        <w:tblLook w:firstColumn="1" w:firstRow="1" w:lastColumn="0" w:lastRow="0" w:noHBand="0" w:noVBand="1" w:val="04A0"/>
      </w:tblPr>
      <w:tblGrid>
        <w:gridCol w:w="3081"/>
        <w:gridCol w:w="3081"/>
        <w:gridCol w:w="3081"/>
      </w:tblGrid>
      <w:tr>
        <w:tc>
          <w:tcPr>
            <w:tcW w:type="dxa" w:w="1984"/>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测试项</w:t>
            </w:r>
          </w:p>
        </w:tc>
        <w:tc>
          <w:tcPr>
            <w:tcW w:type="dxa" w:w="323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重点</w:t>
            </w:r>
          </w:p>
        </w:tc>
        <w:tc>
          <w:tcPr>
            <w:tcW w:type="dxa" w:w="368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通过标准</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MySQL 表结构测试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迁移、索引、外键和基础 CRUD。</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迁移可重复执行，关键表可读写。</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检索测试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collection 初始化、向量写入、top-k 召回。</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给定概念描述能召回正确概念。</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公共 KG 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概念节点、前置边、章节映射。</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课程核心概念和前置关系完整。</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KG 对齐测试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学习证据到概念映射。</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固定样例 alignment_top1 准确率达到验收阈值。</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缺失前置知识测试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根据公共 KG 推断待补知识点。</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能输出缺失概念和理由。</w:t>
            </w:r>
          </w:p>
        </w:tc>
      </w:tr>
      <w:tr>
        <w:tc>
          <w:tcPr>
            <w:tcW w:type="dxa" w:w="1984"/>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RAG 可信测试</w:t>
            </w:r>
          </w:p>
        </w:tc>
        <w:tc>
          <w:tcPr>
            <w:tcW w:type="dxa" w:w="323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引用来源和无依据拒答。</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资源和问答引用覆盖率达标。</w:t>
            </w:r>
          </w:p>
        </w:tc>
      </w:tr>
      <w:tr>
        <w:tc>
          <w:tcPr>
            <w:tcW w:type="dxa" w:w="1984"/>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端到端测试</w:t>
            </w:r>
          </w:p>
        </w:tc>
        <w:tc>
          <w:tcPr>
            <w:tcW w:type="dxa" w:w="323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画像、KG 对齐、资源、路径、报告。</w:t>
            </w:r>
          </w:p>
        </w:tc>
        <w:tc>
          <w:tcPr>
            <w:tcW w:type="dxa" w:w="368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关键用户流程可完成。</w:t>
            </w:r>
          </w:p>
        </w:tc>
      </w:tr>
    </w:tbl>
    <w:p/>
    <w:p>
      <w:pPr>
        <w:pStyle w:val="Heading1"/>
        <w:spacing w:before="240" w:after="100"/>
      </w:pPr>
      <w:r>
        <w:rPr>
          <w:rFonts w:ascii="Times New Roman" w:hAnsi="Times New Roman" w:eastAsia="SimSun"/>
          <w:b/>
          <w:sz w:val="31"/>
        </w:rPr>
        <w:t>14 开发计划与风险</w:t>
      </w:r>
    </w:p>
    <w:tbl>
      <w:tblPr>
        <w:tblW w:type="auto" w:w="0"/>
        <w:jc w:val="center"/>
        <w:tblLayout w:type="fixed"/>
        <w:tblLook w:firstColumn="1" w:firstRow="1" w:lastColumn="0" w:lastRow="0" w:noHBand="0" w:noVBand="1" w:val="04A0"/>
      </w:tblPr>
      <w:tblGrid>
        <w:gridCol w:w="3081"/>
        <w:gridCol w:w="3081"/>
        <w:gridCol w:w="3081"/>
      </w:tblGrid>
      <w:tr>
        <w:tc>
          <w:tcPr>
            <w:tcW w:type="dxa" w:w="170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阶段</w:t>
            </w:r>
          </w:p>
        </w:tc>
        <w:tc>
          <w:tcPr>
            <w:tcW w:type="dxa" w:w="385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目标</w:t>
            </w:r>
          </w:p>
        </w:tc>
        <w:tc>
          <w:tcPr>
            <w:tcW w:type="dxa" w:w="334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交付物</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M1 基础工程</w:t>
            </w:r>
          </w:p>
        </w:tc>
        <w:tc>
          <w:tcPr>
            <w:tcW w:type="dxa" w:w="385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前后端、Docker Compose、MySQL、Redis、MinIO 启动。</w:t>
            </w:r>
          </w:p>
        </w:tc>
        <w:tc>
          <w:tcPr>
            <w:tcW w:type="dxa" w:w="334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可运行工程骨架。</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M2 Milvus 与知识库</w:t>
            </w:r>
          </w:p>
        </w:tc>
        <w:tc>
          <w:tcPr>
            <w:tcW w:type="dxa" w:w="385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Milvus collection、知识库导入、向量化和检索。</w:t>
            </w:r>
          </w:p>
        </w:tc>
        <w:tc>
          <w:tcPr>
            <w:tcW w:type="dxa" w:w="334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知识库导入工具和检索接口。</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M3 公共 KG</w:t>
            </w:r>
          </w:p>
        </w:tc>
        <w:tc>
          <w:tcPr>
            <w:tcW w:type="dxa" w:w="385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课程概念、前置边、章节题目实验映射。</w:t>
            </w:r>
          </w:p>
        </w:tc>
        <w:tc>
          <w:tcPr>
            <w:tcW w:type="dxa" w:w="334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公共课程 KG 管理页面和表结构。</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M4 KG 对齐</w:t>
            </w:r>
          </w:p>
        </w:tc>
        <w:tc>
          <w:tcPr>
            <w:tcW w:type="dxa" w:w="385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实现 KGAlignmentAgent 和缺失前置知识识别。</w:t>
            </w:r>
          </w:p>
        </w:tc>
        <w:tc>
          <w:tcPr>
            <w:tcW w:type="dxa" w:w="334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PG-Align 类算法模块和评测集。</w:t>
            </w:r>
          </w:p>
        </w:tc>
      </w:tr>
      <w:tr>
        <w:tc>
          <w:tcPr>
            <w:tcW w:type="dxa" w:w="170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M5 资源与路径</w:t>
            </w:r>
          </w:p>
        </w:tc>
        <w:tc>
          <w:tcPr>
            <w:tcW w:type="dxa" w:w="385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基于 KG 缺口生成资源和路径。</w:t>
            </w:r>
          </w:p>
        </w:tc>
        <w:tc>
          <w:tcPr>
            <w:tcW w:type="dxa" w:w="334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资源卡片、路径页、学习报告。</w:t>
            </w:r>
          </w:p>
        </w:tc>
      </w:tr>
      <w:tr>
        <w:tc>
          <w:tcPr>
            <w:tcW w:type="dxa" w:w="170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M6 稳定交付</w:t>
            </w:r>
          </w:p>
        </w:tc>
        <w:tc>
          <w:tcPr>
            <w:tcW w:type="dxa" w:w="385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测试说明、部署说明、合规清单和提交包。</w:t>
            </w:r>
          </w:p>
        </w:tc>
        <w:tc>
          <w:tcPr>
            <w:tcW w:type="dxa" w:w="334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正式交付材料。</w:t>
            </w:r>
          </w:p>
        </w:tc>
      </w:tr>
    </w:tbl>
    <w:p/>
    <w:p>
      <w:pPr>
        <w:pStyle w:val="Heading2"/>
        <w:spacing w:before="160" w:after="100"/>
      </w:pPr>
      <w:r>
        <w:rPr>
          <w:rFonts w:ascii="Times New Roman" w:hAnsi="Times New Roman" w:eastAsia="SimSun"/>
          <w:b/>
          <w:sz w:val="26"/>
        </w:rPr>
        <w:t>14.1 主要风险</w:t>
      </w:r>
    </w:p>
    <w:tbl>
      <w:tblPr>
        <w:tblW w:type="auto" w:w="0"/>
        <w:jc w:val="center"/>
        <w:tblLayout w:type="fixed"/>
        <w:tblLook w:firstColumn="1" w:firstRow="1" w:lastColumn="0" w:lastRow="0" w:noHBand="0" w:noVBand="1" w:val="04A0"/>
      </w:tblPr>
      <w:tblGrid>
        <w:gridCol w:w="3081"/>
        <w:gridCol w:w="3081"/>
        <w:gridCol w:w="3081"/>
      </w:tblGrid>
      <w:tr>
        <w:tc>
          <w:tcPr>
            <w:tcW w:type="dxa" w:w="226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风险</w:t>
            </w:r>
          </w:p>
        </w:tc>
        <w:tc>
          <w:tcPr>
            <w:tcW w:type="dxa" w:w="2551"/>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影响</w:t>
            </w:r>
          </w:p>
        </w:tc>
        <w:tc>
          <w:tcPr>
            <w:tcW w:type="dxa" w:w="4082"/>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6"/>
              </w:rPr>
              <w:t>应对</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Milvus 运行资源较高</w:t>
            </w:r>
          </w:p>
        </w:tc>
        <w:tc>
          <w:tcPr>
            <w:tcW w:type="dxa" w:w="255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本机启动慢或失败。</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提供 Docker Compose 最小配置；必要时开发环境可临时切换轻量向量库，但正式方案仍以 Milvus 为准。</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公共 KG 前置边质量不足</w:t>
            </w:r>
          </w:p>
        </w:tc>
        <w:tc>
          <w:tcPr>
            <w:tcW w:type="dxa" w:w="255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缺失前置知识判断不准。</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教师审核、固定评测集、版本化维护。</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KG 对齐误匹配</w:t>
            </w:r>
          </w:p>
        </w:tc>
        <w:tc>
          <w:tcPr>
            <w:tcW w:type="dxa" w:w="255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路径推荐错误。</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向量相似度 + 章节上下文 + 前置关系联合排序，并保留候选和置信度。</w:t>
            </w:r>
          </w:p>
        </w:tc>
      </w:tr>
      <w:tr>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模型生成内容幻觉</w:t>
            </w:r>
          </w:p>
        </w:tc>
        <w:tc>
          <w:tcPr>
            <w:tcW w:type="dxa" w:w="2551"/>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误导学习。</w:t>
            </w:r>
          </w:p>
        </w:tc>
        <w:tc>
          <w:tcPr>
            <w:tcW w:type="dxa" w:w="4082"/>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RAG 引用、KG 约束、AuditAgent、无依据拒答。</w:t>
            </w:r>
          </w:p>
        </w:tc>
      </w:tr>
      <w:tr>
        <w:tc>
          <w:tcPr>
            <w:tcW w:type="dxa" w:w="226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Docker 未启动</w:t>
            </w:r>
          </w:p>
        </w:tc>
        <w:tc>
          <w:tcPr>
            <w:tcW w:type="dxa" w:w="2551"/>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6"/>
              </w:rPr>
              <w:t>本机无法运行服务。</w:t>
            </w:r>
          </w:p>
        </w:tc>
        <w:tc>
          <w:tcPr>
            <w:tcW w:type="dxa" w:w="4082"/>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6"/>
              </w:rPr>
              <w:t>README 和部署说明中明确启动 Docker Desktop。</w:t>
            </w:r>
          </w:p>
        </w:tc>
      </w:tr>
    </w:tbl>
    <w:p/>
    <w:p>
      <w:pPr>
        <w:pStyle w:val="Heading1"/>
        <w:spacing w:before="240" w:after="100"/>
      </w:pPr>
      <w:r>
        <w:rPr>
          <w:rFonts w:ascii="Times New Roman" w:hAnsi="Times New Roman" w:eastAsia="SimSun"/>
          <w:b/>
          <w:sz w:val="31"/>
        </w:rPr>
        <w:t>附录 A 配置项清单</w:t>
      </w:r>
    </w:p>
    <w:tbl>
      <w:tblPr>
        <w:tblW w:type="auto" w:w="0"/>
        <w:jc w:val="center"/>
        <w:tblLayout w:type="fixed"/>
        <w:tblLook w:firstColumn="1" w:firstRow="1" w:lastColumn="0" w:lastRow="0" w:noHBand="0" w:noVBand="1" w:val="04A0"/>
      </w:tblPr>
      <w:tblGrid>
        <w:gridCol w:w="3081"/>
        <w:gridCol w:w="3081"/>
        <w:gridCol w:w="3081"/>
      </w:tblGrid>
      <w:tr>
        <w:tc>
          <w:tcPr>
            <w:tcW w:type="dxa" w:w="294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配置项</w:t>
            </w:r>
          </w:p>
        </w:tc>
        <w:tc>
          <w:tcPr>
            <w:tcW w:type="dxa" w:w="2268"/>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默认建议</w:t>
            </w:r>
          </w:p>
        </w:tc>
        <w:tc>
          <w:tcPr>
            <w:tcW w:type="dxa" w:w="3685"/>
            <w:vAlign w:val="center"/>
            <w:tcBorders>
              <w:top w:val="single" w:sz="8" w:space="0" w:color="000000"/>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sz w:val="17"/>
              </w:rPr>
              <w:t>说明</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kg_alignment.top_k</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8</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Milvus 概念候选召回数量。</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kg_alignment.min_score</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0.55</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最低对齐置信度。</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kg.prerequisite_hops</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2</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缺失前置知识搜索深度。</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milvus.collection.concepts</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kg_concept_vectors</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公共概念向量集合。</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milvus.collection.chunks</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knowledge_chunk_vectors</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知识片段向量集合。</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rag.top_k</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8</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RAG 检索片段数量。</w:t>
            </w:r>
          </w:p>
        </w:tc>
      </w:tr>
      <w:tr>
        <w:tc>
          <w:tcPr>
            <w:tcW w:type="dxa" w:w="2948"/>
            <w:vAlign w:val="center"/>
            <w:tcBorders>
              <w:top w:val="nil"/>
              <w:left w:val="nil"/>
              <w:bottom w:val="nil"/>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agent.max_retries</w:t>
            </w:r>
          </w:p>
        </w:tc>
        <w:tc>
          <w:tcPr>
            <w:tcW w:type="dxa" w:w="2268"/>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2</w:t>
            </w:r>
          </w:p>
        </w:tc>
        <w:tc>
          <w:tcPr>
            <w:tcW w:type="dxa" w:w="3685"/>
            <w:vAlign w:val="center"/>
            <w:tcBorders>
              <w:top w:val="nil"/>
              <w:left w:val="nil"/>
              <w:bottom w:val="nil"/>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Agent 最大重试次数。</w:t>
            </w:r>
          </w:p>
        </w:tc>
      </w:tr>
      <w:tr>
        <w:tc>
          <w:tcPr>
            <w:tcW w:type="dxa" w:w="294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pPr>
            <w:r/>
            <w:r>
              <w:rPr>
                <w:rFonts w:ascii="Times New Roman" w:hAnsi="Times New Roman" w:eastAsia="SimSun"/>
                <w:b w:val="0"/>
                <w:sz w:val="17"/>
              </w:rPr>
              <w:t>task.progress_interval_seconds</w:t>
            </w:r>
          </w:p>
        </w:tc>
        <w:tc>
          <w:tcPr>
            <w:tcW w:type="dxa" w:w="2268"/>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3</w:t>
            </w:r>
          </w:p>
        </w:tc>
        <w:tc>
          <w:tcPr>
            <w:tcW w:type="dxa" w:w="3685"/>
            <w:vAlign w:val="center"/>
            <w:tcBorders>
              <w:top w:val="nil"/>
              <w:left w:val="nil"/>
              <w:bottom w:val="single" w:sz="8" w:space="0" w:color="000000"/>
              <w:right w:val="nil"/>
              <w:insideH w:val="nil"/>
              <w:insideV w:val="nil"/>
            </w:tcBorders>
            <w:tcMar>
              <w:top w:w="100" w:type="dxa"/>
              <w:left w:w="100" w:type="dxa"/>
              <w:bottom w:w="100" w:type="dxa"/>
              <w:right w:w="100" w:type="dxa"/>
            </w:tcMar>
          </w:tcPr>
          <w:p>
            <w:pPr>
              <w:spacing w:after="0"/>
              <w:jc w:val="center"/>
            </w:pPr>
            <w:r/>
            <w:r>
              <w:rPr>
                <w:rFonts w:ascii="Times New Roman" w:hAnsi="Times New Roman" w:eastAsia="SimSun"/>
                <w:b w:val="0"/>
                <w:sz w:val="17"/>
              </w:rPr>
              <w:t>任务进度推送间隔。</w:t>
            </w:r>
          </w:p>
        </w:tc>
      </w:tr>
    </w:tbl>
    <w:p/>
    <w:sectPr w:rsidR="00FC693F" w:rsidRPr="0006063C" w:rsidSect="00034616">
      <w:headerReference w:type="default" r:id="rId9"/>
      <w:footerReference w:type="default" r:id="rId10"/>
      <w:pgSz w:w="11906" w:h="16838"/>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sz w:val="18"/>
      </w:rPr>
      <w:t>软件杯 A3 | 系统开发说明书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SimSun"/>
        <w:sz w:val="18"/>
      </w:rPr>
      <w:t>智学引擎系统开发说明书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Times New Roman" w:hAnsi="Times New Roma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Times New Roman" w:hAnsi="Times New Roma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