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sz w:val="26"/>
        </w:rPr>
        <w:t>软件杯 A3</w:t>
      </w:r>
    </w:p>
    <w:p>
      <w:pPr>
        <w:jc w:val="center"/>
      </w:pPr>
      <w:r>
        <w:rPr>
          <w:rFonts w:ascii="Times New Roman" w:hAnsi="Times New Roman" w:eastAsia="SimSun"/>
          <w:b/>
          <w:sz w:val="44"/>
        </w:rPr>
        <w:t>智学引擎系统架构说明书</w:t>
      </w:r>
    </w:p>
    <w:p>
      <w:pPr>
        <w:jc w:val="center"/>
      </w:pPr>
      <w:r>
        <w:rPr>
          <w:rFonts w:ascii="Times New Roman" w:hAnsi="Times New Roman" w:eastAsia="SimSun"/>
          <w:b w:val="0"/>
          <w:sz w:val="24"/>
        </w:rPr>
        <w:t>MySQL + Milvus + 知识图谱 + 多智能体架构</w:t>
      </w:r>
    </w:p>
    <w:p>
      <w:pPr>
        <w:jc w:val="center"/>
      </w:pPr>
      <w:r>
        <w:rPr>
          <w:rFonts w:ascii="Times New Roman" w:hAnsi="Times New Roman" w:eastAsia="SimSun"/>
          <w:b w:val="0"/>
          <w:sz w:val="21"/>
        </w:rPr>
        <w:t>版本：v1.0</w:t>
      </w:r>
    </w:p>
    <w:p>
      <w:pPr>
        <w:jc w:val="center"/>
      </w:pPr>
      <w:r>
        <w:rPr>
          <w:rFonts w:ascii="Times New Roman" w:hAnsi="Times New Roman" w:eastAsia="SimSun"/>
          <w:b w:val="0"/>
          <w:sz w:val="21"/>
        </w:rPr>
        <w:t>生成日期：2026-06-22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268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7"/>
              </w:rPr>
              <w:t>项目</w:t>
            </w:r>
          </w:p>
        </w:tc>
        <w:tc>
          <w:tcPr>
            <w:tcW w:type="dxa" w:w="12472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比赛要求基线</w:t>
            </w:r>
          </w:p>
        </w:tc>
        <w:tc>
          <w:tcPr>
            <w:tcW w:type="dxa" w:w="124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A3-基于大模型的个性化资源生成与学习多智能体系统开发_比赛要求文档.docx，用于约束系统目标、功能边界、交付形态和技术验收口径。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需求基线</w:t>
            </w:r>
          </w:p>
        </w:tc>
        <w:tc>
          <w:tcPr>
            <w:tcW w:type="dxa" w:w="124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软件杯A3_智学引擎_需求规格说明书_v1.2_用户系统版.docx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开发基线</w:t>
            </w:r>
          </w:p>
        </w:tc>
        <w:tc>
          <w:tcPr>
            <w:tcW w:type="dxa" w:w="124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软件杯A3_智学引擎_系统开发说明书_v1.1.docx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论文参考</w:t>
            </w:r>
          </w:p>
        </w:tc>
        <w:tc>
          <w:tcPr>
            <w:tcW w:type="dxa" w:w="1247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paper-reference/public_kg_alignment_paper.pdf，用于公共 KG 对齐与缺失前置知识识别方案。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版式说明</w:t>
            </w:r>
          </w:p>
        </w:tc>
        <w:tc>
          <w:tcPr>
            <w:tcW w:type="dxa" w:w="12472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本文采用横向 A4，以保证架构图在 Word 中清晰可读。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Times New Roman" w:hAnsi="Times New Roman" w:eastAsia="SimSun"/>
          <w:b/>
          <w:sz w:val="31"/>
        </w:rPr>
        <w:t>1 文档目的与架构边界</w:t>
      </w:r>
    </w:p>
    <w:p>
      <w:r>
        <w:rPr>
          <w:rFonts w:ascii="Times New Roman" w:hAnsi="Times New Roman" w:eastAsia="SimSun"/>
          <w:b w:val="0"/>
          <w:sz w:val="21"/>
        </w:rPr>
        <w:t>本文档独立说明智学引擎系统架构，重点回答系统由哪些结构组成、各结构如何协作、数据如何流动、知识图谱如何落地、公共 KG 对齐算法如何进入系统、部署环境如何组织，以及质量属性如何贯穿各层。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本文的“系统总体逻辑架构”用于说明前端、业务服务、Agent、算法和数据基础设施之间的关系。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本文的“数据与知识图谱架构”用于说明 MySQL、Milvus、Redis、MinIO 与公共 KG、学习者 KG 的边界。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本文的“算法架构”用于说明参考 public_kg_alignment_paper.pdf 的 PG-Align 类对齐流程。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本文的“部署拓扑”用于说明本机和初赛环境如何用 Docker Compose 运行系统。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72000" cy="481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iew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8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sz w:val="18"/>
        </w:rPr>
        <w:t>图 1 系统架构视图总览</w:t>
      </w:r>
    </w:p>
    <w:p>
      <w:pPr>
        <w:pStyle w:val="Heading1"/>
        <w:spacing w:before="200" w:after="80"/>
      </w:pPr>
      <w:r>
        <w:rPr>
          <w:rFonts w:ascii="Times New Roman" w:hAnsi="Times New Roman" w:eastAsia="SimSun"/>
          <w:b/>
          <w:sz w:val="31"/>
        </w:rPr>
        <w:t>2 系统上下文架构</w:t>
      </w:r>
    </w:p>
    <w:p>
      <w:r>
        <w:rPr>
          <w:rFonts w:ascii="Times New Roman" w:hAnsi="Times New Roman" w:eastAsia="SimSun"/>
          <w:b w:val="0"/>
          <w:sz w:val="21"/>
        </w:rPr>
        <w:t>系统上下文视图用于明确目标用户、系统边界和外部依赖。智学引擎的核心用户是学生、教师/内容管理员和系统管理员；外部依赖包括大模型、多模态服务、代码评测能力和课程资料来源。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72000" cy="481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8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sz w:val="18"/>
        </w:rPr>
        <w:t>图 2 系统上下文视图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381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对象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职责</w:t>
            </w:r>
          </w:p>
        </w:tc>
        <w:tc>
          <w:tcPr>
            <w:tcW w:type="dxa" w:w="6009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架构约束</w:t>
            </w:r>
          </w:p>
        </w:tc>
      </w:tr>
      <w:tr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学生</w:t>
            </w:r>
          </w:p>
        </w:tc>
        <w:tc>
          <w:tcPr>
            <w:tcW w:type="dxa" w:w="635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构建画像、学习资源、完成练习、查看路径和报告。</w:t>
            </w:r>
          </w:p>
        </w:tc>
        <w:tc>
          <w:tcPr>
            <w:tcW w:type="dxa" w:w="600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只能访问本人学习数据。</w:t>
            </w:r>
          </w:p>
        </w:tc>
      </w:tr>
      <w:tr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教师/内容管理员</w:t>
            </w:r>
          </w:p>
        </w:tc>
        <w:tc>
          <w:tcPr>
            <w:tcW w:type="dxa" w:w="635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维护课程资料、知识图谱、题库、审核规则和评测集。</w:t>
            </w:r>
          </w:p>
        </w:tc>
        <w:tc>
          <w:tcPr>
            <w:tcW w:type="dxa" w:w="600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负责公共 KG 与课程资料来源质量。</w:t>
            </w:r>
          </w:p>
        </w:tc>
      </w:tr>
      <w:tr>
        <w:tc>
          <w:tcPr>
            <w:tcW w:type="dxa" w:w="238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系统管理员</w:t>
            </w:r>
          </w:p>
        </w:tc>
        <w:tc>
          <w:tcPr>
            <w:tcW w:type="dxa" w:w="635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维护模型、部署、配置、合规清单和监控。</w:t>
            </w:r>
          </w:p>
        </w:tc>
        <w:tc>
          <w:tcPr>
            <w:tcW w:type="dxa" w:w="600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不直接修改学习内容。</w:t>
            </w:r>
          </w:p>
        </w:tc>
      </w:tr>
      <w:tr>
        <w:tc>
          <w:tcPr>
            <w:tcW w:type="dxa" w:w="2381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模型/多模态服务</w:t>
            </w:r>
          </w:p>
        </w:tc>
        <w:tc>
          <w:tcPr>
            <w:tcW w:type="dxa" w:w="6350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提供文本生成、Embedding、视频/动画素材生成。</w:t>
            </w:r>
          </w:p>
        </w:tc>
        <w:tc>
          <w:tcPr>
            <w:tcW w:type="dxa" w:w="6009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通过模型网关接入，必须记录调用和降级。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Times New Roman" w:hAnsi="Times New Roman" w:eastAsia="SimSun"/>
          <w:b/>
          <w:sz w:val="31"/>
        </w:rPr>
        <w:t>3 总体逻辑架构</w:t>
      </w:r>
    </w:p>
    <w:p>
      <w:r>
        <w:rPr>
          <w:rFonts w:ascii="Times New Roman" w:hAnsi="Times New Roman" w:eastAsia="SimSun"/>
          <w:b w:val="0"/>
          <w:sz w:val="21"/>
        </w:rPr>
        <w:t>总体逻辑架构采用四层结构：用户交互层、应用服务层、智能体与算法层、数据基础设施层。该图不是部署图，而是系统模块职责和依赖方向的说明。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72000" cy="481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8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sz w:val="18"/>
        </w:rPr>
        <w:t>图 3 系统总体逻辑架构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268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层次</w:t>
            </w:r>
          </w:p>
        </w:tc>
        <w:tc>
          <w:tcPr>
            <w:tcW w:type="dxa" w:w="6803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关键组件</w:t>
            </w:r>
          </w:p>
        </w:tc>
        <w:tc>
          <w:tcPr>
            <w:tcW w:type="dxa" w:w="5669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用户交互层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学生端、教师端、知识图谱视图、资源卡片、系统管理端、SSE 状态面板。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负责交互、状态展示、资源学习和管理操作。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应用服务层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API 网关、用户权限、画像、知识库、资源、路径评估、监控合规。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负责业务规则、权限、事务和对外 API。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智能体与算法层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ProfileAgent、KGAlignmentAgent、RetrieverAgent、PlannerAgent、GeneratorAgent、AuditAgent、PathAgent。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负责画像抽取、KG 对齐、检索、规划、生成、审核和路径调整。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数据基础设施层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MySQL、Milvus、Redis、MinIO、公共课程 KG、外部模型服务。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负责持久化、语义检索、任务状态、文件资源和模型能力。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 w:eastAsia="SimSun"/>
          <w:b/>
          <w:sz w:val="31"/>
        </w:rPr>
        <w:t>4 数据与知识图谱架构</w:t>
      </w:r>
    </w:p>
    <w:p>
      <w:r>
        <w:rPr>
          <w:rFonts w:ascii="Times New Roman" w:hAnsi="Times New Roman" w:eastAsia="SimSun"/>
          <w:b w:val="0"/>
          <w:sz w:val="21"/>
        </w:rPr>
        <w:t>数据架构将关系数据、图谱结构和向量索引分开处理：MySQL 保存业务数据和图谱结构，Milvus 保存向量索引，Redis 保存任务状态和缓存，MinIO 保存文件与多模态资源。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72000" cy="481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a_k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8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sz w:val="18"/>
        </w:rPr>
        <w:t>图 4 数据与知识图谱架构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268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组件</w:t>
            </w:r>
          </w:p>
        </w:tc>
        <w:tc>
          <w:tcPr>
            <w:tcW w:type="dxa" w:w="7937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保存内容</w:t>
            </w:r>
          </w:p>
        </w:tc>
        <w:tc>
          <w:tcPr>
            <w:tcW w:type="dxa" w:w="4535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不承担的职责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MySQL 8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用户、画像、资源、路径、AgentRun、审核、合规、公共 KG 节点边、学习者 KG 节点边。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不承担高维向量近邻检索。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Milvus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课程概念、知识片段、资源摘要、学习证据的 embedding。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不保存业务主数据，不替代 MySQL 图谱结构。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Redis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任务状态、SSE 消息、缓存、限流和短期队列。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不做长期审计存储。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MinIO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上传资料、图片、视频、关键帧、导图和附件。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不做结构化查询。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 w:eastAsia="SimSun"/>
          <w:b/>
          <w:sz w:val="31"/>
        </w:rPr>
        <w:t>5 公共 KG 对齐算法架构</w:t>
      </w:r>
    </w:p>
    <w:p>
      <w:r>
        <w:rPr>
          <w:rFonts w:ascii="Times New Roman" w:hAnsi="Times New Roman" w:eastAsia="SimSun"/>
          <w:b w:val="0"/>
          <w:sz w:val="21"/>
        </w:rPr>
        <w:t>算法架构参考 public_kg_alignment_paper.pdf 的公共知识图谱对齐思想：先构建公共课程 KG Gc=(C,Rc)，再为学习者维护个人 KG Gu=(V,E,M)。系统通过 Milvus 概念候选召回和 KG 前置边投影，将学习证据对齐到公共概念，识别缺失前置知识，并驱动学习路径和资源生成。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72000" cy="4819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kg_al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8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sz w:val="18"/>
        </w:rPr>
        <w:t>图 5 公共 KG 对齐算法架构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35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算法阶段</w:t>
            </w:r>
          </w:p>
        </w:tc>
        <w:tc>
          <w:tcPr>
            <w:tcW w:type="dxa" w:w="6803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输入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输出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公共 KG 构建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课程大纲、章节、题库、实验、教材摘要、参考文献。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course_concepts、concept_prerequisites。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概念候选召回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学习证据文本、错因描述、问答问题。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Milvus top-k 候选概念。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KG 对齐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候选概念、章节上下文、公共 KG 前置边、学习者状态。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个人节点到公共概念的映射 M。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缺失前置知识识别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已对齐概念 cnew、公共前置边 Rc、学习者掌握状态。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missing_prerequisites。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路径与资源生成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缺失前置知识、画像、学习目标。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learning_paths、resources。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 w:eastAsia="SimSun"/>
          <w:b/>
          <w:sz w:val="31"/>
        </w:rPr>
        <w:t>6 多智能体编排架构</w:t>
      </w:r>
    </w:p>
    <w:p>
      <w:r>
        <w:rPr>
          <w:rFonts w:ascii="Times New Roman" w:hAnsi="Times New Roman" w:eastAsia="SimSun"/>
          <w:b w:val="0"/>
          <w:sz w:val="21"/>
        </w:rPr>
        <w:t>多智能体编排架构负责把用户请求转化为可追踪的异步任务。所有资源生成、路径规划、多模态生成和 KG 对齐任务都必须经过任务状态机，并记录 AgentRun 和 AgentLog。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72000" cy="4819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g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8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sz w:val="18"/>
        </w:rPr>
        <w:t>图 6 多智能体编排与任务状态机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551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Agent</w:t>
            </w:r>
          </w:p>
        </w:tc>
        <w:tc>
          <w:tcPr>
            <w:tcW w:type="dxa" w:w="7654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职责</w:t>
            </w:r>
          </w:p>
        </w:tc>
        <w:tc>
          <w:tcPr>
            <w:tcW w:type="dxa" w:w="4535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关键证据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ProfileAgent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抽取画像、读取画像、更新画像事件。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LearningProfile、ProfileEvent。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KGAlignmentAgent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学习证据到公共 KG 概念对齐，识别缺失前置知识。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alignment_score、missing_prerequisites。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RetrieverAgent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调用 Milvus 和 MySQL 进行混合检索。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citations、knowledge_chunks。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PlannerAgent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根据画像、KG 缺口和掌握度规划资源与路径。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resource_plan、LearningPath。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GeneratorAgent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生成讲义、题目、导图、代码案例、视频/动画素材。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Resource draft、asset list。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AuditAgent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审核引用、事实、安全、格式和画像适配。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AuditReport、risk_level。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PathAgent</w:t>
            </w:r>
          </w:p>
        </w:tc>
        <w:tc>
          <w:tcPr>
            <w:tcW w:type="dxa" w:w="7654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根据学习行为和练习结果调整路径。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learner_concept_states、adjust_reason。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 w:eastAsia="SimSun"/>
          <w:b/>
          <w:sz w:val="31"/>
        </w:rPr>
        <w:t>7 部署拓扑架构</w:t>
      </w:r>
    </w:p>
    <w:p>
      <w:r>
        <w:rPr>
          <w:rFonts w:ascii="Times New Roman" w:hAnsi="Times New Roman" w:eastAsia="SimSun"/>
          <w:b w:val="0"/>
          <w:sz w:val="21"/>
        </w:rPr>
        <w:t>部署拓扑采用 Docker Compose 固化依赖。当前本机检测到 Docker、Node、Python，但没有正在运行的 MySQL、Milvus、Redis 等服务，因此系统不依赖本机预装数据库。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72000" cy="4819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ploy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8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sz w:val="18"/>
        </w:rPr>
        <w:t>图 7 部署拓扑视图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268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服务</w:t>
            </w:r>
          </w:p>
        </w:tc>
        <w:tc>
          <w:tcPr>
            <w:tcW w:type="dxa" w:w="7937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职责</w:t>
            </w:r>
          </w:p>
        </w:tc>
        <w:tc>
          <w:tcPr>
            <w:tcW w:type="dxa" w:w="4535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依赖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frontend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Vue 前端构建与静态资源。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Nginx。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backend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FastAPI API、业务服务、SSE。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MySQL、Milvus、Redis、MinIO。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worker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Agent、知识库导入、向量化、多模态任务。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backend 配置、模型服务。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mysql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业务库和 KG 结构库。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持久化 volume。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milvus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向量数据库。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etcd、MinIO。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redis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任务状态、缓存、限流和 SSE 消息。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无。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minio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文件和多模态资源对象存储。</w:t>
            </w:r>
          </w:p>
        </w:tc>
        <w:tc>
          <w:tcPr>
            <w:tcW w:type="dxa" w:w="4535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持久化 volume。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 w:eastAsia="SimSun"/>
          <w:b/>
          <w:sz w:val="31"/>
        </w:rPr>
        <w:t>8 质量属性与横切机制</w:t>
      </w:r>
    </w:p>
    <w:p>
      <w:r>
        <w:rPr>
          <w:rFonts w:ascii="Times New Roman" w:hAnsi="Times New Roman" w:eastAsia="SimSun"/>
          <w:b w:val="0"/>
          <w:sz w:val="21"/>
        </w:rPr>
        <w:t>质量属性不是附加模块，而是贯穿前端、后端、Agent、数据和部署的横切机制。系统必须同时满足内容可信、性能体验、安全隐私、可观测性、合规治理和可维护性。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72000" cy="4819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qual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8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SimSun"/>
          <w:b w:val="0"/>
          <w:sz w:val="18"/>
        </w:rPr>
        <w:t>图 8 质量属性与横切机制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268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质量属性</w:t>
            </w:r>
          </w:p>
        </w:tc>
        <w:tc>
          <w:tcPr>
            <w:tcW w:type="dxa" w:w="7370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架构落点</w:t>
            </w:r>
          </w:p>
        </w:tc>
        <w:tc>
          <w:tcPr>
            <w:tcW w:type="dxa" w:w="5102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验收证据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内容可信</w:t>
            </w:r>
          </w:p>
        </w:tc>
        <w:tc>
          <w:tcPr>
            <w:tcW w:type="dxa" w:w="737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RAG 引用、KG 前置关系、AuditAgent、无依据拒答。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引用覆盖率、审核报告、防幻觉测试。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性能体验</w:t>
            </w:r>
          </w:p>
        </w:tc>
        <w:tc>
          <w:tcPr>
            <w:tcW w:type="dxa" w:w="737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SSE、任务状态机、异步 Worker、Redis 状态缓存。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首响应时间、状态更新间隔、长任务成功率。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安全隐私</w:t>
            </w:r>
          </w:p>
        </w:tc>
        <w:tc>
          <w:tcPr>
            <w:tcW w:type="dxa" w:w="737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RBAC、日志脱敏、代码隔离、输入输出安全过滤。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越权测试、安全过滤记录、代码沙箱日志。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可观测性</w:t>
            </w:r>
          </w:p>
        </w:tc>
        <w:tc>
          <w:tcPr>
            <w:tcW w:type="dxa" w:w="737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request_id、AgentRun、AgentLog、错误码、健康检查。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日志链路、错误追踪、监控指标。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合规治理</w:t>
            </w:r>
          </w:p>
        </w:tc>
        <w:tc>
          <w:tcPr>
            <w:tcW w:type="dxa" w:w="737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compliance_records、依赖清单、AI 工具说明、资料来源。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合规清单、许可证记录、资料来源台账。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可维护性</w:t>
            </w:r>
          </w:p>
        </w:tc>
        <w:tc>
          <w:tcPr>
            <w:tcW w:type="dxa" w:w="7370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版本化 KG、迁移脚本、配置清单、模块边界。</w:t>
            </w:r>
          </w:p>
        </w:tc>
        <w:tc>
          <w:tcPr>
            <w:tcW w:type="dxa" w:w="5102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迁移记录、配置项清单、版本说明。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 w:eastAsia="SimSun"/>
          <w:b/>
          <w:sz w:val="31"/>
        </w:rPr>
        <w:t>9 架构决策记录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551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决策</w:t>
            </w:r>
          </w:p>
        </w:tc>
        <w:tc>
          <w:tcPr>
            <w:tcW w:type="dxa" w:w="4252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结论</w:t>
            </w:r>
          </w:p>
        </w:tc>
        <w:tc>
          <w:tcPr>
            <w:tcW w:type="dxa" w:w="7937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理由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关系数据库</w:t>
            </w:r>
          </w:p>
        </w:tc>
        <w:tc>
          <w:tcPr>
            <w:tcW w:type="dxa" w:w="425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选择 MySQL 8。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团队熟悉度高，适合保存业务数据和 KG 节点边；通过 Docker Compose 保证本机可复现。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向量数据库</w:t>
            </w:r>
          </w:p>
        </w:tc>
        <w:tc>
          <w:tcPr>
            <w:tcW w:type="dxa" w:w="425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选择 Milvus。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RAG、概念候选召回和多模态素材检索需要独立向量数据库，不把向量检索挤压到关系库。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知识图谱实现</w:t>
            </w:r>
          </w:p>
        </w:tc>
        <w:tc>
          <w:tcPr>
            <w:tcW w:type="dxa" w:w="425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P0 用 MySQL 节点边表，后续可同步 Neo4j。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初赛降低部署复杂度，同时保留图谱扩展空间。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算法路线</w:t>
            </w:r>
          </w:p>
        </w:tc>
        <w:tc>
          <w:tcPr>
            <w:tcW w:type="dxa" w:w="425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采用 PG-Align 类公共 KG 对齐方案。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与论文方案一致，能解释学习者缺失前置知识和路径生成依据。</w:t>
            </w:r>
          </w:p>
        </w:tc>
      </w:tr>
      <w:tr>
        <w:tc>
          <w:tcPr>
            <w:tcW w:type="dxa" w:w="2551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部署方式</w:t>
            </w:r>
          </w:p>
        </w:tc>
        <w:tc>
          <w:tcPr>
            <w:tcW w:type="dxa" w:w="4252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Docker Compose。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本机未运行数据库服务，容器化更可复现。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Times New Roman" w:hAnsi="Times New Roman" w:eastAsia="SimSun"/>
          <w:b/>
          <w:sz w:val="31"/>
        </w:rPr>
        <w:t>10 架构风险与控制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35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风险</w:t>
            </w:r>
          </w:p>
        </w:tc>
        <w:tc>
          <w:tcPr>
            <w:tcW w:type="dxa" w:w="3969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影响</w:t>
            </w:r>
          </w:p>
        </w:tc>
        <w:tc>
          <w:tcPr>
            <w:tcW w:type="dxa" w:w="7937"/>
            <w:vAlign w:val="center"/>
            <w:tcBorders>
              <w:top w:val="single" w:sz="8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/>
                <w:sz w:val="16"/>
              </w:rPr>
              <w:t>控制措施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Milvus 资源占用较高</w:t>
            </w:r>
          </w:p>
        </w:tc>
        <w:tc>
          <w:tcPr>
            <w:tcW w:type="dxa" w:w="396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本机部署失败或启动慢。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提供最小 Standalone 配置，README 明确 Docker Desktop 启动要求；必要时开发环境临时降级，但正式架构保持 Milvus。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公共 KG 前置关系质量不足</w:t>
            </w:r>
          </w:p>
        </w:tc>
        <w:tc>
          <w:tcPr>
            <w:tcW w:type="dxa" w:w="396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缺失前置知识识别不准。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教师审核、版本化维护、固定评测集和错误样例回归。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KG 对齐误匹配</w:t>
            </w:r>
          </w:p>
        </w:tc>
        <w:tc>
          <w:tcPr>
            <w:tcW w:type="dxa" w:w="396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资源推荐和路径规划错误。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向量召回 + 章节上下文 + 前置关系联合排序，保留候选、置信度和可复查证据。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模型生成幻觉</w:t>
            </w:r>
          </w:p>
        </w:tc>
        <w:tc>
          <w:tcPr>
            <w:tcW w:type="dxa" w:w="3969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误导学生。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RAG 引用、KG 约束、AuditAgent、无依据拒答和人工审核。</w:t>
            </w:r>
          </w:p>
        </w:tc>
      </w:tr>
      <w:tr>
        <w:tc>
          <w:tcPr>
            <w:tcW w:type="dxa" w:w="2835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文档和实现不同步</w:t>
            </w:r>
          </w:p>
        </w:tc>
        <w:tc>
          <w:tcPr>
            <w:tcW w:type="dxa" w:w="3969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交付可信度下降。</w:t>
            </w:r>
          </w:p>
        </w:tc>
        <w:tc>
          <w:tcPr>
            <w:tcW w:type="dxa" w:w="7937"/>
            <w:vAlign w:val="center"/>
            <w:tcBorders>
              <w:top w:val="nil"/>
              <w:left w:val="nil"/>
              <w:bottom w:val="single" w:sz="8" w:space="0" w:color="000000"/>
              <w:right w:val="nil"/>
              <w:insideH w:val="nil"/>
              <w:insideV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eastAsia="SimSun"/>
                <w:b w:val="0"/>
                <w:sz w:val="16"/>
              </w:rPr>
              <w:t>需求、架构、开发、测试文档同版本管理；重大变更新增 ADR。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765" w:right="850" w:bottom="680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sz w:val="18"/>
      </w:rPr>
      <w:t>软件杯 A3 | 系统架构说明书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 w:eastAsia="SimSun"/>
        <w:sz w:val="18"/>
      </w:rPr>
      <w:t>智学引擎系统架构说明书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Times New Roman" w:hAnsi="Times New Roma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Times New Roman" w:hAnsi="Times New Roma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