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aps/>
          <w:color w:val="0B7F78"/>
          <w:spacing w:val="40"/>
          <w:sz w:val="22"/>
          <w:szCs w:val="22"/>
        </w:rPr>
        <w:t xml:space="preserve">Tallybridge</w:t>
      </w:r>
    </w:p>
    <w:p>
      <w:pPr>
        <w:spacing w:after="80"/>
      </w:pPr>
      <w:r>
        <w:rPr>
          <w:rFonts w:ascii="Arial" w:cs="Arial" w:eastAsia="Arial" w:hAnsi="Arial"/>
          <w:b/>
          <w:bCs/>
          <w:color w:val="0F2A43"/>
          <w:sz w:val="48"/>
          <w:szCs w:val="48"/>
        </w:rPr>
        <w:t xml:space="preserve">Client Acquisition Strategy</w:t>
      </w:r>
    </w:p>
    <w:p>
      <w:pPr>
        <w:spacing w:after="200"/>
      </w:pPr>
      <w:r>
        <w:rPr>
          <w:rFonts w:ascii="Arial" w:cs="Arial" w:eastAsia="Arial" w:hAnsi="Arial"/>
          <w:color w:val="6B7C8C"/>
          <w:sz w:val="20"/>
          <w:szCs w:val="20"/>
        </w:rPr>
        <w:t xml:space="preserve">Prepared by Ann Amboka Amukasah, Revenue Operations and Growth Consultant</w:t>
      </w:r>
    </w:p>
    <w:p>
      <w:pPr>
        <w:pStyle w:val="Heading1"/>
        <w:pBdr>
          <w:bottom w:val="single" w:color="12A39A" w:sz="6" w:space="4"/>
        </w:pBdr>
        <w:spacing w:after="140" w:before="320"/>
      </w:pPr>
      <w:r>
        <w:rPr>
          <w:rFonts w:ascii="Arial" w:cs="Arial" w:eastAsia="Arial" w:hAnsi="Arial"/>
          <w:b/>
          <w:bCs/>
          <w:color w:val="0F2A43"/>
          <w:sz w:val="30"/>
          <w:szCs w:val="30"/>
        </w:rPr>
        <w:t xml:space="preserve">1. Overview</w:t>
      </w:r>
    </w:p>
    <w:p>
      <w:pPr>
        <w:spacing w:after="140" w:line="300"/>
      </w:pPr>
      <w:r>
        <w:rPr>
          <w:rFonts w:ascii="Arial" w:cs="Arial" w:eastAsia="Arial" w:hAnsi="Arial"/>
          <w:color w:val="2B3A4A"/>
          <w:sz w:val="22"/>
          <w:szCs w:val="22"/>
        </w:rPr>
        <w:t xml:space="preserve">We have established that Tallybridge is a startup with a lean marketing team, currently consisting of the CEO and one marketing professional handling most of the marketing activities. However, based on the case study, the product has strong potential for client acquisition.</w:t>
      </w:r>
    </w:p>
    <w:p>
      <w:pPr>
        <w:spacing w:after="140" w:line="300"/>
      </w:pPr>
      <w:r>
        <w:rPr>
          <w:rFonts w:ascii="Arial" w:cs="Arial" w:eastAsia="Arial" w:hAnsi="Arial"/>
          <w:color w:val="2B3A4A"/>
          <w:sz w:val="22"/>
          <w:szCs w:val="22"/>
        </w:rPr>
        <w:t xml:space="preserve">Over the past six months, the company has recorded approximately 2,100 website visitors per month, with most of its traffic coming from organic search and direct visits. LinkedIn is also one of its most active social media channels.</w:t>
      </w:r>
    </w:p>
    <w:p>
      <w:pPr>
        <w:spacing w:after="140" w:line="300"/>
      </w:pPr>
      <w:r>
        <w:rPr>
          <w:rFonts w:ascii="Arial" w:cs="Arial" w:eastAsia="Arial" w:hAnsi="Arial"/>
          <w:color w:val="2B3A4A"/>
          <w:sz w:val="22"/>
          <w:szCs w:val="22"/>
        </w:rPr>
        <w:t xml:space="preserve">Although LinkedIn is an important platform, we should also establish a presence on Meta platforms, particularly Facebook and Instagram, so that we can run paid advertising campaigns.</w:t>
      </w:r>
    </w:p>
    <w:p>
      <w:pPr>
        <w:spacing w:after="140" w:line="300"/>
      </w:pPr>
      <w:r>
        <w:rPr>
          <w:rFonts w:ascii="Arial" w:cs="Arial" w:eastAsia="Arial" w:hAnsi="Arial"/>
          <w:color w:val="2B3A4A"/>
          <w:sz w:val="22"/>
          <w:szCs w:val="22"/>
        </w:rPr>
        <w:t xml:space="preserve">At this stage, we will develop a 30-day strategy to build brand awareness, increase website traffic, and grow the company's market presence across its target regions in Canada. These include Ontario, British Columbia, and Alberta, while also considering French-speaking markets in Quebec.</w:t>
      </w:r>
    </w:p>
    <w:p>
      <w:pPr>
        <w:pStyle w:val="Heading1"/>
        <w:pBdr>
          <w:bottom w:val="single" w:color="12A39A" w:sz="6" w:space="4"/>
        </w:pBdr>
        <w:spacing w:after="140" w:before="320"/>
      </w:pPr>
      <w:r>
        <w:rPr>
          <w:rFonts w:ascii="Arial" w:cs="Arial" w:eastAsia="Arial" w:hAnsi="Arial"/>
          <w:b/>
          <w:bCs/>
          <w:color w:val="0F2A43"/>
          <w:sz w:val="30"/>
          <w:szCs w:val="30"/>
        </w:rPr>
        <w:t xml:space="preserve">2. Client Acquisition Approaches</w:t>
      </w:r>
    </w:p>
    <w:p>
      <w:pPr>
        <w:spacing w:after="140" w:line="300"/>
      </w:pPr>
      <w:r>
        <w:rPr>
          <w:rFonts w:ascii="Arial" w:cs="Arial" w:eastAsia="Arial" w:hAnsi="Arial"/>
          <w:color w:val="2B3A4A"/>
          <w:sz w:val="22"/>
          <w:szCs w:val="22"/>
        </w:rPr>
        <w:t xml:space="preserve">We will use two approaches to outreach: </w:t>
      </w:r>
      <w:r>
        <w:rPr>
          <w:rFonts w:ascii="Arial" w:cs="Arial" w:eastAsia="Arial" w:hAnsi="Arial"/>
          <w:b/>
          <w:bCs/>
          <w:color w:val="0F2A43"/>
          <w:sz w:val="22"/>
          <w:szCs w:val="22"/>
        </w:rPr>
        <w:t xml:space="preserve">by audience and by method.</w:t>
      </w:r>
    </w:p>
    <w:p>
      <w:pPr>
        <w:pStyle w:val="ListParagraph"/>
        <w:numPr>
          <w:ilvl w:val="0"/>
          <w:numId w:val="2"/>
        </w:numPr>
        <w:spacing w:after="100" w:line="300"/>
      </w:pPr>
      <w:r>
        <w:rPr>
          <w:rFonts w:ascii="Arial" w:cs="Arial" w:eastAsia="Arial" w:hAnsi="Arial"/>
          <w:b/>
          <w:bCs/>
          <w:color w:val="0F2A43"/>
          <w:sz w:val="22"/>
          <w:szCs w:val="22"/>
        </w:rPr>
        <w:t xml:space="preserve">By audience: </w:t>
      </w:r>
      <w:r>
        <w:rPr>
          <w:rFonts w:ascii="Arial" w:cs="Arial" w:eastAsia="Arial" w:hAnsi="Arial"/>
          <w:color w:val="2B3A4A"/>
          <w:sz w:val="22"/>
          <w:szCs w:val="22"/>
        </w:rPr>
        <w:t xml:space="preserve">We will target existing connections and secondary connections to strengthen referral networks and improve access to potential clients.</w:t>
      </w:r>
    </w:p>
    <w:p>
      <w:pPr>
        <w:pStyle w:val="ListParagraph"/>
        <w:numPr>
          <w:ilvl w:val="0"/>
          <w:numId w:val="2"/>
        </w:numPr>
        <w:spacing w:after="100" w:line="300"/>
      </w:pPr>
      <w:r>
        <w:rPr>
          <w:rFonts w:ascii="Arial" w:cs="Arial" w:eastAsia="Arial" w:hAnsi="Arial"/>
          <w:b/>
          <w:bCs/>
          <w:color w:val="0F2A43"/>
          <w:sz w:val="22"/>
          <w:szCs w:val="22"/>
        </w:rPr>
        <w:t xml:space="preserve">By method: </w:t>
      </w:r>
      <w:r>
        <w:rPr>
          <w:rFonts w:ascii="Arial" w:cs="Arial" w:eastAsia="Arial" w:hAnsi="Arial"/>
          <w:color w:val="2B3A4A"/>
          <w:sz w:val="22"/>
          <w:szCs w:val="22"/>
        </w:rPr>
        <w:t xml:space="preserve">We will use cold emails and LinkedIn direct messages to reach potential clients.</w:t>
      </w:r>
    </w:p>
    <w:p>
      <w:pPr>
        <w:pStyle w:val="Heading1"/>
        <w:pBdr>
          <w:bottom w:val="single" w:color="12A39A" w:sz="6" w:space="4"/>
        </w:pBdr>
        <w:spacing w:after="140" w:before="320"/>
      </w:pPr>
      <w:r>
        <w:rPr>
          <w:rFonts w:ascii="Arial" w:cs="Arial" w:eastAsia="Arial" w:hAnsi="Arial"/>
          <w:b/>
          <w:bCs/>
          <w:color w:val="0F2A43"/>
          <w:sz w:val="30"/>
          <w:szCs w:val="30"/>
        </w:rPr>
        <w:t xml:space="preserve">3. The 30-Day Client Acquisition Strategy</w:t>
      </w:r>
    </w:p>
    <w:p>
      <w:pPr>
        <w:spacing w:after="140" w:line="300"/>
      </w:pPr>
      <w:r>
        <w:rPr>
          <w:rFonts w:ascii="Arial" w:cs="Arial" w:eastAsia="Arial" w:hAnsi="Arial"/>
          <w:color w:val="2B3A4A"/>
          <w:sz w:val="22"/>
          <w:szCs w:val="22"/>
        </w:rPr>
        <w:t xml:space="preserve">Tallybridge aims to acquire 120 paying customers by the end of Q1, following its launch, and achieve CAD 520,000 in annual recurring revenue (ARR), with a gross margin target of 72%.</w:t>
      </w:r>
    </w:p>
    <w:p>
      <w:pPr>
        <w:spacing w:after="140" w:line="300"/>
      </w:pPr>
      <w:r>
        <w:rPr>
          <w:rFonts w:ascii="Arial" w:cs="Arial" w:eastAsia="Arial" w:hAnsi="Arial"/>
          <w:color w:val="2B3A4A"/>
          <w:sz w:val="22"/>
          <w:szCs w:val="22"/>
        </w:rPr>
        <w:t xml:space="preserve">Our 30-day strategy will focus on the following activities:</w:t>
      </w:r>
    </w:p>
    <w:p>
      <w:pPr>
        <w:keepNext/>
        <w:spacing w:after="80" w:before="160"/>
      </w:pPr>
      <w:r>
        <w:rPr>
          <w:rFonts w:ascii="Arial" w:cs="Arial" w:eastAsia="Arial" w:hAnsi="Arial"/>
          <w:b/>
          <w:bCs/>
          <w:color w:val="0B7F78"/>
          <w:sz w:val="23"/>
          <w:szCs w:val="23"/>
        </w:rPr>
        <w:t xml:space="preserve">Step 1: Define the Ideal Customer Profile (ICP)</w:t>
      </w:r>
    </w:p>
    <w:p>
      <w:pPr>
        <w:spacing w:after="140" w:line="300"/>
      </w:pPr>
      <w:r>
        <w:rPr>
          <w:rFonts w:ascii="Arial" w:cs="Arial" w:eastAsia="Arial" w:hAnsi="Arial"/>
          <w:color w:val="2B3A4A"/>
          <w:sz w:val="22"/>
          <w:szCs w:val="22"/>
        </w:rPr>
        <w:t xml:space="preserve">Identify 200 companies across Canada that fit the mid-market criteria and align with Tallybridge's target audience.</w:t>
      </w:r>
    </w:p>
    <w:p>
      <w:pPr>
        <w:keepNext/>
        <w:spacing w:after="80" w:before="160"/>
      </w:pPr>
      <w:r>
        <w:rPr>
          <w:rFonts w:ascii="Arial" w:cs="Arial" w:eastAsia="Arial" w:hAnsi="Arial"/>
          <w:b/>
          <w:bCs/>
          <w:color w:val="0B7F78"/>
          <w:sz w:val="23"/>
          <w:szCs w:val="23"/>
        </w:rPr>
        <w:t xml:space="preserve">Step 2: Develop Outreach Campaigns</w:t>
      </w:r>
    </w:p>
    <w:p>
      <w:pPr>
        <w:spacing w:after="140" w:line="300"/>
      </w:pPr>
      <w:r>
        <w:rPr>
          <w:rFonts w:ascii="Arial" w:cs="Arial" w:eastAsia="Arial" w:hAnsi="Arial"/>
          <w:color w:val="2B3A4A"/>
          <w:sz w:val="22"/>
          <w:szCs w:val="22"/>
        </w:rPr>
        <w:t xml:space="preserve">Draft personalized email outreach messages and LinkedIn direct messages to reach the identified companies and their relevant decision-makers.</w:t>
      </w:r>
    </w:p>
    <w:p>
      <w:pPr>
        <w:keepNext/>
        <w:spacing w:after="80" w:before="160"/>
      </w:pPr>
      <w:r>
        <w:rPr>
          <w:rFonts w:ascii="Arial" w:cs="Arial" w:eastAsia="Arial" w:hAnsi="Arial"/>
          <w:b/>
          <w:bCs/>
          <w:color w:val="0B7F78"/>
          <w:sz w:val="23"/>
          <w:szCs w:val="23"/>
        </w:rPr>
        <w:t xml:space="preserve">Step 3: Run Meta Ads</w:t>
      </w:r>
    </w:p>
    <w:p>
      <w:pPr>
        <w:spacing w:after="140" w:line="300"/>
      </w:pPr>
      <w:r>
        <w:rPr>
          <w:rFonts w:ascii="Arial" w:cs="Arial" w:eastAsia="Arial" w:hAnsi="Arial"/>
          <w:color w:val="2B3A4A"/>
          <w:sz w:val="22"/>
          <w:szCs w:val="22"/>
        </w:rPr>
        <w:t xml:space="preserve">Allocate a budget of $1,000 to run Meta Ads for 30 days. The objective is to build brand awareness, increase website traffic, and drive engagement.</w:t>
      </w:r>
    </w:p>
    <w:p>
      <w:pPr>
        <w:keepNext/>
        <w:spacing w:after="80" w:before="160"/>
      </w:pPr>
      <w:r>
        <w:rPr>
          <w:rFonts w:ascii="Arial" w:cs="Arial" w:eastAsia="Arial" w:hAnsi="Arial"/>
          <w:b/>
          <w:bCs/>
          <w:color w:val="0B7F78"/>
          <w:sz w:val="23"/>
          <w:szCs w:val="23"/>
        </w:rPr>
        <w:t xml:space="preserve">Step 4: Create LinkedIn Content</w:t>
      </w:r>
    </w:p>
    <w:p>
      <w:pPr>
        <w:spacing w:after="140" w:line="300"/>
      </w:pPr>
      <w:r>
        <w:rPr>
          <w:rFonts w:ascii="Arial" w:cs="Arial" w:eastAsia="Arial" w:hAnsi="Arial"/>
          <w:color w:val="2B3A4A"/>
          <w:sz w:val="22"/>
          <w:szCs w:val="22"/>
        </w:rPr>
        <w:t xml:space="preserve">Develop LinkedIn content that aligns with the company's mission and target audience. The content will communicate the product's purpose, the problems it solves, and its benefits, while driving traffic to the website.</w:t>
      </w:r>
    </w:p>
    <w:p>
      <w:pPr>
        <w:pStyle w:val="Heading1"/>
        <w:pBdr>
          <w:bottom w:val="single" w:color="12A39A" w:sz="6" w:space="4"/>
        </w:pBdr>
        <w:spacing w:after="140" w:before="320"/>
      </w:pPr>
      <w:r>
        <w:rPr>
          <w:rFonts w:ascii="Arial" w:cs="Arial" w:eastAsia="Arial" w:hAnsi="Arial"/>
          <w:b/>
          <w:bCs/>
          <w:color w:val="0F2A43"/>
          <w:sz w:val="30"/>
          <w:szCs w:val="30"/>
        </w:rPr>
        <w:t xml:space="preserve">4. Client Acquisition Techniques</w:t>
      </w:r>
    </w:p>
    <w:p>
      <w:pPr>
        <w:spacing w:after="140" w:line="300"/>
      </w:pPr>
      <w:r>
        <w:rPr>
          <w:rFonts w:ascii="Arial" w:cs="Arial" w:eastAsia="Arial" w:hAnsi="Arial"/>
          <w:color w:val="2B3A4A"/>
          <w:sz w:val="22"/>
          <w:szCs w:val="22"/>
        </w:rPr>
        <w:t xml:space="preserve">We will use four techniques to support client acquisition:</w:t>
      </w:r>
    </w:p>
    <w:p>
      <w:pPr>
        <w:pStyle w:val="ListParagraph"/>
        <w:numPr>
          <w:ilvl w:val="0"/>
          <w:numId w:val="3"/>
        </w:numPr>
        <w:spacing w:after="100" w:line="300"/>
      </w:pPr>
      <w:r>
        <w:rPr>
          <w:rFonts w:ascii="Arial" w:cs="Arial" w:eastAsia="Arial" w:hAnsi="Arial"/>
          <w:b/>
          <w:bCs/>
          <w:color w:val="0F2A43"/>
          <w:sz w:val="22"/>
          <w:szCs w:val="22"/>
        </w:rPr>
        <w:t xml:space="preserve">Outreach: </w:t>
      </w:r>
      <w:r>
        <w:rPr>
          <w:rFonts w:ascii="Arial" w:cs="Arial" w:eastAsia="Arial" w:hAnsi="Arial"/>
          <w:color w:val="2B3A4A"/>
          <w:sz w:val="22"/>
          <w:szCs w:val="22"/>
        </w:rPr>
        <w:t xml:space="preserve">Use audience-based and method-based outreach, including referrals, cold emails, and LinkedIn direct messages.</w:t>
      </w:r>
    </w:p>
    <w:p>
      <w:pPr>
        <w:pStyle w:val="ListParagraph"/>
        <w:numPr>
          <w:ilvl w:val="0"/>
          <w:numId w:val="3"/>
        </w:numPr>
        <w:spacing w:after="100" w:line="300"/>
      </w:pPr>
      <w:r>
        <w:rPr>
          <w:rFonts w:ascii="Arial" w:cs="Arial" w:eastAsia="Arial" w:hAnsi="Arial"/>
          <w:b/>
          <w:bCs/>
          <w:color w:val="0F2A43"/>
          <w:sz w:val="22"/>
          <w:szCs w:val="22"/>
        </w:rPr>
        <w:t xml:space="preserve">LinkedIn Content Marketing: </w:t>
      </w:r>
      <w:r>
        <w:rPr>
          <w:rFonts w:ascii="Arial" w:cs="Arial" w:eastAsia="Arial" w:hAnsi="Arial"/>
          <w:color w:val="2B3A4A"/>
          <w:sz w:val="22"/>
          <w:szCs w:val="22"/>
        </w:rPr>
        <w:t xml:space="preserve">Publish content that communicates the company's mission, product capabilities, the problems it addresses, and the benefits it offers.</w:t>
      </w:r>
    </w:p>
    <w:p>
      <w:pPr>
        <w:pStyle w:val="ListParagraph"/>
        <w:numPr>
          <w:ilvl w:val="0"/>
          <w:numId w:val="3"/>
        </w:numPr>
        <w:spacing w:after="100" w:line="300"/>
      </w:pPr>
      <w:r>
        <w:rPr>
          <w:rFonts w:ascii="Arial" w:cs="Arial" w:eastAsia="Arial" w:hAnsi="Arial"/>
          <w:b/>
          <w:bCs/>
          <w:color w:val="0F2A43"/>
          <w:sz w:val="22"/>
          <w:szCs w:val="22"/>
        </w:rPr>
        <w:t xml:space="preserve">Meta Advertising: </w:t>
      </w:r>
      <w:r>
        <w:rPr>
          <w:rFonts w:ascii="Arial" w:cs="Arial" w:eastAsia="Arial" w:hAnsi="Arial"/>
          <w:color w:val="2B3A4A"/>
          <w:sz w:val="22"/>
          <w:szCs w:val="22"/>
        </w:rPr>
        <w:t xml:space="preserve">Run awareness campaigns to increase brand visibility, website traffic, and engagement.</w:t>
      </w:r>
    </w:p>
    <w:p>
      <w:pPr>
        <w:pStyle w:val="ListParagraph"/>
        <w:numPr>
          <w:ilvl w:val="0"/>
          <w:numId w:val="3"/>
        </w:numPr>
        <w:spacing w:after="100" w:line="300"/>
      </w:pPr>
      <w:r>
        <w:rPr>
          <w:rFonts w:ascii="Arial" w:cs="Arial" w:eastAsia="Arial" w:hAnsi="Arial"/>
          <w:b/>
          <w:bCs/>
          <w:color w:val="0F2A43"/>
          <w:sz w:val="22"/>
          <w:szCs w:val="22"/>
        </w:rPr>
        <w:t xml:space="preserve">Community Engagement: </w:t>
      </w:r>
      <w:r>
        <w:rPr>
          <w:rFonts w:ascii="Arial" w:cs="Arial" w:eastAsia="Arial" w:hAnsi="Arial"/>
          <w:color w:val="2B3A4A"/>
          <w:sz w:val="22"/>
          <w:szCs w:val="22"/>
        </w:rPr>
        <w:t xml:space="preserve">Join communities for mid-sized businesses that align with Tallybridge's ICP in Canada.</w:t>
      </w:r>
    </w:p>
    <w:p>
      <w:pPr>
        <w:pStyle w:val="Heading1"/>
        <w:pBdr>
          <w:bottom w:val="single" w:color="12A39A" w:sz="6" w:space="4"/>
        </w:pBdr>
        <w:spacing w:after="140" w:before="320"/>
      </w:pPr>
      <w:r>
        <w:rPr>
          <w:rFonts w:ascii="Arial" w:cs="Arial" w:eastAsia="Arial" w:hAnsi="Arial"/>
          <w:b/>
          <w:bCs/>
          <w:color w:val="0F2A43"/>
          <w:sz w:val="30"/>
          <w:szCs w:val="30"/>
        </w:rPr>
        <w:t xml:space="preserve">5. Paid Advertising Strategy and Channel Expansion</w:t>
      </w:r>
    </w:p>
    <w:p>
      <w:pPr>
        <w:spacing w:after="140" w:line="300"/>
      </w:pPr>
      <w:r>
        <w:rPr>
          <w:rFonts w:ascii="Arial" w:cs="Arial" w:eastAsia="Arial" w:hAnsi="Arial"/>
          <w:color w:val="2B3A4A"/>
          <w:sz w:val="22"/>
          <w:szCs w:val="22"/>
        </w:rPr>
        <w:t xml:space="preserve">During the initial 30 days, we will focus on top-of-funnel awareness campaigns. At this stage, our audience is relatively cold, so the objective is to introduce Tallybridge to potential customers and generate interest in the product.</w:t>
      </w:r>
    </w:p>
    <w:p>
      <w:pPr>
        <w:spacing w:after="140" w:line="300"/>
      </w:pPr>
      <w:r>
        <w:rPr>
          <w:rFonts w:ascii="Arial" w:cs="Arial" w:eastAsia="Arial" w:hAnsi="Arial"/>
          <w:color w:val="2B3A4A"/>
          <w:sz w:val="22"/>
          <w:szCs w:val="22"/>
        </w:rPr>
        <w:t xml:space="preserve">After the initial 30-day period, we will assess the campaign's performance and determine whether there is a sufficient audience to support retargeting campaigns during the following 30 days.</w:t>
      </w:r>
    </w:p>
    <w:p>
      <w:pPr>
        <w:spacing w:after="140" w:line="300"/>
      </w:pPr>
      <w:r>
        <w:rPr>
          <w:rFonts w:ascii="Arial" w:cs="Arial" w:eastAsia="Arial" w:hAnsi="Arial"/>
          <w:color w:val="2B3A4A"/>
          <w:sz w:val="22"/>
          <w:szCs w:val="22"/>
        </w:rPr>
        <w:t xml:space="preserve">After the 60-day mark, we will also explore Google Search Ads to expand the company's reach and capture potential customers actively searching for relevant solutions.</w:t>
      </w:r>
    </w:p>
    <w:p>
      <w:pPr>
        <w:pStyle w:val="Heading1"/>
        <w:pBdr>
          <w:bottom w:val="single" w:color="12A39A" w:sz="6" w:space="4"/>
        </w:pBdr>
        <w:spacing w:after="140" w:before="320"/>
      </w:pPr>
      <w:r>
        <w:rPr>
          <w:rFonts w:ascii="Arial" w:cs="Arial" w:eastAsia="Arial" w:hAnsi="Arial"/>
          <w:b/>
          <w:bCs/>
          <w:color w:val="0F2A43"/>
          <w:sz w:val="30"/>
          <w:szCs w:val="30"/>
        </w:rPr>
        <w:t xml:space="preserve">6. Personalized LinkedIn Outreach</w:t>
      </w:r>
    </w:p>
    <w:p>
      <w:pPr>
        <w:spacing w:after="140" w:line="300"/>
      </w:pPr>
      <w:r>
        <w:rPr>
          <w:rFonts w:ascii="Arial" w:cs="Arial" w:eastAsia="Arial" w:hAnsi="Arial"/>
          <w:color w:val="2B3A4A"/>
          <w:sz w:val="22"/>
          <w:szCs w:val="22"/>
        </w:rPr>
        <w:t xml:space="preserve">To strengthen our LinkedIn outreach, we can incorporate personalized videos in our direct messages, with the founder speaking directly to a specific prospect.</w:t>
      </w:r>
    </w:p>
    <w:p>
      <w:pPr>
        <w:spacing w:after="140" w:line="300"/>
      </w:pPr>
      <w:r>
        <w:rPr>
          <w:rFonts w:ascii="Arial" w:cs="Arial" w:eastAsia="Arial" w:hAnsi="Arial"/>
          <w:color w:val="2B3A4A"/>
          <w:sz w:val="22"/>
          <w:szCs w:val="22"/>
        </w:rPr>
        <w:t xml:space="preserve">For example, if we are targeting a CFO, the founder can record a short, personalized video addressing the prospect's likely challenges and explaining how Tallybridge could help address them.</w:t>
      </w:r>
    </w:p>
    <w:p>
      <w:pPr>
        <w:spacing w:after="140" w:line="300"/>
      </w:pPr>
      <w:r>
        <w:rPr>
          <w:rFonts w:ascii="Arial" w:cs="Arial" w:eastAsia="Arial" w:hAnsi="Arial"/>
          <w:color w:val="2B3A4A"/>
          <w:sz w:val="22"/>
          <w:szCs w:val="22"/>
        </w:rPr>
        <w:t xml:space="preserve">This approach can help build trust, establish a more personal connection, and reduce friction during the initial outreach process.</w:t>
      </w:r>
    </w:p>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C8C"/>
        <w:sz w:val="16"/>
        <w:szCs w:val="16"/>
      </w:rPr>
      <w:t xml:space="preserve">Tallybridge Client Acquisition Strategy  |  Page </w:t>
    </w:r>
    <w:r>
      <w:rPr>
        <w:rFonts w:ascii="Arial" w:cs="Arial" w:eastAsia="Arial" w:hAnsi="Arial"/>
        <w:color w:val="6B7C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2026-10-13T09:27:19.656Z</dcterms:created>
  <dcterms:modified xsi:type="dcterms:W3CDTF">2026-10-13T09:27:19.661Z</dcterms:modified>
</cp:coreProperties>
</file>

<file path=docProps/custom.xml><?xml version="1.0" encoding="utf-8"?>
<Properties xmlns="http://schemas.openxmlformats.org/officeDocument/2006/custom-properties" xmlns:vt="http://schemas.openxmlformats.org/officeDocument/2006/docPropsVTypes"/>
</file>