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0B7F78"/>
          <w:spacing w:val="40"/>
          <w:sz w:val="22"/>
          <w:szCs w:val="22"/>
        </w:rPr>
        <w:t xml:space="preserve">Tallybridge</w:t>
      </w:r>
    </w:p>
    <w:p>
      <w:pPr>
        <w:spacing w:after="80"/>
      </w:pPr>
      <w:r>
        <w:rPr>
          <w:rFonts w:ascii="Arial" w:cs="Arial" w:eastAsia="Arial" w:hAnsi="Arial"/>
          <w:b/>
          <w:bCs/>
          <w:color w:val="0F2A43"/>
          <w:sz w:val="44"/>
          <w:szCs w:val="44"/>
        </w:rPr>
        <w:t xml:space="preserve">Client Acquisition Strategy and Meta Ads Setup</w:t>
      </w:r>
    </w:p>
    <w:p>
      <w:pPr>
        <w:spacing w:after="200"/>
      </w:pPr>
      <w:r>
        <w:rPr>
          <w:rFonts w:ascii="Arial" w:cs="Arial" w:eastAsia="Arial" w:hAnsi="Arial"/>
          <w:color w:val="6B7C8C"/>
          <w:sz w:val="20"/>
          <w:szCs w:val="20"/>
        </w:rPr>
        <w:t xml:space="preserve">Prepared by Ann Amboka Amukasah, Revenue Operations and Growth Consultant</w:t>
      </w:r>
    </w:p>
    <w:p>
      <w:pPr>
        <w:pStyle w:val="Heading1"/>
        <w:pBdr>
          <w:bottom w:val="single" w:color="12A39A" w:sz="6" w:space="4"/>
        </w:pBdr>
        <w:spacing w:after="140" w:before="320"/>
      </w:pPr>
      <w:r>
        <w:rPr>
          <w:rFonts w:ascii="Arial" w:cs="Arial" w:eastAsia="Arial" w:hAnsi="Arial"/>
          <w:b/>
          <w:bCs/>
          <w:color w:val="0F2A43"/>
          <w:sz w:val="30"/>
          <w:szCs w:val="30"/>
        </w:rPr>
        <w:t xml:space="preserve">1. Client Acquisition Strategy</w:t>
      </w:r>
    </w:p>
    <w:p>
      <w:pPr>
        <w:spacing w:after="140" w:line="300"/>
      </w:pPr>
      <w:r>
        <w:rPr>
          <w:rFonts w:ascii="Arial" w:cs="Arial" w:eastAsia="Arial" w:hAnsi="Arial"/>
          <w:color w:val="2B3A4A"/>
          <w:sz w:val="22"/>
          <w:szCs w:val="22"/>
        </w:rPr>
        <w:t xml:space="preserve">Tallybridge's client acquisition strategy focused on reaching Canadian mid-market businesses through four channels: direct outreach, LinkedIn content marketing, paid advertising, and community engagement.</w:t>
      </w:r>
    </w:p>
    <w:p>
      <w:pPr>
        <w:spacing w:after="140" w:line="300"/>
      </w:pPr>
      <w:r>
        <w:rPr>
          <w:rFonts w:ascii="Arial" w:cs="Arial" w:eastAsia="Arial" w:hAnsi="Arial"/>
          <w:color w:val="2B3A4A"/>
          <w:sz w:val="22"/>
          <w:szCs w:val="22"/>
        </w:rPr>
        <w:t xml:space="preserve">The strategy included identifying 200 potential businesses, divided equally across the four priority industries, with 50 companies per industry. Outreach activities included personalized email campaigns and LinkedIn direct messages targeting relevant decision-makers, including CFOs, controllers, finance managers, owners, and COOs.</w:t>
      </w:r>
    </w:p>
    <w:p>
      <w:pPr>
        <w:spacing w:after="140" w:line="300"/>
      </w:pPr>
      <w:r>
        <w:rPr>
          <w:rFonts w:ascii="Arial" w:cs="Arial" w:eastAsia="Arial" w:hAnsi="Arial"/>
          <w:color w:val="2B3A4A"/>
          <w:sz w:val="22"/>
          <w:szCs w:val="22"/>
        </w:rPr>
        <w:t xml:space="preserve">LinkedIn content was planned around the product's capabilities, the accounts payable challenges it addressed, and the value it offered businesses. Community engagement was also included to build relationships with relevant business networks and identify potential clients and referral partners.</w:t>
      </w:r>
    </w:p>
    <w:p>
      <w:pPr>
        <w:pStyle w:val="Heading1"/>
        <w:pBdr>
          <w:bottom w:val="single" w:color="12A39A" w:sz="6" w:space="4"/>
        </w:pBdr>
        <w:spacing w:after="140" w:before="320"/>
      </w:pPr>
      <w:r>
        <w:rPr>
          <w:rFonts w:ascii="Arial" w:cs="Arial" w:eastAsia="Arial" w:hAnsi="Arial"/>
          <w:b/>
          <w:bCs/>
          <w:color w:val="0F2A43"/>
          <w:sz w:val="30"/>
          <w:szCs w:val="30"/>
        </w:rPr>
        <w:t xml:space="preserve">2. Meta Ads Campaign Setup</w:t>
      </w:r>
    </w:p>
    <w:p>
      <w:pPr>
        <w:spacing w:after="140" w:line="300"/>
      </w:pPr>
      <w:r>
        <w:rPr>
          <w:rFonts w:ascii="Arial" w:cs="Arial" w:eastAsia="Arial" w:hAnsi="Arial"/>
          <w:color w:val="2B3A4A"/>
          <w:sz w:val="22"/>
          <w:szCs w:val="22"/>
        </w:rPr>
        <w:t xml:space="preserve">I set up a Meta Ads campaign for Tallybridge as part of its planned market-entry strategy. The campaign was designed primarily around the </w:t>
      </w:r>
      <w:r>
        <w:rPr>
          <w:rFonts w:ascii="Arial" w:cs="Arial" w:eastAsia="Arial" w:hAnsi="Arial"/>
          <w:b/>
          <w:bCs/>
          <w:color w:val="0F2A43"/>
          <w:sz w:val="22"/>
          <w:szCs w:val="22"/>
        </w:rPr>
        <w:t xml:space="preserve">Traffic objective</w:t>
      </w:r>
      <w:r>
        <w:rPr>
          <w:rFonts w:ascii="Arial" w:cs="Arial" w:eastAsia="Arial" w:hAnsi="Arial"/>
          <w:color w:val="2B3A4A"/>
          <w:sz w:val="22"/>
          <w:szCs w:val="22"/>
        </w:rPr>
        <w:t xml:space="preserve">, directing potential customers to the landing page to learn about the product, its capabilities, the problems it solved, and the value it offered.</w:t>
      </w:r>
    </w:p>
    <w:p>
      <w:pPr>
        <w:pStyle w:val="Heading2"/>
        <w:keepNext/>
        <w:spacing w:after="100" w:before="220"/>
      </w:pPr>
      <w:r>
        <w:rPr>
          <w:rFonts w:ascii="Arial" w:cs="Arial" w:eastAsia="Arial" w:hAnsi="Arial"/>
          <w:b/>
          <w:bCs/>
          <w:color w:val="0B7F78"/>
          <w:sz w:val="25"/>
          <w:szCs w:val="25"/>
        </w:rPr>
        <w:t xml:space="preserve">Audience and Ad Set Configuration</w:t>
      </w:r>
    </w:p>
    <w:p>
      <w:pPr>
        <w:spacing w:after="140" w:line="300"/>
      </w:pPr>
      <w:r>
        <w:rPr>
          <w:rFonts w:ascii="Arial" w:cs="Arial" w:eastAsia="Arial" w:hAnsi="Arial"/>
          <w:color w:val="2B3A4A"/>
          <w:sz w:val="22"/>
          <w:szCs w:val="22"/>
        </w:rPr>
        <w:t xml:space="preserve">I created five ad sets based on Tallybridge's ICP, priority industries, and target regions in Canada.</w:t>
      </w:r>
    </w:p>
    <w:p>
      <w:pPr>
        <w:spacing w:after="140" w:line="300"/>
      </w:pPr>
      <w:r>
        <w:rPr>
          <w:rFonts w:ascii="Arial" w:cs="Arial" w:eastAsia="Arial" w:hAnsi="Arial"/>
          <w:color w:val="2B3A4A"/>
          <w:sz w:val="22"/>
          <w:szCs w:val="22"/>
        </w:rPr>
        <w:t xml:space="preserve">The targeting strategy was informed by the following ICP criteria:</w:t>
      </w:r>
    </w:p>
    <w:p>
      <w:pPr>
        <w:pStyle w:val="ListParagraph"/>
        <w:numPr>
          <w:ilvl w:val="0"/>
          <w:numId w:val="2"/>
        </w:numPr>
        <w:spacing w:after="100" w:line="300"/>
      </w:pPr>
      <w:r>
        <w:rPr>
          <w:rFonts w:ascii="Arial" w:cs="Arial" w:eastAsia="Arial" w:hAnsi="Arial"/>
          <w:b/>
          <w:bCs/>
          <w:color w:val="0F2A43"/>
          <w:sz w:val="22"/>
          <w:szCs w:val="22"/>
        </w:rPr>
        <w:t xml:space="preserve">Company size: </w:t>
      </w:r>
      <w:r>
        <w:rPr>
          <w:rFonts w:ascii="Arial" w:cs="Arial" w:eastAsia="Arial" w:hAnsi="Arial"/>
          <w:color w:val="2B3A4A"/>
          <w:sz w:val="22"/>
          <w:szCs w:val="22"/>
        </w:rPr>
        <w:t xml:space="preserve">20–200 employees.</w:t>
      </w:r>
    </w:p>
    <w:p>
      <w:pPr>
        <w:pStyle w:val="ListParagraph"/>
        <w:numPr>
          <w:ilvl w:val="0"/>
          <w:numId w:val="2"/>
        </w:numPr>
        <w:spacing w:after="100" w:line="300"/>
      </w:pPr>
      <w:r>
        <w:rPr>
          <w:rFonts w:ascii="Arial" w:cs="Arial" w:eastAsia="Arial" w:hAnsi="Arial"/>
          <w:b/>
          <w:bCs/>
          <w:color w:val="0F2A43"/>
          <w:sz w:val="22"/>
          <w:szCs w:val="22"/>
        </w:rPr>
        <w:t xml:space="preserve">Annual revenue: </w:t>
      </w:r>
      <w:r>
        <w:rPr>
          <w:rFonts w:ascii="Arial" w:cs="Arial" w:eastAsia="Arial" w:hAnsi="Arial"/>
          <w:color w:val="2B3A4A"/>
          <w:sz w:val="22"/>
          <w:szCs w:val="22"/>
        </w:rPr>
        <w:t xml:space="preserve">CAD 5 million–60 million.</w:t>
      </w:r>
    </w:p>
    <w:p>
      <w:pPr>
        <w:pStyle w:val="ListParagraph"/>
        <w:numPr>
          <w:ilvl w:val="0"/>
          <w:numId w:val="2"/>
        </w:numPr>
        <w:spacing w:after="100" w:line="300"/>
      </w:pPr>
      <w:r>
        <w:rPr>
          <w:rFonts w:ascii="Arial" w:cs="Arial" w:eastAsia="Arial" w:hAnsi="Arial"/>
          <w:b/>
          <w:bCs/>
          <w:color w:val="0F2A43"/>
          <w:sz w:val="22"/>
          <w:szCs w:val="22"/>
        </w:rPr>
        <w:t xml:space="preserve">Monthly invoice volume: </w:t>
      </w:r>
      <w:r>
        <w:rPr>
          <w:rFonts w:ascii="Arial" w:cs="Arial" w:eastAsia="Arial" w:hAnsi="Arial"/>
          <w:color w:val="2B3A4A"/>
          <w:sz w:val="22"/>
          <w:szCs w:val="22"/>
        </w:rPr>
        <w:t xml:space="preserve">150–2,000 supplier invoices.</w:t>
      </w:r>
    </w:p>
    <w:p>
      <w:pPr>
        <w:pStyle w:val="ListParagraph"/>
        <w:numPr>
          <w:ilvl w:val="0"/>
          <w:numId w:val="2"/>
        </w:numPr>
        <w:spacing w:after="100" w:line="300"/>
      </w:pPr>
      <w:r>
        <w:rPr>
          <w:rFonts w:ascii="Arial" w:cs="Arial" w:eastAsia="Arial" w:hAnsi="Arial"/>
          <w:b/>
          <w:bCs/>
          <w:color w:val="0F2A43"/>
          <w:sz w:val="22"/>
          <w:szCs w:val="22"/>
        </w:rPr>
        <w:t xml:space="preserve">Geography: </w:t>
      </w:r>
      <w:r>
        <w:rPr>
          <w:rFonts w:ascii="Arial" w:cs="Arial" w:eastAsia="Arial" w:hAnsi="Arial"/>
          <w:color w:val="2B3A4A"/>
          <w:sz w:val="22"/>
          <w:szCs w:val="22"/>
        </w:rPr>
        <w:t xml:space="preserve">Ontario, Alberta, British Columbia, and Quebec, with Quebec included to account for the product's French-language offering.</w:t>
      </w:r>
    </w:p>
    <w:p>
      <w:pPr>
        <w:pStyle w:val="ListParagraph"/>
        <w:numPr>
          <w:ilvl w:val="0"/>
          <w:numId w:val="2"/>
        </w:numPr>
        <w:spacing w:after="100" w:line="300"/>
      </w:pPr>
      <w:r>
        <w:rPr>
          <w:rFonts w:ascii="Arial" w:cs="Arial" w:eastAsia="Arial" w:hAnsi="Arial"/>
          <w:b/>
          <w:bCs/>
          <w:color w:val="0F2A43"/>
          <w:sz w:val="22"/>
          <w:szCs w:val="22"/>
        </w:rPr>
        <w:t xml:space="preserve">Priority industries: </w:t>
      </w:r>
      <w:r>
        <w:rPr>
          <w:rFonts w:ascii="Arial" w:cs="Arial" w:eastAsia="Arial" w:hAnsi="Arial"/>
          <w:color w:val="2B3A4A"/>
          <w:sz w:val="22"/>
          <w:szCs w:val="22"/>
        </w:rPr>
        <w:t xml:space="preserve">Construction and trades, wholesale and distribution, professional services and engineering, and multi-location franchises and hospitality.</w:t>
      </w:r>
    </w:p>
    <w:p>
      <w:pPr>
        <w:spacing w:after="140" w:before="120" w:line="300"/>
      </w:pPr>
      <w:r>
        <w:rPr>
          <w:rFonts w:ascii="Arial" w:cs="Arial" w:eastAsia="Arial" w:hAnsi="Arial"/>
          <w:color w:val="2B3A4A"/>
          <w:sz w:val="22"/>
          <w:szCs w:val="22"/>
        </w:rPr>
        <w:t xml:space="preserve">The five ad sets were structured to test relevant audience and industry segments and help identify which segments showed stronger interest in Tallybridge's offering.</w:t>
      </w:r>
    </w:p>
    <w:p>
      <w:pPr>
        <w:pStyle w:val="Heading2"/>
        <w:keepNext/>
        <w:spacing w:after="100" w:before="220"/>
      </w:pPr>
      <w:r>
        <w:rPr>
          <w:rFonts w:ascii="Arial" w:cs="Arial" w:eastAsia="Arial" w:hAnsi="Arial"/>
          <w:b/>
          <w:bCs/>
          <w:color w:val="0B7F78"/>
          <w:sz w:val="25"/>
          <w:szCs w:val="25"/>
        </w:rPr>
        <w:t xml:space="preserve">Ad Creative Development</w:t>
      </w:r>
    </w:p>
    <w:p>
      <w:pPr>
        <w:spacing w:after="140" w:line="300"/>
      </w:pPr>
      <w:r>
        <w:rPr>
          <w:rFonts w:ascii="Arial" w:cs="Arial" w:eastAsia="Arial" w:hAnsi="Arial"/>
          <w:color w:val="2B3A4A"/>
          <w:sz w:val="22"/>
          <w:szCs w:val="22"/>
        </w:rPr>
        <w:t xml:space="preserve">I developed video and static-image ad creatives highlighting the product and its value proposition. The creatives were prepared for distribution across Meta placements, including Facebook, Instagram, and Threads.</w:t>
      </w:r>
    </w:p>
    <w:p>
      <w:pPr>
        <w:spacing w:after="140" w:line="300"/>
      </w:pPr>
      <w:r>
        <w:rPr>
          <w:rFonts w:ascii="Arial" w:cs="Arial" w:eastAsia="Arial" w:hAnsi="Arial"/>
          <w:color w:val="2B3A4A"/>
          <w:sz w:val="22"/>
          <w:szCs w:val="22"/>
        </w:rPr>
        <w:t xml:space="preserve">The ads directed audiences to the landing page, where potential customers could learn more about Tallybridge and the accounts payable problems its product was designed to solve.</w:t>
      </w:r>
    </w:p>
    <w:p>
      <w:pPr>
        <w:pStyle w:val="Heading2"/>
        <w:keepNext/>
        <w:spacing w:after="100" w:before="220"/>
      </w:pPr>
      <w:r>
        <w:rPr>
          <w:rFonts w:ascii="Arial" w:cs="Arial" w:eastAsia="Arial" w:hAnsi="Arial"/>
          <w:b/>
          <w:bCs/>
          <w:color w:val="0B7F78"/>
          <w:sz w:val="25"/>
          <w:szCs w:val="25"/>
        </w:rPr>
        <w:t xml:space="preserve">Budget and Campaign Timeline</w:t>
      </w:r>
    </w:p>
    <w:p>
      <w:pPr>
        <w:spacing w:after="140" w:line="300"/>
      </w:pPr>
      <w:r>
        <w:rPr>
          <w:rFonts w:ascii="Arial" w:cs="Arial" w:eastAsia="Arial" w:hAnsi="Arial"/>
          <w:color w:val="2B3A4A"/>
          <w:sz w:val="22"/>
          <w:szCs w:val="22"/>
        </w:rPr>
        <w:t xml:space="preserve">The campaign was planned for an initial 30-day testing period with a budget of </w:t>
      </w:r>
      <w:r>
        <w:rPr>
          <w:rFonts w:ascii="Arial" w:cs="Arial" w:eastAsia="Arial" w:hAnsi="Arial"/>
          <w:b/>
          <w:bCs/>
          <w:color w:val="0F2A43"/>
          <w:sz w:val="22"/>
          <w:szCs w:val="22"/>
        </w:rPr>
        <w:t xml:space="preserve">$1,000</w:t>
      </w:r>
      <w:r>
        <w:rPr>
          <w:rFonts w:ascii="Arial" w:cs="Arial" w:eastAsia="Arial" w:hAnsi="Arial"/>
          <w:color w:val="2B3A4A"/>
          <w:sz w:val="22"/>
          <w:szCs w:val="22"/>
        </w:rPr>
        <w:t xml:space="preserve">. The objective was to assess audience response, compare performance across the five ad sets, and identify the industries and audience segments showing the strongest potential.</w:t>
      </w:r>
    </w:p>
    <w:p>
      <w:pPr>
        <w:spacing w:after="140" w:line="300"/>
      </w:pPr>
      <w:r>
        <w:rPr>
          <w:rFonts w:ascii="Arial" w:cs="Arial" w:eastAsia="Arial" w:hAnsi="Arial"/>
          <w:color w:val="2B3A4A"/>
          <w:sz w:val="22"/>
          <w:szCs w:val="22"/>
        </w:rPr>
        <w:t xml:space="preserve">The broader advertising strategy followed three phases:</w:t>
      </w:r>
    </w:p>
    <w:p>
      <w:pPr>
        <w:pStyle w:val="ListParagraph"/>
        <w:numPr>
          <w:ilvl w:val="0"/>
          <w:numId w:val="2"/>
        </w:numPr>
        <w:spacing w:after="100" w:line="300"/>
      </w:pPr>
      <w:r>
        <w:rPr>
          <w:rFonts w:ascii="Arial" w:cs="Arial" w:eastAsia="Arial" w:hAnsi="Arial"/>
          <w:b/>
          <w:bCs/>
          <w:color w:val="0F2A43"/>
          <w:sz w:val="22"/>
          <w:szCs w:val="22"/>
        </w:rPr>
        <w:t xml:space="preserve">Days 1–30: </w:t>
      </w:r>
      <w:r>
        <w:rPr>
          <w:rFonts w:ascii="Arial" w:cs="Arial" w:eastAsia="Arial" w:hAnsi="Arial"/>
          <w:color w:val="2B3A4A"/>
          <w:sz w:val="22"/>
          <w:szCs w:val="22"/>
        </w:rPr>
        <w:t xml:space="preserve">Traffic-focused Meta campaigns to test audience interest and drive landing-page visits.</w:t>
      </w:r>
    </w:p>
    <w:p>
      <w:pPr>
        <w:pStyle w:val="ListParagraph"/>
        <w:numPr>
          <w:ilvl w:val="0"/>
          <w:numId w:val="2"/>
        </w:numPr>
        <w:spacing w:after="100" w:line="300"/>
      </w:pPr>
      <w:r>
        <w:rPr>
          <w:rFonts w:ascii="Arial" w:cs="Arial" w:eastAsia="Arial" w:hAnsi="Arial"/>
          <w:b/>
          <w:bCs/>
          <w:color w:val="0F2A43"/>
          <w:sz w:val="22"/>
          <w:szCs w:val="22"/>
        </w:rPr>
        <w:t xml:space="preserve">Days 31–60: </w:t>
      </w:r>
      <w:r>
        <w:rPr>
          <w:rFonts w:ascii="Arial" w:cs="Arial" w:eastAsia="Arial" w:hAnsi="Arial"/>
          <w:color w:val="2B3A4A"/>
          <w:sz w:val="22"/>
          <w:szCs w:val="22"/>
        </w:rPr>
        <w:t xml:space="preserve">Planned retargeting campaigns to re-engage eligible audiences who had previously interacted with the website or ads.</w:t>
      </w:r>
    </w:p>
    <w:p>
      <w:pPr>
        <w:pStyle w:val="ListParagraph"/>
        <w:numPr>
          <w:ilvl w:val="0"/>
          <w:numId w:val="2"/>
        </w:numPr>
        <w:spacing w:after="100" w:line="300"/>
      </w:pPr>
      <w:r>
        <w:rPr>
          <w:rFonts w:ascii="Arial" w:cs="Arial" w:eastAsia="Arial" w:hAnsi="Arial"/>
          <w:b/>
          <w:bCs/>
          <w:color w:val="0F2A43"/>
          <w:sz w:val="22"/>
          <w:szCs w:val="22"/>
        </w:rPr>
        <w:t xml:space="preserve">Days 61–90: </w:t>
      </w:r>
      <w:r>
        <w:rPr>
          <w:rFonts w:ascii="Arial" w:cs="Arial" w:eastAsia="Arial" w:hAnsi="Arial"/>
          <w:color w:val="2B3A4A"/>
          <w:sz w:val="22"/>
          <w:szCs w:val="22"/>
        </w:rPr>
        <w:t xml:space="preserve">Planned introduction of Google Search Ads, informed by the available performance data, to capture users actively searching for accounts payable automation solutions.</w:t>
      </w:r>
    </w:p>
    <w:p>
      <w:pPr>
        <w:spacing w:after="140" w:before="120" w:line="300"/>
      </w:pPr>
      <w:r>
        <w:rPr>
          <w:rFonts w:ascii="Arial" w:cs="Arial" w:eastAsia="Arial" w:hAnsi="Arial"/>
          <w:color w:val="2B3A4A"/>
          <w:sz w:val="22"/>
          <w:szCs w:val="22"/>
        </w:rPr>
        <w:t xml:space="preserve">The campaign setup was documented with screenshots covering the campaign configuration, ad sets, audience targeting, placements, and creatives.</w:t>
      </w:r>
    </w:p>
    <w:p>
      <w:pPr>
        <w:pStyle w:val="Heading1"/>
        <w:pBdr>
          <w:bottom w:val="single" w:color="12A39A" w:sz="6" w:space="4"/>
        </w:pBdr>
        <w:spacing w:after="140" w:before="320"/>
      </w:pPr>
      <w:r>
        <w:rPr>
          <w:rFonts w:ascii="Arial" w:cs="Arial" w:eastAsia="Arial" w:hAnsi="Arial"/>
          <w:b/>
          <w:bCs/>
          <w:color w:val="0F2A43"/>
          <w:sz w:val="30"/>
          <w:szCs w:val="30"/>
        </w:rPr>
        <w:t xml:space="preserve">3. Performance Measurement and Analysis</w:t>
      </w:r>
    </w:p>
    <w:p>
      <w:pPr>
        <w:spacing w:after="140" w:line="300"/>
      </w:pPr>
      <w:r>
        <w:rPr>
          <w:rFonts w:ascii="Arial" w:cs="Arial" w:eastAsia="Arial" w:hAnsi="Arial"/>
          <w:color w:val="2B3A4A"/>
          <w:sz w:val="22"/>
          <w:szCs w:val="22"/>
        </w:rPr>
        <w:t xml:space="preserve">Following the campaign period, I planned to compile the campaign data into a structured dataset for performance analysis. The analysis would focus on key advertising and acquisition metrics, including:</w:t>
      </w:r>
    </w:p>
    <w:p>
      <w:pPr>
        <w:pStyle w:val="ListParagraph"/>
        <w:numPr>
          <w:ilvl w:val="0"/>
          <w:numId w:val="2"/>
        </w:numPr>
        <w:spacing w:after="100" w:line="300"/>
      </w:pPr>
      <w:r>
        <w:rPr>
          <w:rFonts w:ascii="Arial" w:cs="Arial" w:eastAsia="Arial" w:hAnsi="Arial"/>
          <w:b/>
          <w:bCs/>
          <w:color w:val="0F2A43"/>
          <w:sz w:val="22"/>
          <w:szCs w:val="22"/>
        </w:rPr>
        <w:t xml:space="preserve">CTR: </w:t>
      </w:r>
      <w:r>
        <w:rPr>
          <w:rFonts w:ascii="Arial" w:cs="Arial" w:eastAsia="Arial" w:hAnsi="Arial"/>
          <w:color w:val="2B3A4A"/>
          <w:sz w:val="22"/>
          <w:szCs w:val="22"/>
        </w:rPr>
        <w:t xml:space="preserve">Click-through rate.</w:t>
      </w:r>
    </w:p>
    <w:p>
      <w:pPr>
        <w:pStyle w:val="ListParagraph"/>
        <w:numPr>
          <w:ilvl w:val="0"/>
          <w:numId w:val="2"/>
        </w:numPr>
        <w:spacing w:after="100" w:line="300"/>
      </w:pPr>
      <w:r>
        <w:rPr>
          <w:rFonts w:ascii="Arial" w:cs="Arial" w:eastAsia="Arial" w:hAnsi="Arial"/>
          <w:b/>
          <w:bCs/>
          <w:color w:val="0F2A43"/>
          <w:sz w:val="22"/>
          <w:szCs w:val="22"/>
        </w:rPr>
        <w:t xml:space="preserve">CPM: </w:t>
      </w:r>
      <w:r>
        <w:rPr>
          <w:rFonts w:ascii="Arial" w:cs="Arial" w:eastAsia="Arial" w:hAnsi="Arial"/>
          <w:color w:val="2B3A4A"/>
          <w:sz w:val="22"/>
          <w:szCs w:val="22"/>
        </w:rPr>
        <w:t xml:space="preserve">Cost per thousand impressions.</w:t>
      </w:r>
    </w:p>
    <w:p>
      <w:pPr>
        <w:pStyle w:val="ListParagraph"/>
        <w:numPr>
          <w:ilvl w:val="0"/>
          <w:numId w:val="2"/>
        </w:numPr>
        <w:spacing w:after="100" w:line="300"/>
      </w:pPr>
      <w:r>
        <w:rPr>
          <w:rFonts w:ascii="Arial" w:cs="Arial" w:eastAsia="Arial" w:hAnsi="Arial"/>
          <w:b/>
          <w:bCs/>
          <w:color w:val="0F2A43"/>
          <w:sz w:val="22"/>
          <w:szCs w:val="22"/>
        </w:rPr>
        <w:t xml:space="preserve">CPC: </w:t>
      </w:r>
      <w:r>
        <w:rPr>
          <w:rFonts w:ascii="Arial" w:cs="Arial" w:eastAsia="Arial" w:hAnsi="Arial"/>
          <w:color w:val="2B3A4A"/>
          <w:sz w:val="22"/>
          <w:szCs w:val="22"/>
        </w:rPr>
        <w:t xml:space="preserve">Cost per click.</w:t>
      </w:r>
    </w:p>
    <w:p>
      <w:pPr>
        <w:pStyle w:val="ListParagraph"/>
        <w:numPr>
          <w:ilvl w:val="0"/>
          <w:numId w:val="2"/>
        </w:numPr>
        <w:spacing w:after="100" w:line="300"/>
      </w:pPr>
      <w:r>
        <w:rPr>
          <w:rFonts w:ascii="Arial" w:cs="Arial" w:eastAsia="Arial" w:hAnsi="Arial"/>
          <w:b/>
          <w:bCs/>
          <w:color w:val="0F2A43"/>
          <w:sz w:val="22"/>
          <w:szCs w:val="22"/>
        </w:rPr>
        <w:t xml:space="preserve">CPL: </w:t>
      </w:r>
      <w:r>
        <w:rPr>
          <w:rFonts w:ascii="Arial" w:cs="Arial" w:eastAsia="Arial" w:hAnsi="Arial"/>
          <w:color w:val="2B3A4A"/>
          <w:sz w:val="22"/>
          <w:szCs w:val="22"/>
        </w:rPr>
        <w:t xml:space="preserve">Cost per lead.</w:t>
      </w:r>
    </w:p>
    <w:p>
      <w:pPr>
        <w:pStyle w:val="ListParagraph"/>
        <w:numPr>
          <w:ilvl w:val="0"/>
          <w:numId w:val="2"/>
        </w:numPr>
        <w:spacing w:after="100" w:line="300"/>
      </w:pPr>
      <w:r>
        <w:rPr>
          <w:rFonts w:ascii="Arial" w:cs="Arial" w:eastAsia="Arial" w:hAnsi="Arial"/>
          <w:b/>
          <w:bCs/>
          <w:color w:val="0F2A43"/>
          <w:sz w:val="22"/>
          <w:szCs w:val="22"/>
        </w:rPr>
        <w:t xml:space="preserve">CPA: </w:t>
      </w:r>
      <w:r>
        <w:rPr>
          <w:rFonts w:ascii="Arial" w:cs="Arial" w:eastAsia="Arial" w:hAnsi="Arial"/>
          <w:color w:val="2B3A4A"/>
          <w:sz w:val="22"/>
          <w:szCs w:val="22"/>
        </w:rPr>
        <w:t xml:space="preserve">Cost per acquisition.</w:t>
      </w:r>
    </w:p>
    <w:p>
      <w:pPr>
        <w:pStyle w:val="ListParagraph"/>
        <w:numPr>
          <w:ilvl w:val="0"/>
          <w:numId w:val="2"/>
        </w:numPr>
        <w:spacing w:after="100" w:line="300"/>
      </w:pPr>
      <w:r>
        <w:rPr>
          <w:rFonts w:ascii="Arial" w:cs="Arial" w:eastAsia="Arial" w:hAnsi="Arial"/>
          <w:b/>
          <w:bCs/>
          <w:color w:val="0F2A43"/>
          <w:sz w:val="22"/>
          <w:szCs w:val="22"/>
        </w:rPr>
        <w:t xml:space="preserve">ROAS: </w:t>
      </w:r>
      <w:r>
        <w:rPr>
          <w:rFonts w:ascii="Arial" w:cs="Arial" w:eastAsia="Arial" w:hAnsi="Arial"/>
          <w:color w:val="2B3A4A"/>
          <w:sz w:val="22"/>
          <w:szCs w:val="22"/>
        </w:rPr>
        <w:t xml:space="preserve">Return on ad spend.</w:t>
      </w:r>
    </w:p>
    <w:p>
      <w:pPr>
        <w:spacing w:after="140" w:before="120" w:line="300"/>
      </w:pPr>
      <w:r>
        <w:rPr>
          <w:rFonts w:ascii="Arial" w:cs="Arial" w:eastAsia="Arial" w:hAnsi="Arial"/>
          <w:color w:val="2B3A4A"/>
          <w:sz w:val="22"/>
          <w:szCs w:val="22"/>
        </w:rPr>
        <w:t xml:space="preserve">Additional metrics, including cost per qualified lead and other conversion measures, would be included where the required data was available.</w:t>
      </w:r>
    </w:p>
    <w:p>
      <w:pPr>
        <w:spacing w:after="140" w:line="300"/>
      </w:pPr>
      <w:r>
        <w:rPr>
          <w:rFonts w:ascii="Arial" w:cs="Arial" w:eastAsia="Arial" w:hAnsi="Arial"/>
          <w:color w:val="2B3A4A"/>
          <w:sz w:val="22"/>
          <w:szCs w:val="22"/>
        </w:rPr>
        <w:t xml:space="preserve">The analysis would compare performance across the five ad sets to identify the strongest-performing segments, evaluate the efficiency of the campaign, and inform recommendations for subsequent retargeting and search advertising.</w:t>
      </w:r>
    </w:p>
    <w:p>
      <w:pPr>
        <w:spacing w:after="140" w:line="300"/>
      </w:pPr>
      <w:r>
        <w:rPr>
          <w:rFonts w:ascii="Arial" w:cs="Arial" w:eastAsia="Arial" w:hAnsi="Arial"/>
          <w:color w:val="2B3A4A"/>
          <w:sz w:val="22"/>
          <w:szCs w:val="22"/>
        </w:rPr>
        <w:t xml:space="preserve">The findings would contribute to Tallybridge's marketing recommendations ahead of its planned Q1 2027 launch, supporting its objective of acquiring 120 paying customers and achieving CAD 520,000 in annual recurring revenue.</w:t>
      </w:r>
    </w:p>
    <w:p>
      <w:pPr>
        <w:spacing w:after="100" w:before="200" w:line="300"/>
      </w:pPr>
      <w:r>
        <w:rPr>
          <w:rFonts w:ascii="Arial" w:cs="Arial" w:eastAsia="Arial" w:hAnsi="Arial"/>
          <w:i/>
          <w:iCs/>
          <w:color w:val="4A5B6B"/>
          <w:sz w:val="21"/>
          <w:szCs w:val="21"/>
        </w:rPr>
        <w:t xml:space="preserve">Note: The campaign setup and screenshots document the implementation work. Performance findings, audience rankings, and return on ad spend would be reported after the campaign data became available.</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C8C"/>
        <w:sz w:val="16"/>
        <w:szCs w:val="16"/>
      </w:rPr>
      <w:t xml:space="preserve">Tallybridge Client Acquisition Strategy and Meta Ads Setup  |  Page </w:t>
    </w:r>
    <w:r>
      <w:rPr>
        <w:rFonts w:ascii="Arial" w:cs="Arial" w:eastAsia="Arial" w:hAnsi="Arial"/>
        <w:color w:val="6B7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2026-10-13T09:32:19.346Z</dcterms:created>
  <dcterms:modified xsi:type="dcterms:W3CDTF">2026-10-13T09:32:19.351Z</dcterms:modified>
</cp:coreProperties>
</file>

<file path=docProps/custom.xml><?xml version="1.0" encoding="utf-8"?>
<Properties xmlns="http://schemas.openxmlformats.org/officeDocument/2006/custom-properties" xmlns:vt="http://schemas.openxmlformats.org/officeDocument/2006/docPropsVTypes"/>
</file>