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  <w:spacing w:before="0" w:after="0" w:line="240"/>
        <w:rPr>
          <w:sz w:val="24"/>
          <w:szCs w:val="24"/>
        </w:rPr>
      </w:pPr>
      <w:bookmarkStart w:id="7" w:name="Introduction"/>
      <w:bookmarkEnd w:id="7"/>
      <w:r>
        <w:rPr>
          <w:rFonts w:ascii="Times New Roman" w:eastAsia="Times New Roman" w:hAnsi="Times New Roman" w:cs="Times New Roman"/>
          <w:sz w:val="24"/>
          <w:szCs w:val="24"/>
        </w:rPr>
        <w:t xml:space="preserve">I have had rewarding experiences as a teaching assistant and a guest lecturer in methodological classes.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was a teaching assistant for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Advanced Epidemiologic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 as a graduate student, as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class was being restructured. I struggled to find the best way to help students prepare for the midterm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exam. In addition to a GitHub repository I set up for the class to organize the scripts created by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professors for the class, I also created a review study sheet based on the course content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customized it for the exam. I was unsure if these efforts were worthwhile, but the positive feedback that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received from students following these two efforts, including one comment from at student that she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would be using the review summary in her future research, became a rewarding experience for me in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teaching role.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8" w:name="Previous_experiencetraining"/>
      <w:bookmarkEnd w:id="8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9" w:name="Previous_experiencetraining"/>
      <w:bookmarkEnd w:id="9"/>
      <w:r>
        <w:rPr>
          <w:rFonts w:ascii="Times New Roman" w:eastAsia="Times New Roman" w:hAnsi="Times New Roman" w:cs="Times New Roman"/>
          <w:sz w:val="24"/>
          <w:szCs w:val="24"/>
        </w:rPr>
        <w:t xml:space="preserve">As a postdoctoral fellow at the National Institute of Environmental Health Sciences (NIEHS), I have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had opportunities to bolster my teaching experience. In January 2020, I was a guest instructor for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short course titled,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Statistics and Experimental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offered by the Biostatistics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Computational Biology Branch. In this class, I was able to interact with a small group of scientists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interested in learning more about statistics and share how it can be applied in their own work. I also had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opportunity to learn how to enhance my teaching abilities and the learning experience of students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through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Scientists Teaching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online class offered at NIEHS in 2019. In this 9 week class,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learned about topics including different teaching styles, how to increase inclusivity, and syllabus design.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Student_goals"/>
      <w:bookmarkEnd w:id="10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11" w:name="Student_goals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 xml:space="preserve">In the context of statistics in public health research, my overarching goal for students as a teacher is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develop skills necessary to independently conduct substantive research in the field. One approach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develop these skills could be to present CDC case studies in the context of pressing public health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problems including the most common disease outcomes such as chronic disease, cancer and infectious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disease.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12" w:name="Teaching_strategies"/>
      <w:bookmarkEnd w:id="12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13" w:name="Teaching_strategies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One example of a teaching strategy to lead students towards a class goal -- such as establishing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research question in public health in the context of quantitative analysis -- would be to use a combination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lecture and active learning techniques such as small group discussions because these techniques can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promote student retention and performance (1,2). For example, to plan a class focusing on racial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ethnic disparities that influence public health outcomes, I could lead the class with a short video focusing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racial and ethnic disparities that result in adverse health outcomes, such as mortality due to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COVID-19. Next, I would plan a short lecture outlining two different analytic approaches to measuring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associations between disparities and the  outcome. Following this lecture, I would ask small groups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plan an analysis using one of the approaches outlined in the lecture. Near the end of the class, we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would reconvene and discuss as a class the merits of different approaches selected by the groups.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would have this teaching approach follow a well defined set of course objectives as defined through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Bloom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taxonomy (3). My overall teaching goals for the class would progress from the foundational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levels of knowledge and comprehension to a final expectation of demonstrated analytic and synthesis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abilities.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teaching biostatistics classes required for the new public health doctoral degree at George Mason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University, I can also draw on my experience as both a practicing statistician and student and fellow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developing and applying methodologies in my current research program. One general example of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opportunities I have had to extend my knowledge in research involves hypothesis specification.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ability to form sound hypotheses is crucial to sound research and spans both biostatistics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epidemiology, in my case. Throughout my time as a researcher, I understood that specification of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hypothesis does not mean that the evidence I find will confirm my hypothesis. However, in practice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acknowledge the struggle to remain as agnostic as possible regarding findings and evidence, which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shapes further research questions. That general message, important to me, is one I can use 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professor teaching best practices in quantitative research.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Teaching_strategies_tech"/>
      <w:bookmarkEnd w:id="14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15" w:name="Teaching_strategies_tech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 xml:space="preserve">As a professor, I plan on using GitHub Classroom (https://classroom.github.com/) given my extensive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experience with GitHub, a source code management resource that I use on a regular basis in my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research. This resource would enable me to distribute, evaluate, and collect homework for classes 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statistical methods and advanced epidemiological concepts. I would also use this resource to enable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collaboration and promote scientific reproducibility, an interest of mine and another possible short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course I could teach. Furthermore, this technology would be an asset when teaching online classes.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16" w:name="Conclusion"/>
      <w:bookmarkEnd w:id="16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17" w:name="Conclusion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 xml:space="preserve">In sum, my goal for students in my classes is to strengthen their role as ethical and productive population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health scientists in their professional lives outside of the classroom.</w:t>
      </w:r>
      <w:r>
        <w:rPr>
          <w:sz w:val="24"/>
          <w:szCs w:val="24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</w:rPr>
      </w:pPr>
      <w:bookmarkStart w:id="18" w:name="References"/>
      <w:bookmarkEnd w:id="18"/>
      <w:r>
        <w:rPr>
          <w:rFonts w:ascii="Times New Roman" w:eastAsia="Times New Roman" w:hAnsi="Times New Roman" w:cs="Times New Roman"/>
          <w:sz w:val="24"/>
          <w:szCs w:val="24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bookmarkStart w:id="19" w:name="References"/>
      <w:bookmarkEnd w:id="19"/>
      <w:r>
        <w:rPr>
          <w:rFonts w:ascii="Times New Roman" w:eastAsia="Times New Roman" w:hAnsi="Times New Roman" w:cs="Times New Roman"/>
          <w:sz w:val="22"/>
          <w:szCs w:val="22"/>
          <w:b/>
          <w:color w:val="000000"/>
        </w:rPr>
        <w:t xml:space="preserve">References</w:t>
      </w:r>
      <w:r>
        <w:rPr>
          <w:sz w:val="24"/>
          <w:szCs w:val="24"/>
          <w:b w:val="false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2"/>
          <w:szCs w:val="22"/>
          <w:b/>
          <w:color w:val="000000"/>
        </w:rPr>
      </w:pPr>
      <w:r>
        <w:rPr>
          <w:rFonts w:ascii="Times New Roman" w:eastAsia="Times New Roman" w:hAnsi="Times New Roman" w:cs="Times New Roman"/>
          <w:sz w:val="22"/>
          <w:szCs w:val="22"/>
          <w:b/>
          <w:color w:val="000000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  <w:color w:val="000000"/>
        </w:rPr>
        <w:t xml:space="preserve">1. Freeman, S., Eddy, S. L., Mcdonough, M., Smith, M. K., Okoroafor, N., Jordt, H., </w:t>
        <w:t>&amp;</w:t>
        <w:t xml:space="preserve"> Wenderoth, M. P. </w:t>
      </w:r>
      <w:r>
        <w:rPr>
          <w:rFonts w:ascii="Times New Roman" w:eastAsia="Times New Roman" w:hAnsi="Times New Roman" w:cs="Times New Roman"/>
          <w:sz w:val="22"/>
          <w:szCs w:val="22"/>
          <w:color w:val="000000"/>
        </w:rPr>
        <w:t xml:space="preserve">(2014). Active learning increases student performance in science, engineering, and mathematics. </w:t>
      </w:r>
      <w:r>
        <w:rPr>
          <w:rFonts w:ascii="Times New Roman" w:eastAsia="Times New Roman" w:hAnsi="Times New Roman" w:cs="Times New Roman"/>
          <w:sz w:val="22"/>
          <w:szCs w:val="22"/>
          <w:i/>
          <w:color w:val="000000"/>
        </w:rPr>
        <w:t xml:space="preserve">Proceedings of the National Academy of Sciences, 111</w:t>
      </w:r>
      <w:r>
        <w:rPr>
          <w:rFonts w:ascii="Times New Roman" w:eastAsia="Times New Roman" w:hAnsi="Times New Roman" w:cs="Times New Roman"/>
          <w:sz w:val="22"/>
          <w:szCs w:val="22"/>
          <w:i w:val="false"/>
          <w:color w:val="000000"/>
        </w:rPr>
        <w:t xml:space="preserve">(23), 8410-8415. doi:10.1073/pnas.1319030111.</w:t>
      </w:r>
      <w:r>
        <w:rPr>
          <w:sz w:val="24"/>
          <w:szCs w:val="24"/>
          <w:i w:val="false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2"/>
          <w:szCs w:val="22"/>
          <w:color w:val="000000"/>
        </w:rPr>
      </w:pPr>
      <w:r>
        <w:rPr>
          <w:rFonts w:ascii="Times New Roman" w:eastAsia="Times New Roman" w:hAnsi="Times New Roman" w:cs="Times New Roman"/>
          <w:sz w:val="22"/>
          <w:szCs w:val="22"/>
          <w:color w:val="000000"/>
        </w:rPr>
      </w:r>
    </w:p>
    <w:p>
      <w:pPr>
        <w:pStyle w:val="Normal"/>
        <w:spacing w:before="0" w:after="0" w:lin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  <w:color w:val="000000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Deslauriers, L., Schelew, E. </w:t>
        <w:t>&amp;</w:t>
        <w:t xml:space="preserve"> Wieman, C. Improved Learning in a Large-Enrollment Physics Class. </w:t>
      </w:r>
      <w:r>
        <w:rPr>
          <w:rFonts w:ascii="Times New Roman" w:eastAsia="Times New Roman" w:hAnsi="Times New Roman" w:cs="Times New Roman"/>
          <w:sz w:val="24"/>
          <w:szCs w:val="24"/>
          <w:i/>
        </w:rPr>
        <w:t xml:space="preserve">Science</w:t>
      </w:r>
      <w:r>
        <w:rPr>
          <w:rFonts w:ascii="Times New Roman" w:eastAsia="Times New Roman" w:hAnsi="Times New Roman" w:cs="Times New Roman"/>
          <w:sz w:val="24"/>
          <w:szCs w:val="24"/>
          <w:i w:val="fal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b/>
          <w:i w:val="false"/>
        </w:rPr>
        <w:t xml:space="preserve">332</w:t>
      </w:r>
      <w:r>
        <w:rPr>
          <w:rFonts w:ascii="Times New Roman" w:eastAsia="Times New Roman" w:hAnsi="Times New Roman" w:cs="Times New Roman"/>
          <w:sz w:val="24"/>
          <w:szCs w:val="24"/>
          <w:b w:val="false"/>
          <w:i w:val="false"/>
        </w:rPr>
        <w:t xml:space="preserve">, 862</w:t>
      </w:r>
      <w:r>
        <w:rPr>
          <w:rFonts w:ascii="Times New Roman" w:eastAsia="Times New Roman" w:hAnsi="Times New Roman" w:cs="Times New Roman"/>
          <w:sz w:val="24"/>
          <w:szCs w:val="24"/>
          <w:b w:val="false"/>
          <w:i w:val="false"/>
        </w:rPr>
        <w:t xml:space="preserve">–</w:t>
      </w:r>
      <w:r>
        <w:rPr>
          <w:rFonts w:ascii="Times New Roman" w:eastAsia="Times New Roman" w:hAnsi="Times New Roman" w:cs="Times New Roman"/>
          <w:sz w:val="24"/>
          <w:szCs w:val="24"/>
          <w:b w:val="false"/>
          <w:i w:val="false"/>
        </w:rPr>
        <w:t xml:space="preserve">864 (2011). </w:t>
      </w:r>
      <w:r>
        <w:rPr>
          <w:sz w:val="24"/>
          <w:szCs w:val="24"/>
          <w:b w:val="false"/>
          <w:i w:val="false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2"/>
          <w:szCs w:val="22"/>
          <w:color w:val="000000"/>
        </w:rPr>
      </w:pPr>
      <w:r>
        <w:rPr>
          <w:rFonts w:ascii="Times New Roman" w:eastAsia="Times New Roman" w:hAnsi="Times New Roman" w:cs="Times New Roman"/>
          <w:sz w:val="22"/>
          <w:szCs w:val="22"/>
          <w:color w:val="000000"/>
        </w:rPr>
      </w:r>
    </w:p>
    <w:p>
      <w:pPr>
        <w:pStyle w:val="Normal"/>
        <w:spacing w:before="0" w:after="0" w:line="240"/>
        <w:rPr>
          <w:rFonts w:ascii="Times New Roman" w:eastAsia="Times New Roman" w:hAnsi="Times New Roman" w:cs="Times New Roman"/>
          <w:sz w:val="24"/>
          <w:szCs w:val="24"/>
          <w:color w:val="333333"/>
        </w:rPr>
      </w:pPr>
      <w:r>
        <w:rPr>
          <w:rFonts w:ascii="Times New Roman" w:eastAsia="Times New Roman" w:hAnsi="Times New Roman" w:cs="Times New Roman"/>
          <w:sz w:val="24"/>
          <w:szCs w:val="24"/>
          <w:color w:val="000000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  <w:color w:val="333333"/>
        </w:rPr>
        <w:t xml:space="preserve">Bloom, B. (1956)</w:t>
      </w:r>
      <w:r>
        <w:rPr>
          <w:rFonts w:ascii="Times New Roman" w:eastAsia="Times New Roman" w:hAnsi="Times New Roman" w:cs="Times New Roman"/>
          <w:sz w:val="24"/>
          <w:szCs w:val="24"/>
          <w:i/>
          <w:color w:val="333333"/>
        </w:rPr>
        <w:t xml:space="preserve">A taxonomy of educational objectives, The classification of educational </w:t>
      </w:r>
      <w:r>
        <w:rPr>
          <w:rFonts w:ascii="Times New Roman" w:eastAsia="Times New Roman" w:hAnsi="Times New Roman" w:cs="Times New Roman"/>
          <w:sz w:val="24"/>
          <w:szCs w:val="24"/>
          <w:i/>
          <w:color w:val="333333"/>
        </w:rPr>
        <w:t xml:space="preserve">goals-handbook I: Cognitive domain</w:t>
      </w:r>
      <w:r>
        <w:rPr>
          <w:rFonts w:ascii="Times New Roman" w:eastAsia="Times New Roman" w:hAnsi="Times New Roman" w:cs="Times New Roman"/>
          <w:sz w:val="24"/>
          <w:szCs w:val="24"/>
          <w:i w:val="false"/>
          <w:color w:val="333333"/>
        </w:rPr>
        <w:t xml:space="preserve">. New York: McKay.</w:t>
      </w:r>
    </w:p>
    <w:sectPr>
      <w:headerReference w:type="default" r:id="header0"/>
      <w:footerReference w:type="default" r:id="footer0"/>
      <w:pgSz w:w="12240" w:h="15840"/>
      <w:pgMar w:top="1440" w:bottom="1440" w:left="1440" w:right="1440" w:header="720" w:footer="720" w:gutter="0"/>
      <w:cols w:space="720"/>
      <w:paperSrc w:first="0" w:other="0"/>
      <w:pgNumType w:start="1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1"/>
    <w:family w:val="modern"/>
  </w:font>
  <w:font w:name="Times New Roman">
    <w:charset w:val="0"/>
    <w:family w:val="roman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Normal"/>
      <w:jc w:val="center"/>
      <w:spacing w:before="0" w:after="0" w:line="240"/>
      <w:rPr>
        <w:sz w:val="24"/>
        <w:szCs w:val="24"/>
      </w:rPr>
    </w:pPr>
    <w:r>
      <w:rPr>
        <w:sz w:val="24"/>
        <w:szCs w:val="24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sz w:val="24"/>
        <w:szCs w:val="24"/>
      </w:rPr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Normal"/>
      <w:jc w:val="right"/>
      <w:spacing w:before="0" w:after="0" w:line="240"/>
      <w:rPr>
        <w:sz w:val="24"/>
        <w:szCs w:val="24"/>
      </w:rPr>
    </w:pPr>
    <w:r>
      <w:rPr>
        <w:sz w:val="24"/>
        <w:szCs w:val="24"/>
      </w:rPr>
      <w:t xml:space="preserve">teaching-statement-GMU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doc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="Courier New" w:hAnsi="Courier New" w:cs="Courier New"/>
        <w:sz w:val="20"/>
        <w:szCs w:val="20"/>
      </w:rPr>
    </w:rPrDefault>
    <w:pPrDefault>
      <w:pPr/>
    </w:pPrDefault>
  </w:docDefaults>
  <w:style w:type="paragraph" w:default="1" w:styleId="Normal">
    <w:name w:val="Normal"/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2020-11-29T13:12:04</dcterms:created>
  <dcterms:modified xsi:type="dcterms:W3CDTF">2020-11-29T13:12:04</dcterms:modified>
</cp:coreProperties>
</file>