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2">
            <w:pPr>
              <w:jc w:val="center"/>
              <w:rPr/>
            </w:pPr>
            <w:r w:rsidDel="00000000" w:rsidR="00000000" w:rsidRPr="00000000">
              <w:rPr>
                <w:rFonts w:ascii="Cambria" w:cs="Cambria" w:eastAsia="Cambria" w:hAnsi="Cambria"/>
                <w:b w:val="1"/>
                <w:bCs w:val="1"/>
                <w:color w:val="548dd4"/>
                <w:sz w:val="26"/>
                <w:szCs w:val="26"/>
                <w:rtl w:val="0"/>
              </w:rPr>
              <w:t xml:space="preserve">DUOC UC - Escuela de informática y telecomunicaciones</w:t>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color w:val="000000"/>
                <w:sz w:val="80"/>
                <w:szCs w:val="80"/>
              </w:rPr>
            </w:pPr>
            <w:r w:rsidDel="00000000" w:rsidR="00000000" w:rsidRPr="00000000">
              <w:rPr>
                <w:color w:val="000000"/>
                <w:sz w:val="80"/>
                <w:szCs w:val="80"/>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sz w:val="44"/>
                <w:szCs w:val="44"/>
              </w:rPr>
            </w:pPr>
            <w:r w:rsidDel="00000000" w:rsidR="00000000" w:rsidRPr="00000000">
              <w:rPr>
                <w:sz w:val="44"/>
                <w:szCs w:val="44"/>
                <w:rtl w:val="0"/>
              </w:rPr>
              <w:t xml:space="preserve">WellQ API</w:t>
            </w:r>
          </w:p>
        </w:tc>
      </w:tr>
      <w:tr>
        <w:trPr>
          <w:cantSplit w:val="0"/>
          <w:trHeight w:val="36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color w:val="000000"/>
                <w:rtl w:val="0"/>
              </w:rPr>
              <w:t xml:space="preserve">Revisión: 3.0</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21-10-2026</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color w:val="366091"/>
          <w:sz w:val="28"/>
          <w:szCs w:val="28"/>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color w:val="366091"/>
          <w:sz w:val="28"/>
          <w:szCs w:val="28"/>
          <w:rtl w:val="0"/>
        </w:rPr>
        <w:t xml:space="preserve">Ficha del documento</w:t>
      </w: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1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1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1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1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07/09/2026</w:t>
            </w:r>
          </w:p>
          <w:p w:rsidR="00000000" w:rsidDel="00000000" w:rsidP="00000000" w:rsidRDefault="00000000" w:rsidRPr="00000000" w14:paraId="00000017">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v1.0</w:t>
            </w:r>
          </w:p>
          <w:p w:rsidR="00000000" w:rsidDel="00000000" w:rsidP="00000000" w:rsidRDefault="00000000" w:rsidRPr="00000000" w14:paraId="00000019">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Mauricio Gatica, Anna Heisig</w:t>
            </w:r>
          </w:p>
        </w:tc>
        <w:tc>
          <w:tcPr>
            <w:vAlign w:val="center"/>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Redactar especificación de requisitos (ERS) para WellQ API</w:t>
            </w:r>
          </w:p>
        </w:tc>
      </w:tr>
      <w:tr>
        <w:trPr>
          <w:cantSplit w:val="0"/>
          <w:trHeight w:val="1134" w:hRule="atLeast"/>
          <w:tblHeader w:val="0"/>
        </w:trPr>
        <w:tc>
          <w:tcPr>
            <w:vAlign w:val="center"/>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13/09/2026</w:t>
            </w:r>
          </w:p>
        </w:tc>
        <w:tc>
          <w:tcPr>
            <w:vAlign w:val="center"/>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v2.0</w:t>
            </w:r>
          </w:p>
        </w:tc>
        <w:tc>
          <w:tcPr>
            <w:vAlign w:val="center"/>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Mauricio Gatica, Anna Heisig</w:t>
            </w:r>
          </w:p>
        </w:tc>
        <w:tc>
          <w:tcPr>
            <w:vAlign w:val="center"/>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Ajustar requerimientos en base a información recibida de Alloxentric.</w:t>
            </w:r>
          </w:p>
        </w:tc>
      </w:tr>
      <w:tr>
        <w:trPr>
          <w:cantSplit w:val="0"/>
          <w:trHeight w:val="1134" w:hRule="atLeast"/>
          <w:tblHeader w:val="0"/>
        </w:trPr>
        <w:tc>
          <w:tcPr>
            <w:vAlign w:val="center"/>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21/10/2026</w:t>
            </w:r>
          </w:p>
        </w:tc>
        <w:tc>
          <w:tcPr>
            <w:vAlign w:val="center"/>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v3.0</w:t>
            </w:r>
          </w:p>
        </w:tc>
        <w:tc>
          <w:tcPr>
            <w:vAlign w:val="center"/>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Mauricio Gatica, Anna Heisig</w:t>
            </w:r>
          </w:p>
        </w:tc>
        <w:tc>
          <w:tcPr>
            <w:vAlign w:val="center"/>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Actualizar la especificación al producto construido: modelo push, Partner API integrada en WellQ, MongoDB y requisitos funcionales completos.</w:t>
            </w:r>
          </w:p>
        </w:tc>
      </w:tr>
    </w:tbl>
    <w:p w:rsidR="00000000" w:rsidDel="00000000" w:rsidP="00000000" w:rsidRDefault="00000000" w:rsidRPr="00000000" w14:paraId="00000024">
      <w:pPr>
        <w:spacing w:after="0" w:line="240" w:lineRule="auto"/>
        <w:rPr>
          <w:sz w:val="20"/>
          <w:szCs w:val="20"/>
        </w:rPr>
      </w:pPr>
      <w:r w:rsidDel="00000000" w:rsidR="00000000" w:rsidRPr="00000000">
        <w:rPr>
          <w:rtl w:val="0"/>
        </w:rPr>
      </w:r>
    </w:p>
    <w:p w:rsidR="00000000" w:rsidDel="00000000" w:rsidP="00000000" w:rsidRDefault="00000000" w:rsidRPr="00000000" w14:paraId="00000025">
      <w:pPr>
        <w:spacing w:after="0" w:line="240" w:lineRule="auto"/>
        <w:rPr>
          <w:sz w:val="20"/>
          <w:szCs w:val="20"/>
        </w:rPr>
      </w:pPr>
      <w:r w:rsidDel="00000000" w:rsidR="00000000" w:rsidRPr="00000000">
        <w:rPr>
          <w:rtl w:val="0"/>
        </w:rPr>
      </w:r>
    </w:p>
    <w:p w:rsidR="00000000" w:rsidDel="00000000" w:rsidP="00000000" w:rsidRDefault="00000000" w:rsidRPr="00000000" w14:paraId="00000026">
      <w:pPr>
        <w:spacing w:after="0" w:line="240" w:lineRule="auto"/>
        <w:rPr>
          <w:sz w:val="20"/>
          <w:szCs w:val="20"/>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color w:val="366091"/>
          <w:sz w:val="28"/>
          <w:szCs w:val="28"/>
          <w:rtl w:val="0"/>
        </w:rPr>
        <w:t xml:space="preserve">Integrantes:</w:t>
      </w:r>
      <w:r w:rsidDel="00000000" w:rsidR="00000000" w:rsidRPr="00000000">
        <w:rPr>
          <w:rtl w:val="0"/>
        </w:rPr>
      </w:r>
    </w:p>
    <w:tbl>
      <w:tblPr>
        <w:tblStyle w:val="Table4"/>
        <w:tblW w:w="881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2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2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Mauricio Gatica</w:t>
            </w:r>
          </w:p>
        </w:tc>
        <w:tc>
          <w:tcPr>
            <w:vAlign w:val="center"/>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Líder del proyecto</w:t>
            </w:r>
          </w:p>
        </w:tc>
      </w:tr>
      <w:tr>
        <w:trPr>
          <w:cantSplit w:val="0"/>
          <w:trHeight w:val="465" w:hRule="atLeast"/>
          <w:tblHeader w:val="0"/>
        </w:trPr>
        <w:tc>
          <w:tcPr>
            <w:vAlign w:val="center"/>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Anna Heisig</w:t>
            </w:r>
          </w:p>
        </w:tc>
        <w:tc>
          <w:tcPr>
            <w:vAlign w:val="center"/>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Líder técnico</w:t>
            </w:r>
          </w:p>
        </w:tc>
      </w:tr>
    </w:tbl>
    <w:p w:rsidR="00000000" w:rsidDel="00000000" w:rsidP="00000000" w:rsidRDefault="00000000" w:rsidRPr="00000000" w14:paraId="0000002E">
      <w:pPr>
        <w:rPr>
          <w:b w:val="1"/>
          <w:bCs w:val="1"/>
          <w:color w:val="366091"/>
          <w:sz w:val="28"/>
          <w:szCs w:val="28"/>
        </w:rPr>
      </w:pPr>
      <w:r w:rsidDel="00000000" w:rsidR="00000000" w:rsidRPr="00000000">
        <w:rPr>
          <w:rtl w:val="0"/>
        </w:rPr>
      </w:r>
    </w:p>
    <w:p w:rsidR="00000000" w:rsidDel="00000000" w:rsidP="00000000" w:rsidRDefault="00000000" w:rsidRPr="00000000" w14:paraId="0000002F">
      <w:pPr>
        <w:keepNext w:val="1"/>
        <w:keepLines w:val="1"/>
        <w:pBdr>
          <w:top w:space="0" w:sz="0" w:val="nil"/>
          <w:left w:space="0" w:sz="0" w:val="nil"/>
          <w:bottom w:space="0" w:sz="0" w:val="nil"/>
          <w:right w:space="0" w:sz="0" w:val="nil"/>
          <w:between w:space="0" w:sz="0" w:val="nil"/>
        </w:pBdr>
        <w:spacing w:after="0" w:before="480" w:lineRule="auto"/>
        <w:rPr>
          <w:b w:val="1"/>
          <w:bCs w:val="1"/>
          <w:color w:val="366091"/>
          <w:sz w:val="28"/>
          <w:szCs w:val="28"/>
        </w:rPr>
      </w:pPr>
      <w:bookmarkStart w:colFirst="0" w:colLast="0" w:name="_heading=h.c4ymle5bf6o" w:id="0"/>
      <w:bookmarkEnd w:id="0"/>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rFonts w:ascii="Calibri" w:cs="Calibri" w:eastAsia="Calibri" w:hAnsi="Calibri"/>
        </w:rPr>
      </w:pPr>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3A">
      <w:pPr>
        <w:pStyle w:val="Heading2"/>
        <w:rPr>
          <w:rFonts w:ascii="Calibri" w:cs="Calibri" w:eastAsia="Calibri" w:hAnsi="Calibri"/>
        </w:rPr>
      </w:pPr>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3B">
      <w:pPr>
        <w:ind w:firstLine="720"/>
        <w:jc w:val="both"/>
        <w:rPr>
          <w:color w:val="ff0000"/>
        </w:rPr>
      </w:pPr>
      <w:r w:rsidDel="00000000" w:rsidR="00000000" w:rsidRPr="00000000">
        <w:rPr>
          <w:rtl w:val="0"/>
        </w:rPr>
        <w:t xml:space="preserve">El propósito de este documento es especificar los requisitos funcionales y no funcionales de WellQ API, la Partner API que permite a los fabricantes de wearables enviar datos a la plataforma WellQ y que elimina la dependencia de Spike. La idea es que cualquier persona del equipo pueda leerlo y saber exactamente qué debe hacer el sistema, cómo se autentica, qué expone por endpoints y bajo qué condiciones. Al terminar de leerlo debería quedar claro si el entregable cubre todos los objetivos del proyecto.</w:t>
      </w:r>
      <w:r w:rsidDel="00000000" w:rsidR="00000000" w:rsidRPr="00000000">
        <w:rPr>
          <w:rtl w:val="0"/>
        </w:rPr>
      </w:r>
    </w:p>
    <w:p w:rsidR="00000000" w:rsidDel="00000000" w:rsidP="00000000" w:rsidRDefault="00000000" w:rsidRPr="00000000" w14:paraId="0000003C">
      <w:pPr>
        <w:pStyle w:val="Heading2"/>
        <w:jc w:val="both"/>
        <w:rPr>
          <w:rFonts w:ascii="Calibri" w:cs="Calibri" w:eastAsia="Calibri" w:hAnsi="Calibri"/>
        </w:rPr>
      </w:pPr>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3D">
      <w:pPr>
        <w:ind w:firstLine="720"/>
        <w:jc w:val="both"/>
        <w:rPr/>
      </w:pPr>
      <w:r w:rsidDel="00000000" w:rsidR="00000000" w:rsidRPr="00000000">
        <w:rPr>
          <w:rtl w:val="0"/>
        </w:rPr>
        <w:t xml:space="preserve">El sistema descrito es una Partner API construida con FastAPI y MongoDB e integrada en la plataforma WellQ (se activa con un interruptor de configuración). Se organiza en cinco bloques:</w:t>
      </w:r>
    </w:p>
    <w:p w:rsidR="00000000" w:rsidDel="00000000" w:rsidP="00000000" w:rsidRDefault="00000000" w:rsidRPr="00000000" w14:paraId="0000003E">
      <w:pPr>
        <w:numPr>
          <w:ilvl w:val="0"/>
          <w:numId w:val="7"/>
        </w:numPr>
        <w:spacing w:after="0" w:lineRule="auto"/>
        <w:ind w:left="720" w:hanging="360"/>
        <w:jc w:val="both"/>
        <w:rPr/>
      </w:pPr>
      <w:r w:rsidDel="00000000" w:rsidR="00000000" w:rsidRPr="00000000">
        <w:rPr>
          <w:rtl w:val="0"/>
        </w:rPr>
        <w:t xml:space="preserve">Alta de fabricantes (onboarding): el fabricante se registra, verifica su correo, crea apps, declara sus modelos de dispositivo, prueba en sandbox y pide pasar a producción.</w:t>
      </w:r>
    </w:p>
    <w:p w:rsidR="00000000" w:rsidDel="00000000" w:rsidP="00000000" w:rsidRDefault="00000000" w:rsidRPr="00000000" w14:paraId="0000003F">
      <w:pPr>
        <w:numPr>
          <w:ilvl w:val="0"/>
          <w:numId w:val="7"/>
        </w:numPr>
        <w:spacing w:after="0" w:lineRule="auto"/>
        <w:ind w:left="720" w:hanging="360"/>
        <w:jc w:val="both"/>
        <w:rPr/>
      </w:pPr>
      <w:r w:rsidDel="00000000" w:rsidR="00000000" w:rsidRPr="00000000">
        <w:rPr>
          <w:rtl w:val="0"/>
        </w:rPr>
        <w:t xml:space="preserve">Vinculación y consentimiento: el paciente genera en la app WellQ un código de emparejamiento de un solo uso, acepta el consentimiento y el fabricante canjea ese código.</w:t>
      </w:r>
    </w:p>
    <w:p w:rsidR="00000000" w:rsidDel="00000000" w:rsidP="00000000" w:rsidRDefault="00000000" w:rsidRPr="00000000" w14:paraId="00000040">
      <w:pPr>
        <w:numPr>
          <w:ilvl w:val="0"/>
          <w:numId w:val="7"/>
        </w:numPr>
        <w:ind w:left="720" w:hanging="360"/>
        <w:jc w:val="both"/>
        <w:rPr/>
      </w:pPr>
      <w:r w:rsidDel="00000000" w:rsidR="00000000" w:rsidRPr="00000000">
        <w:rPr>
          <w:rtl w:val="0"/>
        </w:rPr>
        <w:t xml:space="preserve">Recepción de datos: el fabricante envía resúmenes diarios, series, sesiones, mediciones musculoesqueléticas y eventos del dispositivo; WellQ los revisa, normaliza y guarda.</w:t>
      </w:r>
    </w:p>
    <w:p w:rsidR="00000000" w:rsidDel="00000000" w:rsidP="00000000" w:rsidRDefault="00000000" w:rsidRPr="00000000" w14:paraId="00000041">
      <w:pPr>
        <w:numPr>
          <w:ilvl w:val="0"/>
          <w:numId w:val="7"/>
        </w:numPr>
        <w:ind w:left="720" w:hanging="360"/>
        <w:jc w:val="both"/>
        <w:rPr/>
      </w:pPr>
      <w:r w:rsidDel="00000000" w:rsidR="00000000" w:rsidRPr="00000000">
        <w:rPr>
          <w:rtl w:val="0"/>
        </w:rPr>
        <w:t xml:space="preserve">Consulta de datos: la app del paciente y el panel clínico leen los datos con consultas equivalentes a las de Spike; el fabricante puede leer objetivos y puntuaciones si el paciente lo autorizó.</w:t>
      </w:r>
    </w:p>
    <w:p w:rsidR="00000000" w:rsidDel="00000000" w:rsidP="00000000" w:rsidRDefault="00000000" w:rsidRPr="00000000" w14:paraId="00000042">
      <w:pPr>
        <w:numPr>
          <w:ilvl w:val="0"/>
          <w:numId w:val="7"/>
        </w:numPr>
        <w:ind w:left="720" w:hanging="360"/>
        <w:jc w:val="both"/>
        <w:rPr/>
      </w:pPr>
      <w:r w:rsidDel="00000000" w:rsidR="00000000" w:rsidRPr="00000000">
        <w:rPr>
          <w:rtl w:val="0"/>
        </w:rPr>
        <w:t xml:space="preserve">Gobernanza: avisos al fabricante (webhooks), aprobación de fabricantes por WellQ, rotación de secretos, auditoría y borrado de datos cuando el paciente lo pide.</w:t>
      </w:r>
    </w:p>
    <w:p w:rsidR="00000000" w:rsidDel="00000000" w:rsidP="00000000" w:rsidRDefault="00000000" w:rsidRPr="00000000" w14:paraId="00000043">
      <w:pPr>
        <w:pStyle w:val="Heading2"/>
        <w:jc w:val="both"/>
        <w:rPr>
          <w:rFonts w:ascii="Calibri" w:cs="Calibri" w:eastAsia="Calibri" w:hAnsi="Calibri"/>
        </w:rPr>
      </w:pPr>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44">
      <w:pPr>
        <w:ind w:firstLine="720"/>
        <w:jc w:val="both"/>
        <w:rPr/>
      </w:pPr>
      <w:r w:rsidDel="00000000" w:rsidR="00000000" w:rsidRPr="00000000">
        <w:rPr>
          <w:rtl w:val="0"/>
        </w:rPr>
        <w:t xml:space="preserve">Términos clave usados en este documento:</w:t>
      </w:r>
    </w:p>
    <w:p w:rsidR="00000000" w:rsidDel="00000000" w:rsidP="00000000" w:rsidRDefault="00000000" w:rsidRPr="00000000" w14:paraId="00000045">
      <w:pPr>
        <w:numPr>
          <w:ilvl w:val="0"/>
          <w:numId w:val="19"/>
        </w:numPr>
        <w:spacing w:after="0" w:lineRule="auto"/>
        <w:ind w:left="720" w:hanging="360"/>
        <w:jc w:val="both"/>
        <w:rPr/>
      </w:pPr>
      <w:r w:rsidDel="00000000" w:rsidR="00000000" w:rsidRPr="00000000">
        <w:rPr>
          <w:rtl w:val="0"/>
        </w:rPr>
        <w:t xml:space="preserve">scopes: permisos que una app puede solicitar (qué operaciones puede hacer).</w:t>
      </w:r>
    </w:p>
    <w:p w:rsidR="00000000" w:rsidDel="00000000" w:rsidP="00000000" w:rsidRDefault="00000000" w:rsidRPr="00000000" w14:paraId="00000046">
      <w:pPr>
        <w:numPr>
          <w:ilvl w:val="0"/>
          <w:numId w:val="19"/>
        </w:numPr>
        <w:spacing w:after="0" w:lineRule="auto"/>
        <w:ind w:left="720" w:hanging="360"/>
        <w:jc w:val="both"/>
        <w:rPr/>
      </w:pPr>
      <w:r w:rsidDel="00000000" w:rsidR="00000000" w:rsidRPr="00000000">
        <w:rPr>
          <w:rtl w:val="0"/>
        </w:rPr>
        <w:t xml:space="preserve">promotion_request: solicitud de mover una app de sandbox a producción.</w:t>
      </w:r>
    </w:p>
    <w:p w:rsidR="00000000" w:rsidDel="00000000" w:rsidP="00000000" w:rsidRDefault="00000000" w:rsidRPr="00000000" w14:paraId="00000047">
      <w:pPr>
        <w:numPr>
          <w:ilvl w:val="0"/>
          <w:numId w:val="19"/>
        </w:numPr>
        <w:ind w:left="720" w:hanging="360"/>
        <w:jc w:val="both"/>
        <w:rPr/>
      </w:pPr>
      <w:r w:rsidDel="00000000" w:rsidR="00000000" w:rsidRPr="00000000">
        <w:rPr>
          <w:rtl w:val="0"/>
        </w:rPr>
        <w:t xml:space="preserve">device_model: declaración de las métricas que envía un modelo de dispositivo y cada cuánto; WellQ la usa para validar los datos que llegan.</w:t>
      </w:r>
    </w:p>
    <w:p w:rsidR="00000000" w:rsidDel="00000000" w:rsidP="00000000" w:rsidRDefault="00000000" w:rsidRPr="00000000" w14:paraId="00000048">
      <w:pPr>
        <w:numPr>
          <w:ilvl w:val="0"/>
          <w:numId w:val="19"/>
        </w:numPr>
        <w:ind w:left="720" w:hanging="360"/>
        <w:jc w:val="both"/>
        <w:rPr/>
      </w:pPr>
      <w:r w:rsidDel="00000000" w:rsidR="00000000" w:rsidRPr="00000000">
        <w:rPr>
          <w:rtl w:val="0"/>
        </w:rPr>
        <w:t xml:space="preserve">onboarding: Registro de fabricantes/clientes.</w:t>
      </w:r>
    </w:p>
    <w:p w:rsidR="00000000" w:rsidDel="00000000" w:rsidP="00000000" w:rsidRDefault="00000000" w:rsidRPr="00000000" w14:paraId="00000049">
      <w:pPr>
        <w:numPr>
          <w:ilvl w:val="0"/>
          <w:numId w:val="19"/>
        </w:numPr>
        <w:ind w:left="720" w:hanging="360"/>
        <w:jc w:val="both"/>
        <w:rPr/>
      </w:pPr>
      <w:r w:rsidDel="00000000" w:rsidR="00000000" w:rsidRPr="00000000">
        <w:rPr>
          <w:rtl w:val="0"/>
        </w:rPr>
        <w:t xml:space="preserve">Métricas canónicas: lista común de 18 métricas a la que se convierten los datos de cualquier fabricante: actividad (pasos, distancia, minutos activos, calorías activas), signos vitales (frecuencia cardíaca, frecuencia cardíaca en reposo, HRV-RMSSD, SpO2, frecuencia respiratoria, temperatura de la piel), sueño, ejercicio, medidas corporales (peso, grasa corporal), mediciones musculoesqueléticas (movilidad, fuerza, cadencia de marcha) y uso del dispositivo.</w:t>
      </w:r>
    </w:p>
    <w:p w:rsidR="00000000" w:rsidDel="00000000" w:rsidP="00000000" w:rsidRDefault="00000000" w:rsidRPr="00000000" w14:paraId="0000004A">
      <w:pPr>
        <w:numPr>
          <w:ilvl w:val="0"/>
          <w:numId w:val="19"/>
        </w:numPr>
        <w:ind w:left="720" w:hanging="360"/>
        <w:jc w:val="both"/>
        <w:rPr/>
      </w:pPr>
      <w:r w:rsidDel="00000000" w:rsidR="00000000" w:rsidRPr="00000000">
        <w:rPr>
          <w:rtl w:val="0"/>
        </w:rPr>
        <w:t xml:space="preserve">Código de emparejamiento (pairing code): código de un solo uso (WQ-XXXX-XXXX, válido 10 minutos) que el paciente genera en la app WellQ y entrega al fabricante para vincular su dispositivo.</w:t>
      </w:r>
    </w:p>
    <w:p w:rsidR="00000000" w:rsidDel="00000000" w:rsidP="00000000" w:rsidRDefault="00000000" w:rsidRPr="00000000" w14:paraId="0000004B">
      <w:pPr>
        <w:numPr>
          <w:ilvl w:val="0"/>
          <w:numId w:val="19"/>
        </w:numPr>
        <w:ind w:left="720" w:hanging="360"/>
        <w:jc w:val="both"/>
        <w:rPr/>
      </w:pPr>
      <w:r w:rsidDel="00000000" w:rsidR="00000000" w:rsidRPr="00000000">
        <w:rPr>
          <w:rtl w:val="0"/>
        </w:rPr>
        <w:t xml:space="preserve">Vínculo (link): relación entre un paciente y una app de fabricante. El fabricante solo conoce el link_id y su propio identificador de usuario, nunca el identificador real del paciente.</w:t>
      </w:r>
    </w:p>
    <w:p w:rsidR="00000000" w:rsidDel="00000000" w:rsidP="00000000" w:rsidRDefault="00000000" w:rsidRPr="00000000" w14:paraId="0000004C">
      <w:pPr>
        <w:numPr>
          <w:ilvl w:val="0"/>
          <w:numId w:val="19"/>
        </w:numPr>
        <w:ind w:left="720" w:hanging="360"/>
        <w:jc w:val="both"/>
        <w:rPr/>
      </w:pPr>
      <w:r w:rsidDel="00000000" w:rsidR="00000000" w:rsidRPr="00000000">
        <w:rPr>
          <w:rtl w:val="0"/>
        </w:rPr>
        <w:t xml:space="preserve">portal_token: token de 1 hora que usa el fabricante para administrar sus apps en el portal; se obtiene con un código enviado por correo.</w:t>
      </w:r>
    </w:p>
    <w:p w:rsidR="00000000" w:rsidDel="00000000" w:rsidP="00000000" w:rsidRDefault="00000000" w:rsidRPr="00000000" w14:paraId="0000004D">
      <w:pPr>
        <w:numPr>
          <w:ilvl w:val="0"/>
          <w:numId w:val="19"/>
        </w:numPr>
        <w:ind w:left="720" w:hanging="360"/>
        <w:jc w:val="both"/>
        <w:rPr/>
      </w:pPr>
      <w:r w:rsidDel="00000000" w:rsidR="00000000" w:rsidRPr="00000000">
        <w:rPr>
          <w:rtl w:val="0"/>
        </w:rPr>
        <w:t xml:space="preserve">OAuth 2.0 client credentials: forma en que el sistema del fabricante obtiene un token de acceso de 1 hora usando su client_id y client_secret.</w:t>
      </w:r>
    </w:p>
    <w:p w:rsidR="00000000" w:rsidDel="00000000" w:rsidP="00000000" w:rsidRDefault="00000000" w:rsidRPr="00000000" w14:paraId="0000004E">
      <w:pPr>
        <w:numPr>
          <w:ilvl w:val="0"/>
          <w:numId w:val="19"/>
        </w:numPr>
        <w:ind w:left="720" w:hanging="360"/>
        <w:jc w:val="both"/>
        <w:rPr/>
      </w:pPr>
      <w:r w:rsidDel="00000000" w:rsidR="00000000" w:rsidRPr="00000000">
        <w:rPr>
          <w:rtl w:val="0"/>
        </w:rPr>
        <w:t xml:space="preserve">Webhook: aviso que WellQ envía al servidor del fabricante cuando ocurre algo importante (por ejemplo, el paciente se desvincula). Va firmado.</w:t>
      </w:r>
    </w:p>
    <w:p w:rsidR="00000000" w:rsidDel="00000000" w:rsidP="00000000" w:rsidRDefault="00000000" w:rsidRPr="00000000" w14:paraId="0000004F">
      <w:pPr>
        <w:numPr>
          <w:ilvl w:val="0"/>
          <w:numId w:val="19"/>
        </w:numPr>
        <w:ind w:left="720" w:hanging="360"/>
        <w:jc w:val="both"/>
        <w:rPr/>
      </w:pPr>
      <w:r w:rsidDel="00000000" w:rsidR="00000000" w:rsidRPr="00000000">
        <w:rPr>
          <w:rtl w:val="0"/>
        </w:rPr>
        <w:t xml:space="preserve">Idempotency-Key: clave que el fabricante agrega a un envío para que, si lo repite, WellQ no duplique los datos.</w:t>
      </w:r>
    </w:p>
    <w:p w:rsidR="00000000" w:rsidDel="00000000" w:rsidP="00000000" w:rsidRDefault="00000000" w:rsidRPr="00000000" w14:paraId="00000050">
      <w:pPr>
        <w:numPr>
          <w:ilvl w:val="0"/>
          <w:numId w:val="19"/>
        </w:numPr>
        <w:ind w:left="720" w:hanging="360"/>
        <w:jc w:val="both"/>
        <w:rPr/>
      </w:pPr>
      <w:r w:rsidDel="00000000" w:rsidR="00000000" w:rsidRPr="00000000">
        <w:rPr>
          <w:rtl w:val="0"/>
        </w:rPr>
        <w:t xml:space="preserve">Tenant: base de datos de cada clínica dentro de WellQ. Los datos de salud se guardan en la base de la clínica del paciente.</w:t>
      </w:r>
    </w:p>
    <w:p w:rsidR="00000000" w:rsidDel="00000000" w:rsidP="00000000" w:rsidRDefault="00000000" w:rsidRPr="00000000" w14:paraId="00000051">
      <w:pPr>
        <w:numPr>
          <w:ilvl w:val="0"/>
          <w:numId w:val="19"/>
        </w:numPr>
        <w:ind w:left="720" w:hanging="360"/>
        <w:jc w:val="both"/>
        <w:rPr/>
      </w:pPr>
      <w:r w:rsidDel="00000000" w:rsidR="00000000" w:rsidRPr="00000000">
        <w:rPr>
          <w:rtl w:val="0"/>
        </w:rPr>
        <w:t xml:space="preserve">Sandbox: entorno de pruebas con pacientes sintéticos, separado de los datos reales.</w:t>
      </w:r>
    </w:p>
    <w:p w:rsidR="00000000" w:rsidDel="00000000" w:rsidP="00000000" w:rsidRDefault="00000000" w:rsidRPr="00000000" w14:paraId="00000052">
      <w:pPr>
        <w:numPr>
          <w:ilvl w:val="0"/>
          <w:numId w:val="19"/>
        </w:numPr>
        <w:ind w:left="720" w:hanging="360"/>
        <w:jc w:val="both"/>
        <w:rPr/>
      </w:pPr>
      <w:r w:rsidDel="00000000" w:rsidR="00000000" w:rsidRPr="00000000">
        <w:rPr>
          <w:rtl w:val="0"/>
        </w:rPr>
        <w:t xml:space="preserve">DPA / DPIA: acuerdo de tratamiento de datos que el fabricante acepta para pasar a producción / evaluación de impacto en protección de datos exigida por UK GDPR.</w:t>
      </w:r>
    </w:p>
    <w:p w:rsidR="00000000" w:rsidDel="00000000" w:rsidP="00000000" w:rsidRDefault="00000000" w:rsidRPr="00000000" w14:paraId="00000053">
      <w:pPr>
        <w:pStyle w:val="Heading2"/>
        <w:jc w:val="both"/>
        <w:rPr>
          <w:rFonts w:ascii="Calibri" w:cs="Calibri" w:eastAsia="Calibri" w:hAnsi="Calibri"/>
        </w:rPr>
      </w:pPr>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54">
      <w:pPr>
        <w:ind w:firstLine="720"/>
        <w:jc w:val="both"/>
        <w:rPr/>
      </w:pPr>
      <w:r w:rsidDel="00000000" w:rsidR="00000000" w:rsidRPr="00000000">
        <w:rPr>
          <w:rtl w:val="0"/>
        </w:rPr>
        <w:t xml:space="preserve">Documentos y especificaciones referenciados en esta ERS:</w:t>
      </w:r>
    </w:p>
    <w:p w:rsidR="00000000" w:rsidDel="00000000" w:rsidP="00000000" w:rsidRDefault="00000000" w:rsidRPr="00000000" w14:paraId="00000055">
      <w:pPr>
        <w:numPr>
          <w:ilvl w:val="0"/>
          <w:numId w:val="18"/>
        </w:numPr>
        <w:spacing w:after="0" w:lineRule="auto"/>
        <w:ind w:left="720" w:hanging="360"/>
        <w:jc w:val="both"/>
        <w:rPr/>
      </w:pPr>
      <w:r w:rsidDel="00000000" w:rsidR="00000000" w:rsidRPr="00000000">
        <w:rPr>
          <w:rtl w:val="0"/>
        </w:rPr>
        <w:t xml:space="preserve">WellQ_API_Reference (5) — documentación del API actual.</w:t>
      </w:r>
    </w:p>
    <w:p w:rsidR="00000000" w:rsidDel="00000000" w:rsidP="00000000" w:rsidRDefault="00000000" w:rsidRPr="00000000" w14:paraId="00000056">
      <w:pPr>
        <w:numPr>
          <w:ilvl w:val="0"/>
          <w:numId w:val="18"/>
        </w:numPr>
        <w:spacing w:after="0" w:lineRule="auto"/>
        <w:ind w:left="720" w:hanging="360"/>
        <w:jc w:val="both"/>
        <w:rPr/>
      </w:pPr>
      <w:r w:rsidDel="00000000" w:rsidR="00000000" w:rsidRPr="00000000">
        <w:rPr>
          <w:rtl w:val="0"/>
        </w:rPr>
        <w:t xml:space="preserve">wellq-partner-api-openapi.yaml — contrato OpenAPI 3.1 de la Partner API (58 operaciones).</w:t>
      </w:r>
    </w:p>
    <w:p w:rsidR="00000000" w:rsidDel="00000000" w:rsidP="00000000" w:rsidRDefault="00000000" w:rsidRPr="00000000" w14:paraId="00000057">
      <w:pPr>
        <w:numPr>
          <w:ilvl w:val="0"/>
          <w:numId w:val="18"/>
        </w:numPr>
        <w:spacing w:after="0" w:lineRule="auto"/>
        <w:ind w:left="720" w:hanging="360"/>
        <w:jc w:val="both"/>
        <w:rPr/>
      </w:pPr>
      <w:r w:rsidDel="00000000" w:rsidR="00000000" w:rsidRPr="00000000">
        <w:rPr>
          <w:rtl w:val="0"/>
        </w:rPr>
        <w:t xml:space="preserve">WellQ_Partner_API_Wearables_Analisis_y_Endpoints — análisis de wearables y endpoints.</w:t>
      </w:r>
    </w:p>
    <w:p w:rsidR="00000000" w:rsidDel="00000000" w:rsidP="00000000" w:rsidRDefault="00000000" w:rsidRPr="00000000" w14:paraId="00000058">
      <w:pPr>
        <w:numPr>
          <w:ilvl w:val="0"/>
          <w:numId w:val="18"/>
        </w:numPr>
        <w:spacing w:after="0" w:lineRule="auto"/>
        <w:ind w:left="720" w:hanging="360"/>
        <w:jc w:val="both"/>
        <w:rPr/>
      </w:pPr>
      <w:r w:rsidDel="00000000" w:rsidR="00000000" w:rsidRPr="00000000">
        <w:rPr>
          <w:rtl w:val="0"/>
        </w:rPr>
        <w:t xml:space="preserve">WellQ_Modelo_de_Datos — modelo de datos actual de la plataforma WellQ.</w:t>
      </w:r>
    </w:p>
    <w:p w:rsidR="00000000" w:rsidDel="00000000" w:rsidP="00000000" w:rsidRDefault="00000000" w:rsidRPr="00000000" w14:paraId="00000059">
      <w:pPr>
        <w:numPr>
          <w:ilvl w:val="0"/>
          <w:numId w:val="18"/>
        </w:numPr>
        <w:spacing w:after="0" w:lineRule="auto"/>
        <w:ind w:left="720" w:hanging="360"/>
        <w:jc w:val="both"/>
        <w:rPr/>
      </w:pPr>
      <w:r w:rsidDel="00000000" w:rsidR="00000000" w:rsidRPr="00000000">
        <w:rPr>
          <w:rtl w:val="0"/>
        </w:rPr>
        <w:t xml:space="preserve">wellq_cruce_frontend_mobile — cruce de cómo usan la API el frontend web y la app móvil.</w:t>
      </w:r>
    </w:p>
    <w:p w:rsidR="00000000" w:rsidDel="00000000" w:rsidP="00000000" w:rsidRDefault="00000000" w:rsidRPr="00000000" w14:paraId="0000005A">
      <w:pPr>
        <w:numPr>
          <w:ilvl w:val="0"/>
          <w:numId w:val="18"/>
        </w:numPr>
        <w:spacing w:after="0" w:lineRule="auto"/>
        <w:ind w:left="720" w:hanging="360"/>
        <w:jc w:val="both"/>
        <w:rPr/>
      </w:pPr>
      <w:r w:rsidDel="00000000" w:rsidR="00000000" w:rsidRPr="00000000">
        <w:rPr>
          <w:rtl w:val="0"/>
        </w:rPr>
        <w:t xml:space="preserve">Documentos de revisión (documentacion/revision): informe de revisión, catálogo de requisitos, registro de brechas, guía de integración, equivalencias Spike → WellQ y guía del piloto.</w:t>
      </w:r>
    </w:p>
    <w:p w:rsidR="00000000" w:rsidDel="00000000" w:rsidP="00000000" w:rsidRDefault="00000000" w:rsidRPr="00000000" w14:paraId="0000005B">
      <w:pPr>
        <w:numPr>
          <w:ilvl w:val="0"/>
          <w:numId w:val="18"/>
        </w:numPr>
        <w:ind w:left="720" w:hanging="360"/>
        <w:jc w:val="both"/>
        <w:rPr/>
      </w:pPr>
      <w:r w:rsidDel="00000000" w:rsidR="00000000" w:rsidRPr="00000000">
        <w:rPr>
          <w:rtl w:val="0"/>
        </w:rPr>
        <w:t xml:space="preserve">Especificaciones públicas: OAuth 2.0 (RFC 6749), JWT (RFC 7519), formato de errores RFC 9457, OpenAPI 3.1 y UK GDPR / guía de la ICO.</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2"/>
        <w:jc w:val="both"/>
        <w:rPr>
          <w:rFonts w:ascii="Calibri" w:cs="Calibri" w:eastAsia="Calibri" w:hAnsi="Calibri"/>
        </w:rPr>
      </w:pPr>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5E">
      <w:pPr>
        <w:ind w:firstLine="720"/>
        <w:jc w:val="both"/>
        <w:rPr>
          <w:b w:val="1"/>
          <w:bCs w:val="1"/>
          <w:sz w:val="28"/>
          <w:szCs w:val="28"/>
        </w:rPr>
      </w:pPr>
      <w:r w:rsidDel="00000000" w:rsidR="00000000" w:rsidRPr="00000000">
        <w:rPr>
          <w:rtl w:val="0"/>
        </w:rPr>
        <w:t xml:space="preserve">La sección 2 describe el sistema de forma general con la perspectiva del producto, características principales, perfiles de usuario, restricciones y supuestos. La sección 3 detalla los requisitos específicos: funcionalidades, mensajes y datos, documentación generada, interfaz, seguridad/cifrado, mantenimiento y entorno. Cada requisito funcional lleva ID, descripción, prioridad con criterio de aceptación.</w:t>
      </w:r>
      <w:r w:rsidDel="00000000" w:rsidR="00000000" w:rsidRPr="00000000">
        <w:rPr>
          <w:rtl w:val="0"/>
        </w:rPr>
      </w:r>
    </w:p>
    <w:p w:rsidR="00000000" w:rsidDel="00000000" w:rsidP="00000000" w:rsidRDefault="00000000" w:rsidRPr="00000000" w14:paraId="0000005F">
      <w:pPr>
        <w:pStyle w:val="Heading1"/>
        <w:jc w:val="both"/>
        <w:rPr>
          <w:rFonts w:ascii="Calibri" w:cs="Calibri" w:eastAsia="Calibri" w:hAnsi="Calibri"/>
        </w:rPr>
      </w:pPr>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60">
      <w:pPr>
        <w:pStyle w:val="Heading2"/>
        <w:jc w:val="both"/>
        <w:rPr>
          <w:rFonts w:ascii="Calibri" w:cs="Calibri" w:eastAsia="Calibri" w:hAnsi="Calibri"/>
        </w:rPr>
      </w:pPr>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61">
      <w:pPr>
        <w:ind w:firstLine="720"/>
        <w:jc w:val="both"/>
        <w:rPr/>
      </w:pPr>
      <w:r w:rsidDel="00000000" w:rsidR="00000000" w:rsidRPr="00000000">
        <w:rPr>
          <w:rtl w:val="0"/>
        </w:rPr>
        <w:t xml:space="preserve">WellQ Partner API cumple el rol que hoy cumple Spike, pero con otra lógica: en vez de que WellQ vaya a buscar los datos a un intermediario, cada fabricante de wearables envía los datos de sus usuarios directamente a WellQ. La plataforma (a) recibe los datos desde la nube del fabricante, (b) los revisa y los normaliza a un modelo común, (c) los pone a disposición de la app del paciente y del panel clínico y (d) avisa al fabricante de lo que ocurre (por ejemplo, si el paciente se desvincula). El valor central es eliminar la dependencia de Spike y tener control total sobre las credenciales, los permisos, el consentimiento del paciente y la auditoría.</w:t>
      </w:r>
    </w:p>
    <w:p w:rsidR="00000000" w:rsidDel="00000000" w:rsidP="00000000" w:rsidRDefault="00000000" w:rsidRPr="00000000" w14:paraId="00000062">
      <w:pPr>
        <w:spacing w:after="120" w:lineRule="auto"/>
        <w:ind w:firstLine="720"/>
        <w:jc w:val="both"/>
        <w:rPr/>
      </w:pPr>
      <w:r w:rsidDel="00000000" w:rsidR="00000000" w:rsidRPr="00000000">
        <w:rPr>
          <w:rtl w:val="0"/>
        </w:rPr>
        <w:t xml:space="preserve">La Partner API no es un servidor aparte: se agrega dentro del backend actual de WellQ, reutilizando su base de datos, su inicio de sesión y su panel clínico. Whoop, Garmin, Fitbit, Oura u otras marcas no se integran una por una; pasan a ser el origen del dato que envía cada fabricante.</w:t>
      </w:r>
    </w:p>
    <w:p w:rsidR="00000000" w:rsidDel="00000000" w:rsidP="00000000" w:rsidRDefault="00000000" w:rsidRPr="00000000" w14:paraId="00000063">
      <w:pPr>
        <w:spacing w:after="120" w:lineRule="auto"/>
        <w:ind w:firstLine="720"/>
        <w:jc w:val="both"/>
        <w:rPr/>
      </w:pPr>
      <w:r w:rsidDel="00000000" w:rsidR="00000000" w:rsidRPr="00000000">
        <w:rPr>
          <w:rtl w:val="0"/>
        </w:rPr>
        <w:t xml:space="preserve">Para esto se implementa el alta de fabricantes, la autenticación, la vinculación de pacientes con consentimiento, la recepción y normalización de datos, las consultas equivalentes a las de Spike (registros, sueño, entrenamientos, estadísticas diarias y por intervalo, y series de tiempo) y los avisos al fabricante. La app móvil deberá hacer algunos cambios para usar estas consultas en lugar de Spike.</w:t>
      </w:r>
    </w:p>
    <w:p w:rsidR="00000000" w:rsidDel="00000000" w:rsidP="00000000" w:rsidRDefault="00000000" w:rsidRPr="00000000" w14:paraId="00000064">
      <w:pPr>
        <w:pStyle w:val="Heading2"/>
        <w:jc w:val="both"/>
        <w:rPr>
          <w:rFonts w:ascii="Calibri" w:cs="Calibri" w:eastAsia="Calibri" w:hAnsi="Calibri"/>
        </w:rPr>
      </w:pPr>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65">
      <w:pPr>
        <w:ind w:firstLine="720"/>
        <w:jc w:val="both"/>
        <w:rPr/>
      </w:pPr>
      <w:r w:rsidDel="00000000" w:rsidR="00000000" w:rsidRPr="00000000">
        <w:rPr>
          <w:rtl w:val="0"/>
        </w:rPr>
        <w:t xml:space="preserve">El producto se organiza en cinco bloques:</w:t>
      </w:r>
    </w:p>
    <w:p w:rsidR="00000000" w:rsidDel="00000000" w:rsidP="00000000" w:rsidRDefault="00000000" w:rsidRPr="00000000" w14:paraId="00000066">
      <w:pPr>
        <w:numPr>
          <w:ilvl w:val="0"/>
          <w:numId w:val="5"/>
        </w:numPr>
        <w:spacing w:after="0" w:lineRule="auto"/>
        <w:ind w:left="720" w:hanging="360"/>
        <w:jc w:val="both"/>
        <w:rPr/>
      </w:pPr>
      <w:r w:rsidDel="00000000" w:rsidR="00000000" w:rsidRPr="00000000">
        <w:rPr>
          <w:rtl w:val="0"/>
        </w:rPr>
        <w:t xml:space="preserve">Alta de fabricantes (onboarding): el fabricante se registra, verifica su correo, crea apps, declara sus modelos de dispositivo, prueba en sandbox y pide pasar a producción.</w:t>
      </w:r>
    </w:p>
    <w:p w:rsidR="00000000" w:rsidDel="00000000" w:rsidP="00000000" w:rsidRDefault="00000000" w:rsidRPr="00000000" w14:paraId="00000067">
      <w:pPr>
        <w:numPr>
          <w:ilvl w:val="0"/>
          <w:numId w:val="5"/>
        </w:numPr>
        <w:spacing w:after="0" w:lineRule="auto"/>
        <w:ind w:left="720" w:hanging="360"/>
        <w:jc w:val="both"/>
        <w:rPr/>
      </w:pPr>
      <w:r w:rsidDel="00000000" w:rsidR="00000000" w:rsidRPr="00000000">
        <w:rPr>
          <w:rtl w:val="0"/>
        </w:rPr>
        <w:t xml:space="preserve">Vinculación y consentimiento: el paciente genera en la app WellQ un código de emparejamiento de un solo uso, acepta el consentimiento y el fabricante canjea ese código.</w:t>
      </w:r>
    </w:p>
    <w:p w:rsidR="00000000" w:rsidDel="00000000" w:rsidP="00000000" w:rsidRDefault="00000000" w:rsidRPr="00000000" w14:paraId="00000068">
      <w:pPr>
        <w:numPr>
          <w:ilvl w:val="0"/>
          <w:numId w:val="5"/>
        </w:numPr>
        <w:ind w:left="720" w:hanging="360"/>
        <w:jc w:val="both"/>
        <w:rPr/>
      </w:pPr>
      <w:r w:rsidDel="00000000" w:rsidR="00000000" w:rsidRPr="00000000">
        <w:rPr>
          <w:rtl w:val="0"/>
        </w:rPr>
        <w:t xml:space="preserve">Recepción de datos: el fabricante envía resúmenes diarios, series, sesiones, mediciones musculoesqueléticas y eventos del dispositivo; WellQ los revisa, normaliza y guarda.</w:t>
      </w:r>
    </w:p>
    <w:p w:rsidR="00000000" w:rsidDel="00000000" w:rsidP="00000000" w:rsidRDefault="00000000" w:rsidRPr="00000000" w14:paraId="00000069">
      <w:pPr>
        <w:numPr>
          <w:ilvl w:val="0"/>
          <w:numId w:val="5"/>
        </w:numPr>
        <w:ind w:left="720" w:hanging="360"/>
        <w:jc w:val="both"/>
        <w:rPr/>
      </w:pPr>
      <w:r w:rsidDel="00000000" w:rsidR="00000000" w:rsidRPr="00000000">
        <w:rPr>
          <w:rtl w:val="0"/>
        </w:rPr>
        <w:t xml:space="preserve">Consulta de datos: la app del paciente y el panel clínico leen los datos con consultas equivalentes a las de Spike; el fabricante puede leer objetivos y puntuaciones si el paciente lo autorizó.</w:t>
      </w:r>
    </w:p>
    <w:p w:rsidR="00000000" w:rsidDel="00000000" w:rsidP="00000000" w:rsidRDefault="00000000" w:rsidRPr="00000000" w14:paraId="0000006A">
      <w:pPr>
        <w:numPr>
          <w:ilvl w:val="0"/>
          <w:numId w:val="5"/>
        </w:numPr>
        <w:ind w:left="720" w:hanging="360"/>
        <w:jc w:val="both"/>
        <w:rPr/>
      </w:pPr>
      <w:r w:rsidDel="00000000" w:rsidR="00000000" w:rsidRPr="00000000">
        <w:rPr>
          <w:rtl w:val="0"/>
        </w:rPr>
        <w:t xml:space="preserve">Gobernanza: avisos al fabricante (webhooks), aprobación de fabricantes por WellQ, rotación de secretos, auditoría y borrado de datos cuando el paciente lo pide.</w:t>
      </w:r>
    </w:p>
    <w:p w:rsidR="00000000" w:rsidDel="00000000" w:rsidP="00000000" w:rsidRDefault="00000000" w:rsidRPr="00000000" w14:paraId="0000006B">
      <w:pPr>
        <w:ind w:firstLine="720"/>
        <w:jc w:val="both"/>
        <w:rPr/>
      </w:pPr>
      <w:r w:rsidDel="00000000" w:rsidR="00000000" w:rsidRPr="00000000">
        <w:rPr>
          <w:rtl w:val="0"/>
        </w:rPr>
        <w:t xml:space="preserve">Cada bloque se descompone en requisitos funcionales individuales en la sección 3.2.</w:t>
      </w:r>
    </w:p>
    <w:p w:rsidR="00000000" w:rsidDel="00000000" w:rsidP="00000000" w:rsidRDefault="00000000" w:rsidRPr="00000000" w14:paraId="0000006C">
      <w:pPr>
        <w:pStyle w:val="Heading2"/>
        <w:jc w:val="both"/>
        <w:rPr>
          <w:rFonts w:ascii="Calibri" w:cs="Calibri" w:eastAsia="Calibri" w:hAnsi="Calibri"/>
        </w:rPr>
      </w:pPr>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6D">
      <w:pPr>
        <w:ind w:firstLine="720"/>
        <w:jc w:val="both"/>
        <w:rPr/>
      </w:pPr>
      <w:r w:rsidDel="00000000" w:rsidR="00000000" w:rsidRPr="00000000">
        <w:rPr>
          <w:rtl w:val="0"/>
        </w:rPr>
        <w:t xml:space="preserve">El sistema atiende a cuatro perfiles:</w:t>
      </w:r>
    </w:p>
    <w:p w:rsidR="00000000" w:rsidDel="00000000" w:rsidP="00000000" w:rsidRDefault="00000000" w:rsidRPr="00000000" w14:paraId="0000006E">
      <w:pPr>
        <w:numPr>
          <w:ilvl w:val="0"/>
          <w:numId w:val="17"/>
        </w:numPr>
        <w:spacing w:after="0" w:lineRule="auto"/>
        <w:ind w:left="720" w:hanging="360"/>
        <w:jc w:val="both"/>
        <w:rPr/>
      </w:pPr>
      <w:r w:rsidDel="00000000" w:rsidR="00000000" w:rsidRPr="00000000">
        <w:rPr>
          <w:rtl w:val="0"/>
        </w:rPr>
        <w:t xml:space="preserve">Paciente (vía app WellQ): inicia sesión como siempre en la app, genera el código de emparejamiento, acepta el consentimiento, ve sus dispositivos conectados, puede retirar permisos o desvincularse (con la opción de borrar sus datos) y consulta sus datos.</w:t>
      </w:r>
    </w:p>
    <w:p w:rsidR="00000000" w:rsidDel="00000000" w:rsidP="00000000" w:rsidRDefault="00000000" w:rsidRPr="00000000" w14:paraId="0000006F">
      <w:pPr>
        <w:numPr>
          <w:ilvl w:val="0"/>
          <w:numId w:val="17"/>
        </w:numPr>
        <w:spacing w:after="0" w:lineRule="auto"/>
        <w:ind w:left="720" w:hanging="360"/>
        <w:jc w:val="both"/>
        <w:rPr/>
      </w:pPr>
      <w:r w:rsidDel="00000000" w:rsidR="00000000" w:rsidRPr="00000000">
        <w:rPr>
          <w:rtl w:val="0"/>
        </w:rPr>
        <w:t xml:space="preserve">Fabricante / Proveedor: se registra, gestiona sus apps, permisos (scopes), modelos de dispositivo, webhooks y solicitudes de paso a producción, y envía los datos de los pacientes vinculados.</w:t>
      </w:r>
    </w:p>
    <w:p w:rsidR="00000000" w:rsidDel="00000000" w:rsidP="00000000" w:rsidRDefault="00000000" w:rsidRPr="00000000" w14:paraId="00000070">
      <w:pPr>
        <w:numPr>
          <w:ilvl w:val="0"/>
          <w:numId w:val="17"/>
        </w:numPr>
        <w:ind w:left="720" w:hanging="360"/>
        <w:jc w:val="both"/>
        <w:rPr/>
      </w:pPr>
      <w:r w:rsidDel="00000000" w:rsidR="00000000" w:rsidRPr="00000000">
        <w:rPr>
          <w:rtl w:val="0"/>
        </w:rPr>
        <w:t xml:space="preserve">Equipo WellQ (administración): aprueba o rechaza las solicitudes de paso a producción y puede suspender o reactivar una app. Solo puede hacerlo el personal autorizado de WellQ.</w:t>
      </w:r>
    </w:p>
    <w:p w:rsidR="00000000" w:rsidDel="00000000" w:rsidP="00000000" w:rsidRDefault="00000000" w:rsidRPr="00000000" w14:paraId="00000071">
      <w:pPr>
        <w:numPr>
          <w:ilvl w:val="0"/>
          <w:numId w:val="17"/>
        </w:numPr>
        <w:ind w:left="720" w:hanging="360"/>
        <w:jc w:val="both"/>
        <w:rPr/>
      </w:pPr>
      <w:r w:rsidDel="00000000" w:rsidR="00000000" w:rsidRPr="00000000">
        <w:rPr>
          <w:rtl w:val="0"/>
        </w:rPr>
        <w:t xml:space="preserve">Clínico (médico o fisioterapeuta, vía panel web): ve los dispositivos conectados y los datos de sus pacientes asignados, y puede ajustar cada cuánto se envían los datos de un paciente.</w:t>
      </w:r>
    </w:p>
    <w:p w:rsidR="00000000" w:rsidDel="00000000" w:rsidP="00000000" w:rsidRDefault="00000000" w:rsidRPr="00000000" w14:paraId="00000072">
      <w:pPr>
        <w:pStyle w:val="Heading2"/>
        <w:jc w:val="both"/>
        <w:rPr>
          <w:rFonts w:ascii="Calibri" w:cs="Calibri" w:eastAsia="Calibri" w:hAnsi="Calibri"/>
        </w:rPr>
      </w:pPr>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73">
      <w:pPr>
        <w:numPr>
          <w:ilvl w:val="0"/>
          <w:numId w:val="6"/>
        </w:numPr>
        <w:spacing w:after="0" w:lineRule="auto"/>
        <w:ind w:left="720" w:hanging="360"/>
        <w:jc w:val="both"/>
        <w:rPr/>
      </w:pPr>
      <w:r w:rsidDel="00000000" w:rsidR="00000000" w:rsidRPr="00000000">
        <w:rPr>
          <w:b w:val="1"/>
          <w:bCs w:val="1"/>
          <w:rtl w:val="0"/>
        </w:rPr>
        <w:t xml:space="preserve">Tiempo: Se contemplan 14 semanas (del 28 de agosto al 3 de diciembre de 2026) para el desarrollo del proyecto, desde el desarrollo de la documentación inicial hasta la entrega del producto final. Esto limita la cantidad de funciones que se puede implementar.</w:t>
        <w:tab/>
        <w:tab/>
        <w:tab/>
        <w:tab/>
        <w:tab/>
      </w:r>
      <w:r w:rsidDel="00000000" w:rsidR="00000000" w:rsidRPr="00000000">
        <w:rPr>
          <w:rtl w:val="0"/>
        </w:rPr>
      </w:r>
    </w:p>
    <w:p w:rsidR="00000000" w:rsidDel="00000000" w:rsidP="00000000" w:rsidRDefault="00000000" w:rsidRPr="00000000" w14:paraId="00000074">
      <w:pPr>
        <w:numPr>
          <w:ilvl w:val="0"/>
          <w:numId w:val="6"/>
        </w:numPr>
        <w:ind w:left="720" w:hanging="360"/>
        <w:jc w:val="both"/>
        <w:rPr/>
      </w:pPr>
      <w:r w:rsidDel="00000000" w:rsidR="00000000" w:rsidRPr="00000000">
        <w:rPr>
          <w:b w:val="1"/>
          <w:bCs w:val="1"/>
          <w:rtl w:val="0"/>
        </w:rPr>
        <w:t xml:space="preserve">Alcance:</w:t>
      </w:r>
      <w:r w:rsidDel="00000000" w:rsidR="00000000" w:rsidRPr="00000000">
        <w:rPr>
          <w:rtl w:val="0"/>
        </w:rPr>
        <w:t xml:space="preserve">  El alcance está acotado gracias a ciertas decisiones de diseño acordadas (push server-to-server, código de emparejamiento de un solo uso, diseño genérico para cualquier fabricante, cumplir con UK GDPR, etc.) dentro de las cuales se tiene que construir el producto.</w:t>
        <w:tab/>
        <w:tab/>
        <w:tab/>
        <w:tab/>
        <w:tab/>
        <w:tab/>
      </w:r>
    </w:p>
    <w:p w:rsidR="00000000" w:rsidDel="00000000" w:rsidP="00000000" w:rsidRDefault="00000000" w:rsidRPr="00000000" w14:paraId="00000075">
      <w:pPr>
        <w:pStyle w:val="Heading2"/>
        <w:jc w:val="both"/>
        <w:rPr>
          <w:rFonts w:ascii="Calibri" w:cs="Calibri" w:eastAsia="Calibri" w:hAnsi="Calibri"/>
        </w:rPr>
      </w:pPr>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76">
      <w:pPr>
        <w:numPr>
          <w:ilvl w:val="0"/>
          <w:numId w:val="13"/>
        </w:numPr>
        <w:spacing w:after="0" w:lineRule="auto"/>
        <w:ind w:left="720" w:hanging="360"/>
        <w:jc w:val="both"/>
        <w:rPr/>
      </w:pPr>
      <w:r w:rsidDel="00000000" w:rsidR="00000000" w:rsidRPr="00000000">
        <w:rPr>
          <w:rtl w:val="0"/>
        </w:rPr>
        <w:t xml:space="preserve">Comunicación disponible con los stakeholders (Karina y Max)</w:t>
        <w:tab/>
        <w:tab/>
        <w:tab/>
        <w:tab/>
      </w:r>
    </w:p>
    <w:p w:rsidR="00000000" w:rsidDel="00000000" w:rsidP="00000000" w:rsidRDefault="00000000" w:rsidRPr="00000000" w14:paraId="00000077">
      <w:pPr>
        <w:numPr>
          <w:ilvl w:val="0"/>
          <w:numId w:val="13"/>
        </w:numPr>
        <w:spacing w:after="0" w:lineRule="auto"/>
        <w:ind w:left="720" w:hanging="360"/>
        <w:jc w:val="both"/>
        <w:rPr/>
      </w:pPr>
      <w:r w:rsidDel="00000000" w:rsidR="00000000" w:rsidRPr="00000000">
        <w:rPr>
          <w:rtl w:val="0"/>
        </w:rPr>
        <w:t xml:space="preserve">Documentación de ayuda proporcionada por Alloxentric</w:t>
        <w:tab/>
        <w:tab/>
        <w:tab/>
        <w:tab/>
        <w:tab/>
      </w:r>
    </w:p>
    <w:p w:rsidR="00000000" w:rsidDel="00000000" w:rsidP="00000000" w:rsidRDefault="00000000" w:rsidRPr="00000000" w14:paraId="00000078">
      <w:pPr>
        <w:numPr>
          <w:ilvl w:val="0"/>
          <w:numId w:val="13"/>
        </w:numPr>
        <w:ind w:left="720" w:hanging="360"/>
        <w:jc w:val="both"/>
        <w:rPr/>
      </w:pPr>
      <w:r w:rsidDel="00000000" w:rsidR="00000000" w:rsidRPr="00000000">
        <w:rPr>
          <w:rtl w:val="0"/>
        </w:rPr>
        <w:t xml:space="preserve">Equipos e internet disponibles para la realización del proyecto</w:t>
        <w:tab/>
        <w:tab/>
        <w:tab/>
        <w:tab/>
      </w:r>
    </w:p>
    <w:p w:rsidR="00000000" w:rsidDel="00000000" w:rsidP="00000000" w:rsidRDefault="00000000" w:rsidRPr="00000000" w14:paraId="00000079">
      <w:pPr>
        <w:numPr>
          <w:ilvl w:val="0"/>
          <w:numId w:val="13"/>
        </w:numPr>
        <w:ind w:left="720" w:hanging="360"/>
        <w:jc w:val="both"/>
        <w:rPr/>
      </w:pPr>
      <w:r w:rsidDel="00000000" w:rsidR="00000000" w:rsidRPr="00000000">
        <w:rPr>
          <w:rtl w:val="0"/>
        </w:rPr>
        <w:t xml:space="preserve">Disponibilidad de un fabricante dispuesto a participar en un piloto (se propuso Hytro).</w:t>
      </w:r>
    </w:p>
    <w:p w:rsidR="00000000" w:rsidDel="00000000" w:rsidP="00000000" w:rsidRDefault="00000000" w:rsidRPr="00000000" w14:paraId="0000007A">
      <w:pPr>
        <w:numPr>
          <w:ilvl w:val="0"/>
          <w:numId w:val="13"/>
        </w:numPr>
        <w:ind w:left="720" w:hanging="360"/>
        <w:jc w:val="both"/>
        <w:rPr/>
      </w:pPr>
      <w:r w:rsidDel="00000000" w:rsidR="00000000" w:rsidRPr="00000000">
        <w:rPr>
          <w:rtl w:val="0"/>
        </w:rPr>
        <w:t xml:space="preserve">Acceso al código de la plataforma WellQ (wellq-app-main) para integrar la API.</w:t>
      </w:r>
    </w:p>
    <w:p w:rsidR="00000000" w:rsidDel="00000000" w:rsidP="00000000" w:rsidRDefault="00000000" w:rsidRPr="00000000" w14:paraId="0000007B">
      <w:pPr>
        <w:numPr>
          <w:ilvl w:val="0"/>
          <w:numId w:val="13"/>
        </w:numPr>
        <w:ind w:left="720" w:hanging="360"/>
        <w:jc w:val="both"/>
        <w:rPr/>
      </w:pPr>
      <w:r w:rsidDel="00000000" w:rsidR="00000000" w:rsidRPr="00000000">
        <w:rPr>
          <w:rtl w:val="0"/>
        </w:rPr>
        <w:t xml:space="preserve">Un entorno de pruebas con MongoDB y Redis reales para medir el rendimiento y validar los índices.</w:t>
      </w:r>
    </w:p>
    <w:p w:rsidR="00000000" w:rsidDel="00000000" w:rsidP="00000000" w:rsidRDefault="00000000" w:rsidRPr="00000000" w14:paraId="0000007C">
      <w:pPr>
        <w:pStyle w:val="Heading2"/>
        <w:jc w:val="both"/>
        <w:rPr>
          <w:rFonts w:ascii="Calibri" w:cs="Calibri" w:eastAsia="Calibri" w:hAnsi="Calibri"/>
        </w:rPr>
      </w:pPr>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7D">
      <w:pPr>
        <w:numPr>
          <w:ilvl w:val="0"/>
          <w:numId w:val="15"/>
        </w:numPr>
        <w:spacing w:after="0" w:lineRule="auto"/>
        <w:ind w:left="720" w:hanging="360"/>
        <w:jc w:val="both"/>
        <w:rPr/>
      </w:pPr>
      <w:r w:rsidDel="00000000" w:rsidR="00000000" w:rsidRPr="00000000">
        <w:rPr>
          <w:rtl w:val="0"/>
        </w:rPr>
        <w:t xml:space="preserve">Métricas adicionales más allá del set inicial.</w:t>
      </w:r>
    </w:p>
    <w:p w:rsidR="00000000" w:rsidDel="00000000" w:rsidP="00000000" w:rsidRDefault="00000000" w:rsidRPr="00000000" w14:paraId="0000007E">
      <w:pPr>
        <w:numPr>
          <w:ilvl w:val="0"/>
          <w:numId w:val="15"/>
        </w:numPr>
        <w:spacing w:after="0" w:lineRule="auto"/>
        <w:ind w:left="720" w:hanging="360"/>
        <w:jc w:val="both"/>
        <w:rPr/>
      </w:pPr>
      <w:r w:rsidDel="00000000" w:rsidR="00000000" w:rsidRPr="00000000">
        <w:rPr>
          <w:rtl w:val="0"/>
        </w:rPr>
        <w:t xml:space="preserve">Vista de las mediciones musculoesqueléticas en el panel clínico y su uso en los indicadores de músculo, articulación y hueso.</w:t>
      </w:r>
    </w:p>
    <w:p w:rsidR="00000000" w:rsidDel="00000000" w:rsidP="00000000" w:rsidRDefault="00000000" w:rsidRPr="00000000" w14:paraId="0000007F">
      <w:pPr>
        <w:numPr>
          <w:ilvl w:val="0"/>
          <w:numId w:val="15"/>
        </w:numPr>
        <w:spacing w:after="0" w:lineRule="auto"/>
        <w:ind w:left="720" w:hanging="360"/>
        <w:jc w:val="both"/>
        <w:rPr/>
      </w:pPr>
      <w:r w:rsidDel="00000000" w:rsidR="00000000" w:rsidRPr="00000000">
        <w:rPr>
          <w:rtl w:val="0"/>
        </w:rPr>
        <w:t xml:space="preserve">Corrección de la fecha del sueño en las vistas actuales cuando el paciente no está en horario UTC.</w:t>
      </w:r>
    </w:p>
    <w:p w:rsidR="00000000" w:rsidDel="00000000" w:rsidP="00000000" w:rsidRDefault="00000000" w:rsidRPr="00000000" w14:paraId="00000080">
      <w:pPr>
        <w:numPr>
          <w:ilvl w:val="0"/>
          <w:numId w:val="15"/>
        </w:numPr>
        <w:spacing w:after="0" w:lineRule="auto"/>
        <w:ind w:left="720" w:hanging="360"/>
        <w:jc w:val="both"/>
        <w:rPr/>
      </w:pPr>
      <w:r w:rsidDel="00000000" w:rsidR="00000000" w:rsidRPr="00000000">
        <w:rPr>
          <w:rtl w:val="0"/>
        </w:rPr>
        <w:t xml:space="preserve">Consultas de detalle por identificador (un registro, un sueño o un entrenamiento concreto), que Spike ofrece y que no se implementaron.</w:t>
      </w:r>
    </w:p>
    <w:p w:rsidR="00000000" w:rsidDel="00000000" w:rsidP="00000000" w:rsidRDefault="00000000" w:rsidRPr="00000000" w14:paraId="00000081">
      <w:pPr>
        <w:numPr>
          <w:ilvl w:val="0"/>
          <w:numId w:val="15"/>
        </w:numPr>
        <w:spacing w:after="0" w:lineRule="auto"/>
        <w:ind w:left="720" w:hanging="360"/>
        <w:jc w:val="both"/>
        <w:rPr/>
      </w:pPr>
      <w:r w:rsidDel="00000000" w:rsidR="00000000" w:rsidRPr="00000000">
        <w:rPr>
          <w:rtl w:val="0"/>
        </w:rPr>
        <w:t xml:space="preserve">Panel de costes y uso por fabricante, si Alloxentric lo confirma como necesidad.</w:t>
      </w:r>
    </w:p>
    <w:p w:rsidR="00000000" w:rsidDel="00000000" w:rsidP="00000000" w:rsidRDefault="00000000" w:rsidRPr="00000000" w14:paraId="00000082">
      <w:pPr>
        <w:spacing w:after="0" w:lineRule="auto"/>
        <w:jc w:val="both"/>
        <w:rPr/>
      </w:pPr>
      <w:r w:rsidDel="00000000" w:rsidR="00000000" w:rsidRPr="00000000">
        <w:rPr>
          <w:rtl w:val="0"/>
        </w:rPr>
      </w:r>
    </w:p>
    <w:p w:rsidR="00000000" w:rsidDel="00000000" w:rsidP="00000000" w:rsidRDefault="00000000" w:rsidRPr="00000000" w14:paraId="00000083">
      <w:pPr>
        <w:spacing w:after="0" w:lineRule="auto"/>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 </w:t>
      </w:r>
    </w:p>
    <w:p w:rsidR="00000000" w:rsidDel="00000000" w:rsidP="00000000" w:rsidRDefault="00000000" w:rsidRPr="00000000" w14:paraId="00000085">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jc w:val="both"/>
        <w:rPr>
          <w:rFonts w:ascii="Calibri" w:cs="Calibri" w:eastAsia="Calibri" w:hAnsi="Calibri"/>
        </w:rPr>
      </w:pPr>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87">
      <w:pPr>
        <w:spacing w:after="120" w:lineRule="auto"/>
        <w:ind w:firstLine="720"/>
        <w:rPr/>
      </w:pPr>
      <w:r w:rsidDel="00000000" w:rsidR="00000000" w:rsidRPr="00000000">
        <w:rPr>
          <w:rtl w:val="0"/>
        </w:rPr>
        <w:t xml:space="preserve">En esta sección se detallan las interfaces del sistema (3.1), los requisitos funcionales (3.2), los no funcionales (3.3) y otros requisitos (3.4).</w:t>
      </w:r>
    </w:p>
    <w:p w:rsidR="00000000" w:rsidDel="00000000" w:rsidP="00000000" w:rsidRDefault="00000000" w:rsidRPr="00000000" w14:paraId="00000088">
      <w:pPr>
        <w:rPr>
          <w:color w:val="ff0000"/>
        </w:rPr>
      </w:pPr>
      <w:r w:rsidDel="00000000" w:rsidR="00000000" w:rsidRPr="00000000">
        <w:rPr>
          <w:rtl w:val="0"/>
        </w:rPr>
      </w:r>
    </w:p>
    <w:p w:rsidR="00000000" w:rsidDel="00000000" w:rsidP="00000000" w:rsidRDefault="00000000" w:rsidRPr="00000000" w14:paraId="00000089">
      <w:pPr>
        <w:pStyle w:val="Heading2"/>
        <w:jc w:val="both"/>
        <w:rPr>
          <w:rFonts w:ascii="Calibri" w:cs="Calibri" w:eastAsia="Calibri" w:hAnsi="Calibri"/>
        </w:rPr>
      </w:pPr>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8A">
      <w:pPr>
        <w:pStyle w:val="Heading3"/>
        <w:jc w:val="both"/>
        <w:rPr>
          <w:rFonts w:ascii="Calibri" w:cs="Calibri" w:eastAsia="Calibri" w:hAnsi="Calibri"/>
        </w:rPr>
      </w:pPr>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8B">
      <w:pPr>
        <w:ind w:firstLine="720"/>
        <w:jc w:val="both"/>
        <w:rPr/>
      </w:pPr>
      <w:r w:rsidDel="00000000" w:rsidR="00000000" w:rsidRPr="00000000">
        <w:rPr>
          <w:rtl w:val="0"/>
        </w:rPr>
        <w:t xml:space="preserve">La plataforma se usa desde distintos frentes. Los pacientes la usan a través de la app WellQ, que necesitará algunas pantallas nuevas (conectar dispositivo, ver mis dispositivos y aceptar el consentimiento). Los usuarios acceden así:</w:t>
      </w:r>
    </w:p>
    <w:p w:rsidR="00000000" w:rsidDel="00000000" w:rsidP="00000000" w:rsidRDefault="00000000" w:rsidRPr="00000000" w14:paraId="0000008C">
      <w:pPr>
        <w:numPr>
          <w:ilvl w:val="0"/>
          <w:numId w:val="2"/>
        </w:numPr>
        <w:spacing w:after="0" w:lineRule="auto"/>
        <w:ind w:left="720" w:hanging="360"/>
        <w:jc w:val="both"/>
        <w:rPr/>
      </w:pPr>
      <w:r w:rsidDel="00000000" w:rsidR="00000000" w:rsidRPr="00000000">
        <w:rPr>
          <w:rtl w:val="0"/>
        </w:rPr>
        <w:t xml:space="preserve">El paciente, vía la app WellQ (consulta de sus datos y gestión de sus dispositivos).</w:t>
      </w:r>
    </w:p>
    <w:p w:rsidR="00000000" w:rsidDel="00000000" w:rsidP="00000000" w:rsidRDefault="00000000" w:rsidRPr="00000000" w14:paraId="0000008D">
      <w:pPr>
        <w:numPr>
          <w:ilvl w:val="0"/>
          <w:numId w:val="2"/>
        </w:numPr>
        <w:spacing w:after="0" w:lineRule="auto"/>
        <w:ind w:left="720" w:hanging="360"/>
        <w:jc w:val="both"/>
        <w:rPr/>
      </w:pPr>
      <w:r w:rsidDel="00000000" w:rsidR="00000000" w:rsidRPr="00000000">
        <w:rPr>
          <w:rtl w:val="0"/>
        </w:rPr>
        <w:t xml:space="preserve">El clínico, vía el panel web de WellQ, en la ficha del paciente (sección de dispositivos conectados).</w:t>
      </w:r>
    </w:p>
    <w:p w:rsidR="00000000" w:rsidDel="00000000" w:rsidP="00000000" w:rsidRDefault="00000000" w:rsidRPr="00000000" w14:paraId="0000008E">
      <w:pPr>
        <w:numPr>
          <w:ilvl w:val="0"/>
          <w:numId w:val="2"/>
        </w:numPr>
        <w:spacing w:after="0" w:lineRule="auto"/>
        <w:ind w:left="720" w:hanging="360"/>
        <w:jc w:val="both"/>
        <w:rPr/>
      </w:pPr>
      <w:r w:rsidDel="00000000" w:rsidR="00000000" w:rsidRPr="00000000">
        <w:rPr>
          <w:rtl w:val="0"/>
        </w:rPr>
        <w:t xml:space="preserve">El fabricante, vía el alta autoservicio (API) y, en desarrollo, una interfaz de prueba que recorre todo el flujo.</w:t>
      </w:r>
    </w:p>
    <w:p w:rsidR="00000000" w:rsidDel="00000000" w:rsidP="00000000" w:rsidRDefault="00000000" w:rsidRPr="00000000" w14:paraId="0000008F">
      <w:pPr>
        <w:numPr>
          <w:ilvl w:val="0"/>
          <w:numId w:val="2"/>
        </w:numPr>
        <w:ind w:left="720" w:hanging="360"/>
        <w:jc w:val="both"/>
        <w:rPr/>
      </w:pPr>
      <w:r w:rsidDel="00000000" w:rsidR="00000000" w:rsidRPr="00000000">
        <w:rPr>
          <w:rtl w:val="0"/>
        </w:rPr>
        <w:t xml:space="preserve">El equipo WellQ, vía los endpoints de administración (aprobar, rechazar, suspender o reactivar fabricantes).</w:t>
      </w:r>
    </w:p>
    <w:p w:rsidR="00000000" w:rsidDel="00000000" w:rsidP="00000000" w:rsidRDefault="00000000" w:rsidRPr="00000000" w14:paraId="00000090">
      <w:pPr>
        <w:jc w:val="both"/>
        <w:rPr>
          <w:color w:val="ff0000"/>
        </w:rPr>
      </w:pPr>
      <w:r w:rsidDel="00000000" w:rsidR="00000000" w:rsidRPr="00000000">
        <w:rPr>
          <w:rtl w:val="0"/>
        </w:rPr>
      </w:r>
    </w:p>
    <w:p w:rsidR="00000000" w:rsidDel="00000000" w:rsidP="00000000" w:rsidRDefault="00000000" w:rsidRPr="00000000" w14:paraId="00000091">
      <w:pPr>
        <w:jc w:val="both"/>
        <w:rPr>
          <w:color w:val="ff0000"/>
        </w:rPr>
      </w:pPr>
      <w:r w:rsidDel="00000000" w:rsidR="00000000" w:rsidRPr="00000000">
        <w:rPr>
          <w:rtl w:val="0"/>
        </w:rPr>
      </w:r>
    </w:p>
    <w:p w:rsidR="00000000" w:rsidDel="00000000" w:rsidP="00000000" w:rsidRDefault="00000000" w:rsidRPr="00000000" w14:paraId="00000092">
      <w:pPr>
        <w:pStyle w:val="Heading3"/>
        <w:jc w:val="both"/>
        <w:rPr>
          <w:rFonts w:ascii="Calibri" w:cs="Calibri" w:eastAsia="Calibri" w:hAnsi="Calibri"/>
        </w:rPr>
      </w:pPr>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93">
      <w:pPr>
        <w:ind w:firstLine="720"/>
        <w:jc w:val="both"/>
        <w:rPr/>
      </w:pPr>
      <w:r w:rsidDel="00000000" w:rsidR="00000000" w:rsidRPr="00000000">
        <w:rPr>
          <w:rtl w:val="0"/>
        </w:rPr>
        <w:t xml:space="preserve">La plataforma no se conecta físicamente a ningún sensor ni a la nube de los fabricantes: es el fabricante quien envía a WellQ los datos de sus dispositivos desde su propia nube. El diseño sirve para cualquier tipo de wearable (relojes, pulseras, anillos, bandas de pecho, parches, plantillas o básculas); el primer fabricante previsto para el piloto es Hytro.</w:t>
      </w:r>
    </w:p>
    <w:p w:rsidR="00000000" w:rsidDel="00000000" w:rsidP="00000000" w:rsidRDefault="00000000" w:rsidRPr="00000000" w14:paraId="00000094">
      <w:pPr>
        <w:spacing w:after="120" w:lineRule="auto"/>
        <w:ind w:firstLine="720"/>
        <w:rPr/>
      </w:pPr>
      <w:r w:rsidDel="00000000" w:rsidR="00000000" w:rsidRPr="00000000">
        <w:rPr>
          <w:rtl w:val="0"/>
        </w:rPr>
      </w:r>
    </w:p>
    <w:sdt>
      <w:sdtPr>
        <w:lock w:val="contentLocked"/>
        <w:id w:val="-87425048"/>
        <w:tag w:val="goog_rdk_0"/>
      </w:sdtPr>
      <w:sdtContent>
        <w:tbl>
          <w:tblPr>
            <w:tblStyle w:val="Table5"/>
            <w:tblW w:w="823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1515"/>
            <w:gridCol w:w="2610"/>
            <w:gridCol w:w="2460"/>
            <w:tblGridChange w:id="0">
              <w:tblGrid>
                <w:gridCol w:w="1650"/>
                <w:gridCol w:w="1515"/>
                <w:gridCol w:w="2610"/>
                <w:gridCol w:w="2460"/>
              </w:tblGrid>
            </w:tblGridChange>
          </w:tblGrid>
          <w:tr>
            <w:trPr>
              <w:cantSplit w:val="0"/>
              <w:tblHeader w:val="0"/>
            </w:trPr>
            <w:tc>
              <w:tcPr>
                <w:shd w:fill="1f3b5c" w:val="clear"/>
              </w:tcPr>
              <w:p w:rsidR="00000000" w:rsidDel="00000000" w:rsidP="00000000" w:rsidRDefault="00000000" w:rsidRPr="00000000" w14:paraId="00000095">
                <w:pPr>
                  <w:rPr/>
                </w:pPr>
                <w:r w:rsidDel="00000000" w:rsidR="00000000" w:rsidRPr="00000000">
                  <w:rPr>
                    <w:b w:val="1"/>
                    <w:bCs w:val="1"/>
                    <w:color w:val="ffffff"/>
                    <w:sz w:val="19"/>
                    <w:szCs w:val="19"/>
                    <w:rtl w:val="0"/>
                  </w:rPr>
                  <w:t xml:space="preserve">Interfaz</w:t>
                </w:r>
                <w:r w:rsidDel="00000000" w:rsidR="00000000" w:rsidRPr="00000000">
                  <w:rPr>
                    <w:rtl w:val="0"/>
                  </w:rPr>
                </w:r>
              </w:p>
            </w:tc>
            <w:tc>
              <w:tcPr>
                <w:shd w:fill="1f3b5c" w:val="clear"/>
              </w:tcPr>
              <w:p w:rsidR="00000000" w:rsidDel="00000000" w:rsidP="00000000" w:rsidRDefault="00000000" w:rsidRPr="00000000" w14:paraId="00000096">
                <w:pPr>
                  <w:rPr>
                    <w:color w:val="ffffff"/>
                  </w:rPr>
                </w:pPr>
                <w:r w:rsidDel="00000000" w:rsidR="00000000" w:rsidRPr="00000000">
                  <w:rPr>
                    <w:b w:val="1"/>
                    <w:bCs w:val="1"/>
                    <w:color w:val="ffffff"/>
                    <w:sz w:val="19"/>
                    <w:szCs w:val="19"/>
                    <w:rtl w:val="0"/>
                  </w:rPr>
                  <w:t xml:space="preserve">Medio</w:t>
                </w:r>
                <w:r w:rsidDel="00000000" w:rsidR="00000000" w:rsidRPr="00000000">
                  <w:rPr>
                    <w:rtl w:val="0"/>
                  </w:rPr>
                </w:r>
              </w:p>
            </w:tc>
            <w:tc>
              <w:tcPr>
                <w:shd w:fill="1f3b5c" w:val="clear"/>
              </w:tcPr>
              <w:p w:rsidR="00000000" w:rsidDel="00000000" w:rsidP="00000000" w:rsidRDefault="00000000" w:rsidRPr="00000000" w14:paraId="00000097">
                <w:pPr>
                  <w:rPr>
                    <w:color w:val="ffffff"/>
                  </w:rPr>
                </w:pPr>
                <w:r w:rsidDel="00000000" w:rsidR="00000000" w:rsidRPr="00000000">
                  <w:rPr>
                    <w:b w:val="1"/>
                    <w:bCs w:val="1"/>
                    <w:color w:val="ffffff"/>
                    <w:sz w:val="19"/>
                    <w:szCs w:val="19"/>
                    <w:rtl w:val="0"/>
                  </w:rPr>
                  <w:t xml:space="preserve">Datos</w:t>
                </w:r>
                <w:r w:rsidDel="00000000" w:rsidR="00000000" w:rsidRPr="00000000">
                  <w:rPr>
                    <w:rtl w:val="0"/>
                  </w:rPr>
                </w:r>
              </w:p>
            </w:tc>
            <w:tc>
              <w:tcPr>
                <w:shd w:fill="1f3b5c" w:val="clear"/>
              </w:tcPr>
              <w:p w:rsidR="00000000" w:rsidDel="00000000" w:rsidP="00000000" w:rsidRDefault="00000000" w:rsidRPr="00000000" w14:paraId="00000098">
                <w:pPr>
                  <w:rPr>
                    <w:color w:val="ffffff"/>
                  </w:rPr>
                </w:pPr>
                <w:r w:rsidDel="00000000" w:rsidR="00000000" w:rsidRPr="00000000">
                  <w:rPr>
                    <w:b w:val="1"/>
                    <w:bCs w:val="1"/>
                    <w:color w:val="ffffff"/>
                    <w:sz w:val="19"/>
                    <w:szCs w:val="19"/>
                    <w:rtl w:val="0"/>
                  </w:rPr>
                  <w:t xml:space="preserve">Frecuencia / formato</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sz w:val="19"/>
                    <w:szCs w:val="19"/>
                    <w:rtl w:val="0"/>
                  </w:rPr>
                  <w:t xml:space="preserve">Pulseras o anillos</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9"/>
                    <w:szCs w:val="19"/>
                    <w:rtl w:val="0"/>
                  </w:rPr>
                  <w:t xml:space="preserve">Envío desde la nube del fabricante a la API de WellQ</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9"/>
                    <w:szCs w:val="19"/>
                    <w:rtl w:val="0"/>
                  </w:rPr>
                  <w:t xml:space="preserve">Calorías, sueño por fases, FC en reposo, calorías activas</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9"/>
                    <w:szCs w:val="19"/>
                    <w:rtl w:val="0"/>
                  </w:rPr>
                  <w:t xml:space="preserve">Se muestra con timestamps en UTC, fecha en zona horaria local del usuario.</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sz w:val="19"/>
                    <w:szCs w:val="19"/>
                    <w:rtl w:val="0"/>
                  </w:rPr>
                  <w:t xml:space="preserve">Relojes deportivos</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9"/>
                    <w:szCs w:val="19"/>
                    <w:rtl w:val="0"/>
                  </w:rPr>
                  <w:t xml:space="preserve">Envío desde la nube del fabricante a la API de WellQ</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9"/>
                    <w:szCs w:val="19"/>
                    <w:rtl w:val="0"/>
                  </w:rPr>
                  <w:t xml:space="preserve">Frecuencia cardiaca, pasos, distancia, cadencia, calorías.</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9"/>
                    <w:szCs w:val="19"/>
                    <w:rtl w:val="0"/>
                  </w:rPr>
                  <w:t xml:space="preserve">Series de valores con su hora (hasta 50.000 puntos por envío) o resúmenes diarios.</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sz w:val="19"/>
                    <w:szCs w:val="19"/>
                    <w:rtl w:val="0"/>
                  </w:rPr>
                  <w:t xml:space="preserve">Otros dispositivos (bandas de pecho, parches, plantillas, básculas)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9"/>
                    <w:szCs w:val="19"/>
                    <w:rtl w:val="0"/>
                  </w:rPr>
                  <w:t xml:space="preserve">Envío desde la nube del fabricante a la API de WellQ</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9"/>
                    <w:szCs w:val="19"/>
                    <w:rtl w:val="0"/>
                  </w:rPr>
                  <w:t xml:space="preserve">Frecuencia cardíaca, mediciones musculoesqueléticas (movilidad, fuerza, marcha), peso y grasa corporal</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9"/>
                    <w:szCs w:val="19"/>
                    <w:rtl w:val="0"/>
                  </w:rPr>
                  <w:t xml:space="preserve">Valores con su unidad; WellQ los convierte a la unidad estándar.</w:t>
                </w:r>
                <w:r w:rsidDel="00000000" w:rsidR="00000000" w:rsidRPr="00000000">
                  <w:rPr>
                    <w:rtl w:val="0"/>
                  </w:rPr>
                </w:r>
              </w:p>
            </w:tc>
          </w:tr>
        </w:tbl>
      </w:sdtContent>
    </w:sdt>
    <w:p w:rsidR="00000000" w:rsidDel="00000000" w:rsidP="00000000" w:rsidRDefault="00000000" w:rsidRPr="00000000" w14:paraId="000000A5">
      <w:pPr>
        <w:keepNext w:val="1"/>
        <w:pBdr>
          <w:top w:space="0" w:sz="0" w:val="nil"/>
          <w:left w:space="0" w:sz="0" w:val="nil"/>
          <w:bottom w:space="0" w:sz="0" w:val="nil"/>
          <w:right w:space="0" w:sz="0" w:val="nil"/>
          <w:between w:space="0" w:sz="0" w:val="nil"/>
        </w:pBdr>
        <w:spacing w:after="60" w:before="240" w:line="240" w:lineRule="auto"/>
        <w:jc w:val="both"/>
        <w:rPr>
          <w:b w:val="1"/>
          <w:bCs w:val="1"/>
          <w:color w:val="548dd4"/>
          <w:sz w:val="26"/>
          <w:szCs w:val="26"/>
        </w:rPr>
      </w:pPr>
      <w:bookmarkStart w:colFirst="0" w:colLast="0" w:name="_heading=h.nzpbx8kxzojk" w:id="1"/>
      <w:bookmarkEnd w:id="1"/>
      <w:r w:rsidDel="00000000" w:rsidR="00000000" w:rsidRPr="00000000">
        <w:rPr>
          <w:rtl w:val="0"/>
        </w:rPr>
      </w:r>
    </w:p>
    <w:p w:rsidR="00000000" w:rsidDel="00000000" w:rsidP="00000000" w:rsidRDefault="00000000" w:rsidRPr="00000000" w14:paraId="000000A6">
      <w:pPr>
        <w:pStyle w:val="Heading3"/>
        <w:jc w:val="both"/>
        <w:rPr>
          <w:rFonts w:ascii="Calibri" w:cs="Calibri" w:eastAsia="Calibri" w:hAnsi="Calibri"/>
        </w:rPr>
      </w:pPr>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A7">
      <w:pPr>
        <w:jc w:val="both"/>
        <w:rPr>
          <w:b w:val="1"/>
          <w:bCs w:val="1"/>
        </w:rPr>
      </w:pPr>
      <w:r w:rsidDel="00000000" w:rsidR="00000000" w:rsidRPr="00000000">
        <w:rPr>
          <w:b w:val="1"/>
          <w:bCs w:val="1"/>
          <w:rtl w:val="0"/>
        </w:rPr>
        <w:t xml:space="preserve">App móvil WellQ</w:t>
      </w:r>
    </w:p>
    <w:p w:rsidR="00000000" w:rsidDel="00000000" w:rsidP="00000000" w:rsidRDefault="00000000" w:rsidRPr="00000000" w14:paraId="000000A8">
      <w:pPr>
        <w:numPr>
          <w:ilvl w:val="0"/>
          <w:numId w:val="4"/>
        </w:numPr>
        <w:spacing w:after="0" w:lineRule="auto"/>
        <w:ind w:left="720" w:hanging="360"/>
        <w:jc w:val="both"/>
        <w:rPr/>
      </w:pPr>
      <w:r w:rsidDel="00000000" w:rsidR="00000000" w:rsidRPr="00000000">
        <w:rPr>
          <w:rtl w:val="0"/>
        </w:rPr>
        <w:t xml:space="preserve">Descripción: app móvil existente del paciente, que hoy obtiene los datos de los wearables a través de Spike.</w:t>
      </w:r>
    </w:p>
    <w:p w:rsidR="00000000" w:rsidDel="00000000" w:rsidP="00000000" w:rsidRDefault="00000000" w:rsidRPr="00000000" w14:paraId="000000A9">
      <w:pPr>
        <w:numPr>
          <w:ilvl w:val="0"/>
          <w:numId w:val="4"/>
        </w:numPr>
        <w:spacing w:after="0" w:lineRule="auto"/>
        <w:ind w:left="720" w:hanging="360"/>
        <w:jc w:val="both"/>
        <w:rPr/>
      </w:pPr>
      <w:r w:rsidDel="00000000" w:rsidR="00000000" w:rsidRPr="00000000">
        <w:rPr>
          <w:rtl w:val="0"/>
        </w:rPr>
        <w:t xml:space="preserve">Propósito del interfaz: que la app muestre los datos de los wearables leyéndolos de WellQ y que el paciente pueda conectar y gestionar sus dispositivos. Requiere cambios en la app (pantallas de conexión y cambio de las consultas de Spike a las de WellQ).</w:t>
      </w:r>
    </w:p>
    <w:p w:rsidR="00000000" w:rsidDel="00000000" w:rsidP="00000000" w:rsidRDefault="00000000" w:rsidRPr="00000000" w14:paraId="000000AA">
      <w:pPr>
        <w:numPr>
          <w:ilvl w:val="0"/>
          <w:numId w:val="4"/>
        </w:numPr>
        <w:ind w:left="720" w:hanging="360"/>
        <w:jc w:val="both"/>
        <w:rPr/>
      </w:pPr>
      <w:r w:rsidDel="00000000" w:rsidR="00000000" w:rsidRPr="00000000">
        <w:rPr>
          <w:rtl w:val="0"/>
        </w:rPr>
        <w:t xml:space="preserve">Definición: peticiones HTTP/JSON sobre HTTPS con el token de sesión del paciente (Authorization: Bearer &lt;token de WellQ&gt;); los errores siguen un formato estándar (application/problem+json) con códigos HTTP como 200, 201, 202, 400, 401, 403, 404, 409, 413, 422 y 429.</w:t>
      </w:r>
    </w:p>
    <w:p w:rsidR="00000000" w:rsidDel="00000000" w:rsidP="00000000" w:rsidRDefault="00000000" w:rsidRPr="00000000" w14:paraId="000000AB">
      <w:pPr>
        <w:jc w:val="both"/>
        <w:rPr>
          <w:b w:val="1"/>
          <w:bCs w:val="1"/>
        </w:rPr>
      </w:pPr>
      <w:r w:rsidDel="00000000" w:rsidR="00000000" w:rsidRPr="00000000">
        <w:rPr>
          <w:b w:val="1"/>
          <w:bCs w:val="1"/>
          <w:rtl w:val="0"/>
        </w:rPr>
        <w:t xml:space="preserve">Sistemas de los fabricantes de wearables</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Descripción: la nube o el servidor de cada fabricante que se conecta a WellQ.</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Propósito del interfaz: enviar a WellQ los datos de los pacientes vinculados y recibir los avisos de WellQ (webhooks).</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Definición: el fabricante se autentica con OAuth 2.0 (client credentials) y obtiene un token de 1 hora; envía JSON por HTTPS. WellQ le responde registro por registro qué datos aceptó y cuáles rechazó, y le envía avisos firmados (webhooks) a la dirección que el fabricante registró.</w:t>
      </w:r>
    </w:p>
    <w:p w:rsidR="00000000" w:rsidDel="00000000" w:rsidP="00000000" w:rsidRDefault="00000000" w:rsidRPr="00000000" w14:paraId="000000AF">
      <w:pPr>
        <w:jc w:val="both"/>
        <w:rPr>
          <w:b w:val="1"/>
          <w:bCs w:val="1"/>
        </w:rPr>
      </w:pPr>
      <w:r w:rsidDel="00000000" w:rsidR="00000000" w:rsidRPr="00000000">
        <w:rPr>
          <w:b w:val="1"/>
          <w:bCs w:val="1"/>
          <w:rtl w:val="0"/>
        </w:rPr>
        <w:t xml:space="preserve">Panel clínico de WellQ e interfaz de prueba</w:t>
      </w:r>
    </w:p>
    <w:p w:rsidR="00000000" w:rsidDel="00000000" w:rsidP="00000000" w:rsidRDefault="00000000" w:rsidRPr="00000000" w14:paraId="000000B0">
      <w:pPr>
        <w:numPr>
          <w:ilvl w:val="0"/>
          <w:numId w:val="4"/>
        </w:numPr>
        <w:spacing w:after="0" w:lineRule="auto"/>
        <w:ind w:left="720" w:hanging="360"/>
        <w:jc w:val="both"/>
        <w:rPr/>
      </w:pPr>
      <w:r w:rsidDel="00000000" w:rsidR="00000000" w:rsidRPr="00000000">
        <w:rPr>
          <w:rtl w:val="0"/>
        </w:rPr>
        <w:t xml:space="preserve">Descripción: el panel web que ya usan los clínicos incorpora una sección de dispositivos conectados en la ficha del paciente. Para desarrollo existe además una interfaz de prueba que recorre todo el flujo del fabricante.</w:t>
      </w:r>
    </w:p>
    <w:p w:rsidR="00000000" w:rsidDel="00000000" w:rsidP="00000000" w:rsidRDefault="00000000" w:rsidRPr="00000000" w14:paraId="000000B1">
      <w:pPr>
        <w:numPr>
          <w:ilvl w:val="0"/>
          <w:numId w:val="4"/>
        </w:numPr>
        <w:spacing w:after="0" w:lineRule="auto"/>
        <w:ind w:left="720" w:hanging="360"/>
        <w:jc w:val="both"/>
        <w:rPr/>
      </w:pPr>
      <w:r w:rsidDel="00000000" w:rsidR="00000000" w:rsidRPr="00000000">
        <w:rPr>
          <w:rtl w:val="0"/>
        </w:rPr>
        <w:t xml:space="preserve">Propósito del interfaz: que el clínico vea los datos de los wearables de sus pacientes y que el equipo pueda probar el flujo completo sin un fabricante real.</w:t>
      </w:r>
    </w:p>
    <w:p w:rsidR="00000000" w:rsidDel="00000000" w:rsidP="00000000" w:rsidRDefault="00000000" w:rsidRPr="00000000" w14:paraId="000000B2">
      <w:pPr>
        <w:numPr>
          <w:ilvl w:val="0"/>
          <w:numId w:val="4"/>
        </w:numPr>
        <w:spacing w:after="0" w:lineRule="auto"/>
        <w:ind w:left="720" w:hanging="360"/>
        <w:jc w:val="both"/>
        <w:rPr/>
      </w:pPr>
      <w:r w:rsidDel="00000000" w:rsidR="00000000" w:rsidRPr="00000000">
        <w:rPr>
          <w:rtl w:val="0"/>
        </w:rPr>
        <w:t xml:space="preserve">Definición: interfaz web (React) sobre los mismos endpoints de la API. La interfaz de prueba solo se activa en entornos de desarrollo.</w:t>
      </w:r>
    </w:p>
    <w:p w:rsidR="00000000" w:rsidDel="00000000" w:rsidP="00000000" w:rsidRDefault="00000000" w:rsidRPr="00000000" w14:paraId="000000B3">
      <w:pPr>
        <w:spacing w:after="0" w:lineRule="auto"/>
        <w:ind w:left="720" w:firstLine="0"/>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b w:val="1"/>
          <w:bCs w:val="1"/>
          <w:rtl w:val="0"/>
        </w:rPr>
        <w:t xml:space="preserve">Base de datos MongoDB</w:t>
      </w:r>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Descripción: la misma base MongoDB de WellQ. Los datos de los fabricantes (cuentas, apps, vínculos, avisos y auditoría) van en la base central; los datos de salud van en la base de la clínica del paciente.</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Propósito del interfaz: persistir el estado que las consultas (timeseries, workouts, sleeps, records, statistics) deben devolver.</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Definición: colecciones de MongoDB (no tablas SQL), con fechas en UTC, un identificador de registro único por vínculo (para no duplicar datos) e índices que se crean automáticamente. Los datos de salud se guardan con el mismo formato que ya usa WellQ, para que las vistas actuales los muestren sin cambios. El detalle está en el diagrama BDD_partner_api.</w:t>
      </w:r>
    </w:p>
    <w:p w:rsidR="00000000" w:rsidDel="00000000" w:rsidP="00000000" w:rsidRDefault="00000000" w:rsidRPr="00000000" w14:paraId="000000B8">
      <w:pPr>
        <w:jc w:val="both"/>
        <w:rPr/>
      </w:pPr>
      <w:r w:rsidDel="00000000" w:rsidR="00000000" w:rsidRPr="00000000">
        <w:rPr>
          <w:b w:val="1"/>
          <w:bCs w:val="1"/>
          <w:rtl w:val="0"/>
        </w:rPr>
        <w:t xml:space="preserve">Herramientas de documentación y pruebas: OpenAPI/Swagger UI, pytest y Playwright</w:t>
      </w:r>
      <w:r w:rsidDel="00000000" w:rsidR="00000000" w:rsidRPr="00000000">
        <w:rPr>
          <w:rtl w:val="0"/>
        </w:rPr>
      </w:r>
    </w:p>
    <w:p w:rsidR="00000000" w:rsidDel="00000000" w:rsidP="00000000" w:rsidRDefault="00000000" w:rsidRPr="00000000" w14:paraId="000000B9">
      <w:pPr>
        <w:numPr>
          <w:ilvl w:val="0"/>
          <w:numId w:val="12"/>
        </w:numPr>
        <w:ind w:left="720" w:hanging="360"/>
        <w:jc w:val="both"/>
        <w:rPr/>
      </w:pPr>
      <w:r w:rsidDel="00000000" w:rsidR="00000000" w:rsidRPr="00000000">
        <w:rPr>
          <w:rtl w:val="0"/>
        </w:rPr>
        <w:t xml:space="preserve">Propósito del interfaz: servir de contrato entre la plataforma y los fabricantes, y comprobar automáticamente que todo funciona.</w:t>
      </w:r>
    </w:p>
    <w:p w:rsidR="00000000" w:rsidDel="00000000" w:rsidP="00000000" w:rsidRDefault="00000000" w:rsidRPr="00000000" w14:paraId="000000BA">
      <w:pPr>
        <w:pStyle w:val="Heading3"/>
        <w:jc w:val="both"/>
        <w:rPr>
          <w:rFonts w:ascii="Calibri" w:cs="Calibri" w:eastAsia="Calibri" w:hAnsi="Calibri"/>
        </w:rPr>
      </w:pPr>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BB">
      <w:pPr>
        <w:spacing w:after="120" w:lineRule="auto"/>
        <w:ind w:firstLine="720"/>
        <w:jc w:val="both"/>
        <w:rPr/>
      </w:pPr>
      <w:r w:rsidDel="00000000" w:rsidR="00000000" w:rsidRPr="00000000">
        <w:rPr>
          <w:rtl w:val="0"/>
        </w:rPr>
        <w:t xml:space="preserve">Los mensajes del sistema son peticiones HTTP JSON, en tres familias:</w:t>
      </w:r>
    </w:p>
    <w:p w:rsidR="00000000" w:rsidDel="00000000" w:rsidP="00000000" w:rsidRDefault="00000000" w:rsidRPr="00000000" w14:paraId="000000BC">
      <w:pPr>
        <w:spacing w:after="120" w:lineRule="auto"/>
        <w:ind w:firstLine="720"/>
        <w:jc w:val="both"/>
        <w:rPr/>
      </w:pPr>
      <w:r w:rsidDel="00000000" w:rsidR="00000000" w:rsidRPr="00000000">
        <w:rPr>
          <w:b w:val="1"/>
          <w:bCs w:val="1"/>
          <w:rtl w:val="0"/>
        </w:rPr>
        <w:t xml:space="preserve">Mensajes de datos (consumo por la app y el panel clínico). Son equivalentes a los de Spike. Cada consulta lleva el token de sesión del paciente o del clínico y devuelve métricas normalizadas:</w:t>
      </w:r>
      <w:r w:rsidDel="00000000" w:rsidR="00000000" w:rsidRPr="00000000">
        <w:rPr>
          <w:rtl w:val="0"/>
        </w:rPr>
      </w:r>
    </w:p>
    <w:p w:rsidR="00000000" w:rsidDel="00000000" w:rsidP="00000000" w:rsidRDefault="00000000" w:rsidRPr="00000000" w14:paraId="000000BD">
      <w:pPr>
        <w:numPr>
          <w:ilvl w:val="0"/>
          <w:numId w:val="14"/>
        </w:numPr>
        <w:spacing w:after="0" w:lineRule="auto"/>
        <w:ind w:left="720" w:hanging="360"/>
        <w:jc w:val="both"/>
        <w:rPr/>
      </w:pPr>
      <w:r w:rsidDel="00000000" w:rsidR="00000000" w:rsidRPr="00000000">
        <w:rPr>
          <w:rtl w:val="0"/>
        </w:rPr>
        <w:t xml:space="preserve">timeseries: series de una métrica con la hora de cada valor (desfase en milisegundos y valor), por ejemplo frecuencia cardíaca o pasos.</w:t>
      </w:r>
    </w:p>
    <w:p w:rsidR="00000000" w:rsidDel="00000000" w:rsidP="00000000" w:rsidRDefault="00000000" w:rsidRPr="00000000" w14:paraId="000000BE">
      <w:pPr>
        <w:numPr>
          <w:ilvl w:val="0"/>
          <w:numId w:val="14"/>
        </w:numPr>
        <w:spacing w:after="0" w:lineRule="auto"/>
        <w:ind w:left="720" w:hanging="360"/>
        <w:jc w:val="both"/>
        <w:rPr/>
      </w:pPr>
      <w:r w:rsidDel="00000000" w:rsidR="00000000" w:rsidRPr="00000000">
        <w:rPr>
          <w:rtl w:val="0"/>
        </w:rPr>
        <w:t xml:space="preserve">workouts: historial con tipo, duración, calorías y FC promedio.</w:t>
      </w:r>
    </w:p>
    <w:p w:rsidR="00000000" w:rsidDel="00000000" w:rsidP="00000000" w:rsidRDefault="00000000" w:rsidRPr="00000000" w14:paraId="000000BF">
      <w:pPr>
        <w:numPr>
          <w:ilvl w:val="0"/>
          <w:numId w:val="14"/>
        </w:numPr>
        <w:spacing w:after="0" w:lineRule="auto"/>
        <w:ind w:left="720" w:hanging="360"/>
        <w:jc w:val="both"/>
        <w:rPr/>
      </w:pPr>
      <w:r w:rsidDel="00000000" w:rsidR="00000000" w:rsidRPr="00000000">
        <w:rPr>
          <w:rtl w:val="0"/>
        </w:rPr>
        <w:t xml:space="preserve">sleeps: sesiones de sueño con sus fases (profundo, ligero, REM, despierto), con hora UTC y la fecha local del paciente.</w:t>
      </w:r>
    </w:p>
    <w:p w:rsidR="00000000" w:rsidDel="00000000" w:rsidP="00000000" w:rsidRDefault="00000000" w:rsidRPr="00000000" w14:paraId="000000C0">
      <w:pPr>
        <w:numPr>
          <w:ilvl w:val="0"/>
          <w:numId w:val="14"/>
        </w:numPr>
        <w:spacing w:after="40" w:lineRule="auto"/>
        <w:ind w:left="720" w:hanging="360"/>
        <w:jc w:val="both"/>
        <w:rPr/>
      </w:pPr>
      <w:r w:rsidDel="00000000" w:rsidR="00000000" w:rsidRPr="00000000">
        <w:rPr>
          <w:rtl w:val="0"/>
        </w:rPr>
        <w:t xml:space="preserve">records / statistics: registros y estadísticas por intervalo y diarias.</w:t>
      </w:r>
    </w:p>
    <w:p w:rsidR="00000000" w:rsidDel="00000000" w:rsidP="00000000" w:rsidRDefault="00000000" w:rsidRPr="00000000" w14:paraId="000000C1">
      <w:pPr>
        <w:spacing w:after="120" w:lineRule="auto"/>
        <w:ind w:firstLine="720"/>
        <w:jc w:val="both"/>
        <w:rPr/>
      </w:pPr>
      <w:r w:rsidDel="00000000" w:rsidR="00000000" w:rsidRPr="00000000">
        <w:rPr>
          <w:b w:val="1"/>
          <w:bCs w:val="1"/>
          <w:rtl w:val="0"/>
        </w:rPr>
        <w:t xml:space="preserve">Mensajes de onboarding B2B (fabricante → WellQ). </w:t>
      </w:r>
      <w:r w:rsidDel="00000000" w:rsidR="00000000" w:rsidRPr="00000000">
        <w:rPr>
          <w:rtl w:val="0"/>
        </w:rPr>
        <w:t xml:space="preserve">Cada paso devuelve identificadores que el fabricante persiste para el siguiente paso: developer_id, portal_token, app_id/client_id/secret, device_model_id, promotion_request_id.</w:t>
      </w:r>
    </w:p>
    <w:p w:rsidR="00000000" w:rsidDel="00000000" w:rsidP="00000000" w:rsidRDefault="00000000" w:rsidRPr="00000000" w14:paraId="000000C2">
      <w:pPr>
        <w:spacing w:after="120" w:lineRule="auto"/>
        <w:ind w:firstLine="720"/>
        <w:jc w:val="both"/>
        <w:rPr/>
      </w:pPr>
      <w:r w:rsidDel="00000000" w:rsidR="00000000" w:rsidRPr="00000000">
        <w:rPr>
          <w:b w:val="1"/>
          <w:bCs w:val="1"/>
          <w:rtl w:val="0"/>
        </w:rPr>
        <w:t xml:space="preserve">Mensajes de WellQ al fabricante (webhooks). WellQ avisa al fabricante de los eventos importantes (por ejemplo: vínculo creado o revocado, paciente que pide borrar sus datos, app aprobada, envío procesado o hueco en los datos). Cada aviso va firmado para que el fabricante compruebe que viene de WellQ, y se reintenta durante 24 horas si falla.</w:t>
      </w:r>
      <w:r w:rsidDel="00000000" w:rsidR="00000000" w:rsidRPr="00000000">
        <w:rPr>
          <w:rtl w:val="0"/>
        </w:rPr>
      </w:r>
    </w:p>
    <w:p w:rsidR="00000000" w:rsidDel="00000000" w:rsidP="00000000" w:rsidRDefault="00000000" w:rsidRPr="00000000" w14:paraId="000000C3">
      <w:pPr>
        <w:spacing w:after="120" w:lineRule="auto"/>
        <w:ind w:firstLine="720"/>
        <w:jc w:val="both"/>
        <w:rPr/>
      </w:pPr>
      <w:r w:rsidDel="00000000" w:rsidR="00000000" w:rsidRPr="00000000">
        <w:rPr>
          <w:b w:val="1"/>
          <w:bCs w:val="1"/>
          <w:rtl w:val="0"/>
        </w:rPr>
        <w:t xml:space="preserve">Modelo canónico de datos. Los datos de cada fabricante se convierten a una lista común de 18 métricas con su unidad estándar (por ejemplo, libras a kilos o kilómetros a metros) y se comprueba que los valores sean posibles (por ejemplo, una frecuencia cardíaca de 320 se rechaza). La conversión la define WellQ en su catálogo; el modelo de dispositivo que declara el fabricante sirve para validar qué métricas puede enviar y cada cuánto.</w:t>
      </w:r>
      <w:r w:rsidDel="00000000" w:rsidR="00000000" w:rsidRPr="00000000">
        <w:rPr>
          <w:rtl w:val="0"/>
        </w:rPr>
      </w:r>
    </w:p>
    <w:p w:rsidR="00000000" w:rsidDel="00000000" w:rsidP="00000000" w:rsidRDefault="00000000" w:rsidRPr="00000000" w14:paraId="000000C4">
      <w:pPr>
        <w:spacing w:after="120" w:lineRule="auto"/>
        <w:ind w:firstLine="720"/>
        <w:jc w:val="both"/>
        <w:rPr/>
      </w:pPr>
      <w:r w:rsidDel="00000000" w:rsidR="00000000" w:rsidRPr="00000000">
        <w:rPr>
          <w:rtl w:val="0"/>
        </w:rPr>
      </w:r>
    </w:p>
    <w:p w:rsidR="00000000" w:rsidDel="00000000" w:rsidP="00000000" w:rsidRDefault="00000000" w:rsidRPr="00000000" w14:paraId="000000C5">
      <w:pPr>
        <w:spacing w:after="120" w:lineRule="auto"/>
        <w:ind w:firstLine="720"/>
        <w:jc w:val="both"/>
        <w:rPr/>
      </w:pPr>
      <w:r w:rsidDel="00000000" w:rsidR="00000000" w:rsidRPr="00000000">
        <w:rPr>
          <w:rtl w:val="0"/>
        </w:rPr>
      </w:r>
    </w:p>
    <w:p w:rsidR="00000000" w:rsidDel="00000000" w:rsidP="00000000" w:rsidRDefault="00000000" w:rsidRPr="00000000" w14:paraId="000000C6">
      <w:pPr>
        <w:spacing w:after="120" w:lineRule="auto"/>
        <w:ind w:firstLine="720"/>
        <w:jc w:val="both"/>
        <w:rPr/>
      </w:pPr>
      <w:r w:rsidDel="00000000" w:rsidR="00000000" w:rsidRPr="00000000">
        <w:rPr>
          <w:rtl w:val="0"/>
        </w:rPr>
      </w:r>
    </w:p>
    <w:p w:rsidR="00000000" w:rsidDel="00000000" w:rsidP="00000000" w:rsidRDefault="00000000" w:rsidRPr="00000000" w14:paraId="000000C7">
      <w:pPr>
        <w:spacing w:after="120" w:lineRule="auto"/>
        <w:ind w:firstLine="720"/>
        <w:jc w:val="both"/>
        <w:rPr/>
      </w:pPr>
      <w:r w:rsidDel="00000000" w:rsidR="00000000" w:rsidRPr="00000000">
        <w:rPr>
          <w:rtl w:val="0"/>
        </w:rPr>
      </w:r>
    </w:p>
    <w:p w:rsidR="00000000" w:rsidDel="00000000" w:rsidP="00000000" w:rsidRDefault="00000000" w:rsidRPr="00000000" w14:paraId="000000C8">
      <w:pPr>
        <w:spacing w:after="120" w:lineRule="auto"/>
        <w:ind w:firstLine="720"/>
        <w:jc w:val="both"/>
        <w:rPr/>
      </w:pPr>
      <w:r w:rsidDel="00000000" w:rsidR="00000000" w:rsidRPr="00000000">
        <w:rPr>
          <w:rtl w:val="0"/>
        </w:rPr>
      </w:r>
    </w:p>
    <w:p w:rsidR="00000000" w:rsidDel="00000000" w:rsidP="00000000" w:rsidRDefault="00000000" w:rsidRPr="00000000" w14:paraId="000000C9">
      <w:pPr>
        <w:spacing w:after="120" w:lineRule="auto"/>
        <w:ind w:firstLine="720"/>
        <w:jc w:val="both"/>
        <w:rPr/>
      </w:pPr>
      <w:r w:rsidDel="00000000" w:rsidR="00000000" w:rsidRPr="00000000">
        <w:rPr>
          <w:rtl w:val="0"/>
        </w:rPr>
      </w:r>
    </w:p>
    <w:p w:rsidR="00000000" w:rsidDel="00000000" w:rsidP="00000000" w:rsidRDefault="00000000" w:rsidRPr="00000000" w14:paraId="000000CA">
      <w:pPr>
        <w:spacing w:after="120" w:lineRule="auto"/>
        <w:ind w:firstLine="720"/>
        <w:jc w:val="both"/>
        <w:rPr/>
      </w:pPr>
      <w:r w:rsidDel="00000000" w:rsidR="00000000" w:rsidRPr="00000000">
        <w:rPr>
          <w:rtl w:val="0"/>
        </w:rPr>
      </w:r>
    </w:p>
    <w:p w:rsidR="00000000" w:rsidDel="00000000" w:rsidP="00000000" w:rsidRDefault="00000000" w:rsidRPr="00000000" w14:paraId="000000CB">
      <w:pPr>
        <w:spacing w:after="120" w:lineRule="auto"/>
        <w:ind w:firstLine="720"/>
        <w:jc w:val="both"/>
        <w:rPr/>
      </w:pPr>
      <w:r w:rsidDel="00000000" w:rsidR="00000000" w:rsidRPr="00000000">
        <w:rPr>
          <w:rtl w:val="0"/>
        </w:rPr>
      </w:r>
    </w:p>
    <w:p w:rsidR="00000000" w:rsidDel="00000000" w:rsidP="00000000" w:rsidRDefault="00000000" w:rsidRPr="00000000" w14:paraId="000000CC">
      <w:pPr>
        <w:pStyle w:val="Heading2"/>
        <w:jc w:val="both"/>
        <w:rPr>
          <w:rFonts w:ascii="Calibri" w:cs="Calibri" w:eastAsia="Calibri" w:hAnsi="Calibri"/>
        </w:rPr>
      </w:pPr>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CD">
      <w:pPr>
        <w:spacing w:after="120" w:lineRule="auto"/>
        <w:rPr/>
      </w:pPr>
      <w:r w:rsidDel="00000000" w:rsidR="00000000" w:rsidRPr="00000000">
        <w:rPr>
          <w:rtl w:val="0"/>
        </w:rPr>
        <w:t xml:space="preserve">Tabla de requisitos funcionales con ID, descripción, prioridad MoSCoW y criterio de aceptación:</w:t>
      </w:r>
    </w:p>
    <w:sdt>
      <w:sdtPr>
        <w:lock w:val="contentLocked"/>
        <w:id w:val="1577681965"/>
        <w:tag w:val="goog_rdk_1"/>
      </w:sdtPr>
      <w:sdtContent>
        <w:tbl>
          <w:tblPr>
            <w:tblStyle w:val="Table6"/>
            <w:tblW w:w="863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
            <w:gridCol w:w="1663"/>
            <w:gridCol w:w="1140"/>
            <w:gridCol w:w="2018"/>
            <w:gridCol w:w="3205"/>
            <w:tblGridChange w:id="0">
              <w:tblGrid>
                <w:gridCol w:w="604"/>
                <w:gridCol w:w="1663"/>
                <w:gridCol w:w="1140"/>
                <w:gridCol w:w="2018"/>
                <w:gridCol w:w="3205"/>
              </w:tblGrid>
            </w:tblGridChange>
          </w:tblGrid>
          <w:tr>
            <w:trPr>
              <w:cantSplit w:val="0"/>
              <w:trHeight w:val="585" w:hRule="atLeast"/>
              <w:tblHeader w:val="0"/>
            </w:trPr>
            <w:tc>
              <w:tcPr>
                <w:shd w:fill="1f3b5c" w:val="clear"/>
              </w:tcPr>
              <w:p w:rsidR="00000000" w:rsidDel="00000000" w:rsidP="00000000" w:rsidRDefault="00000000" w:rsidRPr="00000000" w14:paraId="000000CE">
                <w:pP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b5c" w:val="clear"/>
              </w:tcPr>
              <w:p w:rsidR="00000000" w:rsidDel="00000000" w:rsidP="00000000" w:rsidRDefault="00000000" w:rsidRPr="00000000" w14:paraId="000000CF">
                <w:pPr>
                  <w:rPr>
                    <w:color w:val="ffffff"/>
                  </w:rPr>
                </w:pPr>
                <w:r w:rsidDel="00000000" w:rsidR="00000000" w:rsidRPr="00000000">
                  <w:rPr>
                    <w:b w:val="1"/>
                    <w:bCs w:val="1"/>
                    <w:color w:val="ffffff"/>
                    <w:sz w:val="19"/>
                    <w:szCs w:val="19"/>
                    <w:rtl w:val="0"/>
                  </w:rPr>
                  <w:t xml:space="preserve">Descripción</w:t>
                </w:r>
                <w:r w:rsidDel="00000000" w:rsidR="00000000" w:rsidRPr="00000000">
                  <w:rPr>
                    <w:rtl w:val="0"/>
                  </w:rPr>
                </w:r>
              </w:p>
            </w:tc>
            <w:tc>
              <w:tcPr>
                <w:shd w:fill="1f3b5c" w:val="clear"/>
              </w:tcPr>
              <w:p w:rsidR="00000000" w:rsidDel="00000000" w:rsidP="00000000" w:rsidRDefault="00000000" w:rsidRPr="00000000" w14:paraId="000000D0">
                <w:pPr>
                  <w:rPr>
                    <w:color w:val="ffffff"/>
                  </w:rPr>
                </w:pPr>
                <w:r w:rsidDel="00000000" w:rsidR="00000000" w:rsidRPr="00000000">
                  <w:rPr>
                    <w:b w:val="1"/>
                    <w:bCs w:val="1"/>
                    <w:color w:val="ffffff"/>
                    <w:sz w:val="19"/>
                    <w:szCs w:val="19"/>
                    <w:rtl w:val="0"/>
                  </w:rPr>
                  <w:t xml:space="preserve">Prioridad (MoSCoW)</w:t>
                </w:r>
                <w:r w:rsidDel="00000000" w:rsidR="00000000" w:rsidRPr="00000000">
                  <w:rPr>
                    <w:rtl w:val="0"/>
                  </w:rPr>
                </w:r>
              </w:p>
            </w:tc>
            <w:tc>
              <w:tcPr>
                <w:shd w:fill="1f3b5c" w:val="clear"/>
              </w:tcPr>
              <w:p w:rsidR="00000000" w:rsidDel="00000000" w:rsidP="00000000" w:rsidRDefault="00000000" w:rsidRPr="00000000" w14:paraId="000000D1">
                <w:pPr>
                  <w:rPr>
                    <w:color w:val="ffffff"/>
                  </w:rPr>
                </w:pPr>
                <w:r w:rsidDel="00000000" w:rsidR="00000000" w:rsidRPr="00000000">
                  <w:rPr>
                    <w:b w:val="1"/>
                    <w:bCs w:val="1"/>
                    <w:color w:val="ffffff"/>
                    <w:sz w:val="19"/>
                    <w:szCs w:val="19"/>
                    <w:rtl w:val="0"/>
                  </w:rPr>
                  <w:t xml:space="preserve">Criterio de aceptación</w:t>
                </w:r>
                <w:r w:rsidDel="00000000" w:rsidR="00000000" w:rsidRPr="00000000">
                  <w:rPr>
                    <w:rtl w:val="0"/>
                  </w:rPr>
                </w:r>
              </w:p>
            </w:tc>
            <w:tc>
              <w:tcPr>
                <w:shd w:fill="1f3b5c" w:val="clear"/>
              </w:tcPr>
              <w:p w:rsidR="00000000" w:rsidDel="00000000" w:rsidP="00000000" w:rsidRDefault="00000000" w:rsidRPr="00000000" w14:paraId="000000D2">
                <w:pPr>
                  <w:rPr>
                    <w:color w:val="ffffff"/>
                  </w:rPr>
                </w:pPr>
                <w:r w:rsidDel="00000000" w:rsidR="00000000" w:rsidRPr="00000000">
                  <w:rPr>
                    <w:b w:val="1"/>
                    <w:bCs w:val="1"/>
                    <w:color w:val="ffffff"/>
                    <w:sz w:val="19"/>
                    <w:szCs w:val="19"/>
                    <w:rtl w:val="0"/>
                  </w:rPr>
                  <w:t xml:space="preserve">Endpoints</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0D3">
                <w:pPr>
                  <w:rPr/>
                </w:pPr>
                <w:r w:rsidDel="00000000" w:rsidR="00000000" w:rsidRPr="00000000">
                  <w:rPr>
                    <w:sz w:val="19"/>
                    <w:szCs w:val="19"/>
                    <w:rtl w:val="0"/>
                  </w:rPr>
                  <w:t xml:space="preserve">RF-01</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9"/>
                    <w:szCs w:val="19"/>
                    <w:rtl w:val="0"/>
                  </w:rPr>
                  <w:t xml:space="preserve">Registro de fabricante</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9"/>
                    <w:szCs w:val="19"/>
                    <w:rtl w:val="0"/>
                  </w:rPr>
                  <w:t xml:space="preserve">Responde 202 con developer_id y estado "pendiente de verificación"; el código llega por correo. Si el correo ya existe responde lo mismo (no revela cuentas).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9"/>
                    <w:szCs w:val="19"/>
                    <w:rtl w:val="0"/>
                  </w:rPr>
                  <w:t xml:space="preserve">POST /partner/developers/register</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0D8">
                <w:pPr>
                  <w:rPr/>
                </w:pPr>
                <w:r w:rsidDel="00000000" w:rsidR="00000000" w:rsidRPr="00000000">
                  <w:rPr>
                    <w:sz w:val="19"/>
                    <w:szCs w:val="19"/>
                    <w:rtl w:val="0"/>
                  </w:rPr>
                  <w:t xml:space="preserve">RF-02</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9"/>
                    <w:szCs w:val="19"/>
                    <w:rtl w:val="0"/>
                  </w:rPr>
                  <w:t xml:space="preserve">Verificación y acceso al portal</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9"/>
                    <w:szCs w:val="19"/>
                    <w:rtl w:val="0"/>
                  </w:rPr>
                  <w:t xml:space="preserve">Con el código del correo entrega un portal_token de 1 hora; el código es de un solo uso y hay límite de intentos. Se puede pedir un código nuevo para volver a entrar.</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9"/>
                    <w:szCs w:val="19"/>
                    <w:rtl w:val="0"/>
                  </w:rPr>
                  <w:t xml:space="preserve">POST /partner/developers/verify; POST /partner/developers/login-code</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0DD">
                <w:pPr>
                  <w:rPr/>
                </w:pPr>
                <w:r w:rsidDel="00000000" w:rsidR="00000000" w:rsidRPr="00000000">
                  <w:rPr>
                    <w:sz w:val="19"/>
                    <w:szCs w:val="19"/>
                    <w:rtl w:val="0"/>
                  </w:rPr>
                  <w:t xml:space="preserve">RF-03</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9"/>
                    <w:szCs w:val="19"/>
                    <w:rtl w:val="0"/>
                  </w:rPr>
                  <w:t xml:space="preserve">Gestión de apps (crear, ver scopes y estado, actualizar)</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9"/>
                    <w:szCs w:val="19"/>
                    <w:rtl w:val="0"/>
                  </w:rPr>
                  <w:t xml:space="preserve">Al crear responde 201 con app_id, client_id y client_secret (se muestra una sola vez). La consulta muestra scopes, entorno (sandbox o producción) y estado. Máximo 20 apps por fabricante.</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9"/>
                    <w:szCs w:val="19"/>
                    <w:rtl w:val="0"/>
                  </w:rPr>
                  <w:t xml:space="preserve">POST/GET /partner/apps; GET/PATCH /partner/apps/{app_id}</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0E2">
                <w:pPr>
                  <w:rPr/>
                </w:pPr>
                <w:r w:rsidDel="00000000" w:rsidR="00000000" w:rsidRPr="00000000">
                  <w:rPr>
                    <w:sz w:val="19"/>
                    <w:szCs w:val="19"/>
                    <w:rtl w:val="0"/>
                  </w:rPr>
                  <w:t xml:space="preserve">RF-04</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19"/>
                    <w:szCs w:val="19"/>
                    <w:rtl w:val="0"/>
                  </w:rPr>
                  <w:t xml:space="preserve">Rotar secreto</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9"/>
                    <w:szCs w:val="19"/>
                    <w:rtl w:val="0"/>
                  </w:rPr>
                  <w:t xml:space="preserve">Should</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9"/>
                    <w:szCs w:val="19"/>
                    <w:rtl w:val="0"/>
                  </w:rPr>
                  <w:t xml:space="preserve">Entrega un secreto nuevo; el anterior sigue valiendo durante el periodo de gracia (24 h por defecto). Solo desde el portal.</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9"/>
                    <w:szCs w:val="19"/>
                    <w:rtl w:val="0"/>
                  </w:rPr>
                  <w:t xml:space="preserve">POST /partner/apps/{app_id}/secrets/rotate</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0E7">
                <w:pPr>
                  <w:rPr/>
                </w:pPr>
                <w:r w:rsidDel="00000000" w:rsidR="00000000" w:rsidRPr="00000000">
                  <w:rPr>
                    <w:sz w:val="19"/>
                    <w:szCs w:val="19"/>
                    <w:rtl w:val="0"/>
                  </w:rPr>
                  <w:t xml:space="preserve">RF-05</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9"/>
                    <w:szCs w:val="19"/>
                    <w:rtl w:val="0"/>
                  </w:rPr>
                  <w:t xml:space="preserve">Token de acceso del fabricante</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9"/>
                    <w:szCs w:val="19"/>
                    <w:rtl w:val="0"/>
                  </w:rPr>
                  <w:t xml:space="preserve">Con client_id y client_secret entrega un token de 1 hora con permisos iguales o menores a los concedidos; con credenciales inválidas responde 401.</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9"/>
                    <w:szCs w:val="19"/>
                    <w:rtl w:val="0"/>
                  </w:rPr>
                  <w:t xml:space="preserve">POST /partner/oauth/token</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0EC">
                <w:pPr>
                  <w:rPr/>
                </w:pPr>
                <w:r w:rsidDel="00000000" w:rsidR="00000000" w:rsidRPr="00000000">
                  <w:rPr>
                    <w:sz w:val="19"/>
                    <w:szCs w:val="19"/>
                    <w:rtl w:val="0"/>
                  </w:rPr>
                  <w:t xml:space="preserve">RF-06</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9"/>
                    <w:szCs w:val="19"/>
                    <w:rtl w:val="0"/>
                  </w:rPr>
                  <w:t xml:space="preserve">Catálogo de métricas y modelos de dispositivo</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9"/>
                    <w:szCs w:val="19"/>
                    <w:rtl w:val="0"/>
                  </w:rPr>
                  <w:t xml:space="preserve">Lista el catálogo de 18 métricas; al declarar un modelo responde 201.</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9"/>
                    <w:szCs w:val="19"/>
                    <w:rtl w:val="0"/>
                  </w:rPr>
                  <w:t xml:space="preserve">GET /partner/capabilities/metrics; POST/GET /partner/apps/{app_id}/device-models</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0F1">
                <w:pPr>
                  <w:rPr/>
                </w:pPr>
                <w:r w:rsidDel="00000000" w:rsidR="00000000" w:rsidRPr="00000000">
                  <w:rPr>
                    <w:sz w:val="19"/>
                    <w:szCs w:val="19"/>
                    <w:rtl w:val="0"/>
                  </w:rPr>
                  <w:t xml:space="preserve">RF-07</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9"/>
                    <w:szCs w:val="19"/>
                    <w:rtl w:val="0"/>
                  </w:rPr>
                  <w:t xml:space="preserve">Paso a producción</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9"/>
                    <w:szCs w:val="19"/>
                    <w:rtl w:val="0"/>
                  </w:rPr>
                  <w:t xml:space="preserve">Responde 202 con request_id, estado "en revisión" y checklist; exige aceptar el DPA. Solo el personal autorizado de WellQ aprueba, rechaza, suspende o reactiva; al aprobar se envía el aviso app.promoted.</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9"/>
                    <w:szCs w:val="19"/>
                    <w:rtl w:val="0"/>
                  </w:rPr>
                  <w:t xml:space="preserve">POST /partner/apps/{app_id}/promotion-requests; /partner/admin/*</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0F6">
                <w:pPr>
                  <w:rPr/>
                </w:pPr>
                <w:r w:rsidDel="00000000" w:rsidR="00000000" w:rsidRPr="00000000">
                  <w:rPr>
                    <w:sz w:val="19"/>
                    <w:szCs w:val="19"/>
                    <w:rtl w:val="0"/>
                  </w:rPr>
                  <w:t xml:space="preserve">RF-08</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9"/>
                    <w:szCs w:val="19"/>
                    <w:rtl w:val="0"/>
                  </w:rPr>
                  <w:t xml:space="preserve">Código de emparejamiento y consentimiento</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9"/>
                    <w:szCs w:val="19"/>
                    <w:rtl w:val="0"/>
                  </w:rPr>
                  <w:t xml:space="preserve">El paciente ve los fabricantes y el consentimiento; el código WQ-XXXX-XXXX dura 10 minutos y es de un solo uso.</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9"/>
                    <w:szCs w:val="19"/>
                    <w:rtl w:val="0"/>
                  </w:rPr>
                  <w:t xml:space="preserve">GET /wearables/partners; GET /wearables/consent-info; POST /wearables/pairing-codes</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0FB">
                <w:pPr>
                  <w:rPr/>
                </w:pPr>
                <w:r w:rsidDel="00000000" w:rsidR="00000000" w:rsidRPr="00000000">
                  <w:rPr>
                    <w:sz w:val="19"/>
                    <w:szCs w:val="19"/>
                    <w:rtl w:val="0"/>
                  </w:rPr>
                  <w:t xml:space="preserve">RF-09</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9"/>
                    <w:szCs w:val="19"/>
                    <w:rtl w:val="0"/>
                  </w:rPr>
                  <w:t xml:space="preserve">Vínculos (fabricante)</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9"/>
                    <w:szCs w:val="19"/>
                    <w:rtl w:val="0"/>
                  </w:rPr>
                  <w:t xml:space="preserve">Al canjear el código responde 201 con link_id; el fabricante nunca ve el identificador real del paciente; hay un solo vínculo activo por usuario externo; puede consultar el estado de sincronización y la configuración de envío.</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9"/>
                    <w:szCs w:val="19"/>
                    <w:rtl w:val="0"/>
                  </w:rPr>
                  <w:t xml:space="preserve">POST/GET /partner/links; GET/DELETE /partner/links/{link_id}; …/sync-state; …/config</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100">
                <w:pPr>
                  <w:rPr/>
                </w:pPr>
                <w:r w:rsidDel="00000000" w:rsidR="00000000" w:rsidRPr="00000000">
                  <w:rPr>
                    <w:sz w:val="19"/>
                    <w:szCs w:val="19"/>
                    <w:rtl w:val="0"/>
                  </w:rPr>
                  <w:t xml:space="preserve">RF-10</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9"/>
                    <w:szCs w:val="19"/>
                    <w:rtl w:val="0"/>
                  </w:rPr>
                  <w:t xml:space="preserve">Vínculos (paciente)</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9"/>
                    <w:szCs w:val="19"/>
                    <w:rtl w:val="0"/>
                  </w:rPr>
                  <w:t xml:space="preserve">El paciente ve sus dispositivos, puede retirar permisos y desvincular; con delete_data=true los datos se borran de verdad y queda registro.</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9"/>
                    <w:szCs w:val="19"/>
                    <w:rtl w:val="0"/>
                  </w:rPr>
                  <w:t xml:space="preserve">GET /wearables/links; PATCH/DELETE /wearables/links/{link_id}</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105">
                <w:pPr>
                  <w:rPr/>
                </w:pPr>
                <w:r w:rsidDel="00000000" w:rsidR="00000000" w:rsidRPr="00000000">
                  <w:rPr>
                    <w:sz w:val="19"/>
                    <w:szCs w:val="19"/>
                    <w:rtl w:val="0"/>
                  </w:rPr>
                  <w:t xml:space="preserve">RF-11</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9"/>
                    <w:szCs w:val="19"/>
                    <w:rtl w:val="0"/>
                  </w:rPr>
                  <w:t xml:space="preserve">Recepción de datos</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9"/>
                    <w:szCs w:val="19"/>
                    <w:rtl w:val="0"/>
                  </w:rPr>
                  <w:t xml:space="preserve">Cada registro vuelve como created, updated, duplicate o rejected (con el motivo); más de 100 resúmenes por envío responde 413; las series responden 202 con job_id y aceptan gzip y NDJSON; con Idempotency-Key no se duplica nada.</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9"/>
                    <w:szCs w:val="19"/>
                    <w:rtl w:val="0"/>
                  </w:rPr>
                  <w:t xml:space="preserve">POST /partner/links/{link_id}/daily-summaries, /samples, /sessions, /msk-measurements, /device-events; GET /partner/ingest/jobs/{job_id}</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10A">
                <w:pPr>
                  <w:rPr/>
                </w:pPr>
                <w:r w:rsidDel="00000000" w:rsidR="00000000" w:rsidRPr="00000000">
                  <w:rPr>
                    <w:sz w:val="19"/>
                    <w:szCs w:val="19"/>
                    <w:rtl w:val="0"/>
                  </w:rPr>
                  <w:t xml:space="preserve">RF-12</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19"/>
                    <w:szCs w:val="19"/>
                    <w:rtl w:val="0"/>
                  </w:rPr>
                  <w:t xml:space="preserve">Lectura del fabricante (objetivos y puntuaciones)</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19"/>
                    <w:szCs w:val="19"/>
                    <w:rtl w:val="0"/>
                  </w:rPr>
                  <w:t xml:space="preserve">Should</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19"/>
                    <w:szCs w:val="19"/>
                    <w:rtl w:val="0"/>
                  </w:rPr>
                  <w:t xml:space="preserve">Solo si el paciente concedió read:goals o read:scores y el vínculo está activo; máximo 90 días por consulta.</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9"/>
                    <w:szCs w:val="19"/>
                    <w:rtl w:val="0"/>
                  </w:rPr>
                  <w:t xml:space="preserve">GET /partner/links/{link_id}/goals; GET /partner/links/{link_id}/scores</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10F">
                <w:pPr>
                  <w:rPr/>
                </w:pPr>
                <w:r w:rsidDel="00000000" w:rsidR="00000000" w:rsidRPr="00000000">
                  <w:rPr>
                    <w:sz w:val="19"/>
                    <w:szCs w:val="19"/>
                    <w:rtl w:val="0"/>
                  </w:rPr>
                  <w:t xml:space="preserve">RF-13</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9"/>
                    <w:szCs w:val="19"/>
                    <w:rtl w:val="0"/>
                  </w:rPr>
                  <w:t xml:space="preserve">Webhooks</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9"/>
                    <w:szCs w:val="19"/>
                    <w:rtl w:val="0"/>
                  </w:rPr>
                  <w:t xml:space="preserve">Solo HTTPS; cada aviso va firmado; se reintenta durante 24 h; tras 50 fallos seguidos se desactiva y se avisa por correo.</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9"/>
                    <w:szCs w:val="19"/>
                    <w:rtl w:val="0"/>
                  </w:rPr>
                  <w:t xml:space="preserve">POST/GET /partner/apps/{app_id}/webhooks; DELETE …/{webhook_id}; POST …/test; GET …/deliveries</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114">
                <w:pPr>
                  <w:rPr/>
                </w:pPr>
                <w:r w:rsidDel="00000000" w:rsidR="00000000" w:rsidRPr="00000000">
                  <w:rPr>
                    <w:sz w:val="19"/>
                    <w:szCs w:val="19"/>
                    <w:rtl w:val="0"/>
                  </w:rPr>
                  <w:t xml:space="preserve">RF-14</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19"/>
                    <w:szCs w:val="19"/>
                    <w:rtl w:val="0"/>
                  </w:rPr>
                  <w:t xml:space="preserve">Pacientes de prueba (sandbox)</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9"/>
                    <w:szCs w:val="19"/>
                    <w:rtl w:val="0"/>
                  </w:rPr>
                  <w:t xml:space="preserve">Should</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9"/>
                    <w:szCs w:val="19"/>
                    <w:rtl w:val="0"/>
                  </w:rPr>
                  <w:t xml:space="preserve">Crea pacientes sintéticos con su código listo; esos códigos nunca sirven en producción.</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9"/>
                    <w:szCs w:val="19"/>
                    <w:rtl w:val="0"/>
                  </w:rPr>
                  <w:t xml:space="preserve">POST /partner/sandbox/patients</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119">
                <w:pPr>
                  <w:rPr/>
                </w:pPr>
                <w:r w:rsidDel="00000000" w:rsidR="00000000" w:rsidRPr="00000000">
                  <w:rPr>
                    <w:sz w:val="19"/>
                    <w:szCs w:val="19"/>
                    <w:rtl w:val="0"/>
                  </w:rPr>
                  <w:t xml:space="preserve">RF-15</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9"/>
                    <w:szCs w:val="19"/>
                    <w:rtl w:val="0"/>
                  </w:rPr>
                  <w:t xml:space="preserve">Consultas del paciente (equivalentes a Spike)</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9"/>
                    <w:szCs w:val="19"/>
                    <w:rtl w:val="0"/>
                  </w:rPr>
                  <w:t xml:space="preserve">Con el token del paciente devuelve solo sus datos: registros, sueño, entrenamientos, estadísticas diarias y por intervalo, y series de tiempo.</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9"/>
                    <w:szCs w:val="19"/>
                    <w:rtl w:val="0"/>
                  </w:rPr>
                  <w:t xml:space="preserve">GET /wearables/data/records, /sleeps, /workouts, /statistics/daily, /statistics/interval, /timeseries</w:t>
                </w:r>
                <w:r w:rsidDel="00000000" w:rsidR="00000000" w:rsidRPr="00000000">
                  <w:rPr>
                    <w:rtl w:val="0"/>
                  </w:rPr>
                </w:r>
              </w:p>
            </w:tc>
          </w:tr>
          <w:tr>
            <w:trPr>
              <w:cantSplit w:val="0"/>
              <w:trHeight w:val="927" w:hRule="atLeast"/>
              <w:tblHeader w:val="0"/>
            </w:trPr>
            <w:tc>
              <w:tcPr/>
              <w:p w:rsidR="00000000" w:rsidDel="00000000" w:rsidP="00000000" w:rsidRDefault="00000000" w:rsidRPr="00000000" w14:paraId="0000011E">
                <w:pPr>
                  <w:rPr/>
                </w:pPr>
                <w:r w:rsidDel="00000000" w:rsidR="00000000" w:rsidRPr="00000000">
                  <w:rPr>
                    <w:sz w:val="19"/>
                    <w:szCs w:val="19"/>
                    <w:rtl w:val="0"/>
                  </w:rPr>
                  <w:t xml:space="preserve">RF-16</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9"/>
                    <w:szCs w:val="19"/>
                    <w:rtl w:val="0"/>
                  </w:rPr>
                  <w:t xml:space="preserve">Vista clínica</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9"/>
                    <w:szCs w:val="19"/>
                    <w:rtl w:val="0"/>
                  </w:rPr>
                  <w:t xml:space="preserve">Must</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19"/>
                    <w:szCs w:val="19"/>
                    <w:rtl w:val="0"/>
                  </w:rPr>
                  <w:t xml:space="preserve">El clínico solo ve a sus pacientes asignados; al ajustar la frecuencia se avisa al fabricante (link.config_changed).</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9"/>
                    <w:szCs w:val="19"/>
                    <w:rtl w:val="0"/>
                  </w:rPr>
                  <w:t xml:space="preserve">GET /maindash/patient/{id}/wearables; GET …/wearables/data/*; PUT …/wearables/{link_id}/ingest-config</w:t>
                </w:r>
                <w:r w:rsidDel="00000000" w:rsidR="00000000" w:rsidRPr="00000000">
                  <w:rPr>
                    <w:rtl w:val="0"/>
                  </w:rPr>
                </w:r>
              </w:p>
            </w:tc>
          </w:tr>
        </w:tbl>
      </w:sdtContent>
    </w:sdt>
    <w:p w:rsidR="00000000" w:rsidDel="00000000" w:rsidP="00000000" w:rsidRDefault="00000000" w:rsidRPr="00000000" w14:paraId="00000123">
      <w:pPr>
        <w:rPr>
          <w:color w:val="ff0000"/>
        </w:rPr>
      </w:pPr>
      <w:r w:rsidDel="00000000" w:rsidR="00000000" w:rsidRPr="00000000">
        <w:rPr>
          <w:rtl w:val="0"/>
        </w:rPr>
      </w:r>
    </w:p>
    <w:p w:rsidR="00000000" w:rsidDel="00000000" w:rsidP="00000000" w:rsidRDefault="00000000" w:rsidRPr="00000000" w14:paraId="00000124">
      <w:pPr>
        <w:pStyle w:val="Heading2"/>
        <w:jc w:val="both"/>
        <w:rPr>
          <w:rFonts w:ascii="Calibri" w:cs="Calibri" w:eastAsia="Calibri" w:hAnsi="Calibri"/>
        </w:rPr>
      </w:pPr>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125">
      <w:pPr>
        <w:pStyle w:val="Heading3"/>
        <w:jc w:val="both"/>
        <w:rPr>
          <w:rFonts w:ascii="Calibri" w:cs="Calibri" w:eastAsia="Calibri" w:hAnsi="Calibri"/>
        </w:rPr>
      </w:pPr>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126">
      <w:pPr>
        <w:numPr>
          <w:ilvl w:val="0"/>
          <w:numId w:val="11"/>
        </w:numPr>
        <w:spacing w:after="0" w:lineRule="auto"/>
        <w:ind w:left="720" w:hanging="360"/>
        <w:jc w:val="both"/>
        <w:rPr/>
      </w:pPr>
      <w:r w:rsidDel="00000000" w:rsidR="00000000" w:rsidRPr="00000000">
        <w:rPr>
          <w:rtl w:val="0"/>
        </w:rPr>
        <w:t xml:space="preserve">Arranque y recuperación tras fallo: tras un reinicio, el sistema debe volver a estar operativo (aceptando tráfico) sin intervención manual. Objetivo: menos de 30 s. Estado: pendiente de medir en el entorno de staging.</w:t>
      </w:r>
    </w:p>
    <w:p w:rsidR="00000000" w:rsidDel="00000000" w:rsidP="00000000" w:rsidRDefault="00000000" w:rsidRPr="00000000" w14:paraId="00000127">
      <w:pPr>
        <w:numPr>
          <w:ilvl w:val="0"/>
          <w:numId w:val="11"/>
        </w:numPr>
        <w:spacing w:after="0" w:lineRule="auto"/>
        <w:ind w:left="720" w:hanging="360"/>
        <w:jc w:val="both"/>
        <w:rPr/>
      </w:pPr>
      <w:r w:rsidDel="00000000" w:rsidR="00000000" w:rsidRPr="00000000">
        <w:rPr>
          <w:rtl w:val="0"/>
        </w:rPr>
        <w:t xml:space="preserve">Recepción de datos: cada lote debe procesarse en menos de 100 ms. Estado: no verificado. En las pruebas con una base de datos simulada en memoria, un lote de 100 resúmenes tardó 2,5 s (p95) y una serie de 50.000 puntos recibió respuesta en 1,0 s (p95); el objetivo debe revisarse tras medir con MongoDB real.</w:t>
      </w:r>
    </w:p>
    <w:p w:rsidR="00000000" w:rsidDel="00000000" w:rsidP="00000000" w:rsidRDefault="00000000" w:rsidRPr="00000000" w14:paraId="00000128">
      <w:pPr>
        <w:numPr>
          <w:ilvl w:val="0"/>
          <w:numId w:val="11"/>
        </w:numPr>
        <w:ind w:left="720" w:hanging="360"/>
        <w:jc w:val="both"/>
        <w:rPr/>
      </w:pPr>
      <w:r w:rsidDel="00000000" w:rsidR="00000000" w:rsidRPr="00000000">
        <w:rPr>
          <w:rtl w:val="0"/>
        </w:rPr>
        <w:t xml:space="preserve">El 95 % de las consultas deben responderse en menos de 300 ms desde que llega la petición. Estado: pendiente de medir en staging.</w:t>
      </w:r>
    </w:p>
    <w:p w:rsidR="00000000" w:rsidDel="00000000" w:rsidP="00000000" w:rsidRDefault="00000000" w:rsidRPr="00000000" w14:paraId="00000129">
      <w:pPr>
        <w:pStyle w:val="Heading3"/>
        <w:jc w:val="both"/>
        <w:rPr>
          <w:rFonts w:ascii="Calibri" w:cs="Calibri" w:eastAsia="Calibri" w:hAnsi="Calibri"/>
        </w:rPr>
      </w:pPr>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12A">
      <w:pPr>
        <w:numPr>
          <w:ilvl w:val="0"/>
          <w:numId w:val="9"/>
        </w:numPr>
        <w:spacing w:after="0" w:lineRule="auto"/>
        <w:ind w:left="720" w:hanging="360"/>
        <w:jc w:val="both"/>
        <w:rPr/>
      </w:pPr>
      <w:r w:rsidDel="00000000" w:rsidR="00000000" w:rsidRPr="00000000">
        <w:rPr>
          <w:rtl w:val="0"/>
        </w:rPr>
        <w:t xml:space="preserve">Autenticación de fabricantes: OAuth 2.0 (client credentials). El fabricante cambia su client_id y client_secret por un token de acceso de 1 hora, firmado y con fecha de vencimiento, que se puede revocar.</w:t>
      </w:r>
    </w:p>
    <w:p w:rsidR="00000000" w:rsidDel="00000000" w:rsidP="00000000" w:rsidRDefault="00000000" w:rsidRPr="00000000" w14:paraId="0000012B">
      <w:pPr>
        <w:numPr>
          <w:ilvl w:val="0"/>
          <w:numId w:val="9"/>
        </w:numPr>
        <w:spacing w:after="0" w:lineRule="auto"/>
        <w:ind w:left="720" w:hanging="360"/>
        <w:jc w:val="both"/>
        <w:rPr/>
      </w:pPr>
      <w:r w:rsidDel="00000000" w:rsidR="00000000" w:rsidRPr="00000000">
        <w:rPr>
          <w:rtl w:val="0"/>
        </w:rPr>
        <w:t xml:space="preserve">Autenticación de pacientes y clínicos: usan el mismo inicio de sesión que ya tiene WellQ (código OTP en la app y usuario y contraseña en el panel); la Partner API solo verifica ese token. El portal del fabricante usa un token de 1 hora que se obtiene con un código enviado por correo.</w:t>
      </w:r>
    </w:p>
    <w:p w:rsidR="00000000" w:rsidDel="00000000" w:rsidP="00000000" w:rsidRDefault="00000000" w:rsidRPr="00000000" w14:paraId="0000012C">
      <w:pPr>
        <w:numPr>
          <w:ilvl w:val="0"/>
          <w:numId w:val="9"/>
        </w:numPr>
        <w:spacing w:after="0" w:lineRule="auto"/>
        <w:ind w:left="720" w:hanging="360"/>
        <w:jc w:val="both"/>
        <w:rPr/>
      </w:pPr>
      <w:r w:rsidDel="00000000" w:rsidR="00000000" w:rsidRPr="00000000">
        <w:rPr>
          <w:rtl w:val="0"/>
        </w:rPr>
        <w:t xml:space="preserve">Secretos: el client_secret se guarda como huella (hash), nunca en claro; el secreto de los webhooks se guarda cifrado porque se necesita para firmar. La rotación del secreto deja un periodo de gracia (24 h por defecto) para no cortar el servicio.</w:t>
      </w:r>
    </w:p>
    <w:p w:rsidR="00000000" w:rsidDel="00000000" w:rsidP="00000000" w:rsidRDefault="00000000" w:rsidRPr="00000000" w14:paraId="0000012D">
      <w:pPr>
        <w:numPr>
          <w:ilvl w:val="0"/>
          <w:numId w:val="9"/>
        </w:numPr>
        <w:spacing w:after="0" w:lineRule="auto"/>
        <w:ind w:left="720" w:hanging="360"/>
        <w:jc w:val="both"/>
        <w:rPr/>
      </w:pPr>
      <w:r w:rsidDel="00000000" w:rsidR="00000000" w:rsidRPr="00000000">
        <w:rPr>
          <w:rtl w:val="0"/>
        </w:rPr>
        <w:t xml:space="preserve">Transporte: HTTPS obligatorio.</w:t>
      </w:r>
    </w:p>
    <w:p w:rsidR="00000000" w:rsidDel="00000000" w:rsidP="00000000" w:rsidRDefault="00000000" w:rsidRPr="00000000" w14:paraId="0000012E">
      <w:pPr>
        <w:numPr>
          <w:ilvl w:val="0"/>
          <w:numId w:val="9"/>
        </w:numPr>
        <w:ind w:left="720" w:hanging="360"/>
        <w:jc w:val="both"/>
        <w:rPr/>
      </w:pPr>
      <w:r w:rsidDel="00000000" w:rsidR="00000000" w:rsidRPr="00000000">
        <w:rPr>
          <w:rtl w:val="0"/>
        </w:rPr>
        <w:t xml:space="preserve">Permisos (scopes): cada app tiene permisos por tipo de dato y cada paciente autoriza solo algunos; un dato se acepta únicamente si lo permiten la app y el paciente.</w:t>
      </w:r>
    </w:p>
    <w:p w:rsidR="00000000" w:rsidDel="00000000" w:rsidP="00000000" w:rsidRDefault="00000000" w:rsidRPr="00000000" w14:paraId="0000012F">
      <w:pPr>
        <w:numPr>
          <w:ilvl w:val="0"/>
          <w:numId w:val="9"/>
        </w:numPr>
        <w:ind w:left="720" w:hanging="360"/>
        <w:jc w:val="both"/>
        <w:rPr/>
      </w:pPr>
      <w:r w:rsidDel="00000000" w:rsidR="00000000" w:rsidRPr="00000000">
        <w:rPr>
          <w:rtl w:val="0"/>
        </w:rPr>
        <w:t xml:space="preserve">Protección contra abusos: límite de 600 peticiones por minuto por app y de 20 por minuto por IP en las rutas públicas, cuota diaria de muestras, límites de tamaño de los envíos y protección frente a archivos comprimidos maliciosos.</w:t>
      </w:r>
    </w:p>
    <w:p w:rsidR="00000000" w:rsidDel="00000000" w:rsidP="00000000" w:rsidRDefault="00000000" w:rsidRPr="00000000" w14:paraId="00000130">
      <w:pPr>
        <w:numPr>
          <w:ilvl w:val="0"/>
          <w:numId w:val="9"/>
        </w:numPr>
        <w:ind w:left="720" w:hanging="360"/>
        <w:jc w:val="both"/>
        <w:rPr/>
      </w:pPr>
      <w:r w:rsidDel="00000000" w:rsidR="00000000" w:rsidRPr="00000000">
        <w:rPr>
          <w:rtl w:val="0"/>
        </w:rPr>
        <w:t xml:space="preserve">Aislamiento: un fabricante nunca ve datos de otro fabricante ni el identificador real del paciente; un clínico solo ve a sus pacientes asignados.</w:t>
      </w:r>
    </w:p>
    <w:p w:rsidR="00000000" w:rsidDel="00000000" w:rsidP="00000000" w:rsidRDefault="00000000" w:rsidRPr="00000000" w14:paraId="00000131">
      <w:pPr>
        <w:numPr>
          <w:ilvl w:val="0"/>
          <w:numId w:val="9"/>
        </w:numPr>
        <w:ind w:left="720" w:hanging="360"/>
        <w:jc w:val="both"/>
        <w:rPr/>
      </w:pPr>
      <w:r w:rsidDel="00000000" w:rsidR="00000000" w:rsidRPr="00000000">
        <w:rPr>
          <w:rtl w:val="0"/>
        </w:rPr>
        <w:t xml:space="preserve">Avisos seguros: los webhooks solo se envían por HTTPS a direcciones públicas (nunca a la red interna) y van firmados.</w:t>
      </w:r>
    </w:p>
    <w:p w:rsidR="00000000" w:rsidDel="00000000" w:rsidP="00000000" w:rsidRDefault="00000000" w:rsidRPr="00000000" w14:paraId="00000132">
      <w:pPr>
        <w:numPr>
          <w:ilvl w:val="0"/>
          <w:numId w:val="9"/>
        </w:numPr>
        <w:ind w:left="720" w:hanging="360"/>
        <w:jc w:val="both"/>
        <w:rPr/>
      </w:pPr>
      <w:r w:rsidDel="00000000" w:rsidR="00000000" w:rsidRPr="00000000">
        <w:rPr>
          <w:rtl w:val="0"/>
        </w:rPr>
        <w:t xml:space="preserve">Auditoría: las acciones importantes quedan registradas sin datos personales ni secretos.</w:t>
      </w:r>
    </w:p>
    <w:p w:rsidR="00000000" w:rsidDel="00000000" w:rsidP="00000000" w:rsidRDefault="00000000" w:rsidRPr="00000000" w14:paraId="00000133">
      <w:pPr>
        <w:pStyle w:val="Heading3"/>
        <w:jc w:val="both"/>
        <w:rPr>
          <w:rFonts w:ascii="Calibri" w:cs="Calibri" w:eastAsia="Calibri" w:hAnsi="Calibri"/>
        </w:rPr>
      </w:pPr>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134">
      <w:pPr>
        <w:numPr>
          <w:ilvl w:val="0"/>
          <w:numId w:val="8"/>
        </w:numPr>
        <w:spacing w:after="0" w:lineRule="auto"/>
        <w:ind w:left="720" w:hanging="360"/>
        <w:jc w:val="both"/>
        <w:rPr/>
      </w:pPr>
      <w:r w:rsidDel="00000000" w:rsidR="00000000" w:rsidRPr="00000000">
        <w:rPr>
          <w:rtl w:val="0"/>
        </w:rPr>
        <w:t xml:space="preserve">Cero pérdida de datos en envíos aceptados: un envío solo se confirma cuando quedó guardado y, si el fabricante lo repite, no se duplican datos.</w:t>
      </w:r>
    </w:p>
    <w:p w:rsidR="00000000" w:rsidDel="00000000" w:rsidP="00000000" w:rsidRDefault="00000000" w:rsidRPr="00000000" w14:paraId="00000135">
      <w:pPr>
        <w:numPr>
          <w:ilvl w:val="0"/>
          <w:numId w:val="8"/>
        </w:numPr>
        <w:ind w:left="720" w:hanging="360"/>
        <w:jc w:val="both"/>
        <w:rPr/>
      </w:pPr>
      <w:r w:rsidDel="00000000" w:rsidR="00000000" w:rsidRPr="00000000">
        <w:rPr>
          <w:rtl w:val="0"/>
        </w:rPr>
        <w:t xml:space="preserve">Los fallos esperados están cubiertos: si el token vence, el fabricante pide uno nuevo; si el fabricante tiene una caída, al volver consulta qué días faltan y reenvía solo eso, y WellQ detecta huecos en los datos y le avisa; si el servidor del fabricante no responde a un aviso, WellQ lo reintenta durante 24 horas. Ningún error de un fabricante puede afectar los datos de otro.</w:t>
      </w:r>
    </w:p>
    <w:p w:rsidR="00000000" w:rsidDel="00000000" w:rsidP="00000000" w:rsidRDefault="00000000" w:rsidRPr="00000000" w14:paraId="00000136">
      <w:pPr>
        <w:pStyle w:val="Heading3"/>
        <w:jc w:val="both"/>
        <w:rPr>
          <w:rFonts w:ascii="Calibri" w:cs="Calibri" w:eastAsia="Calibri" w:hAnsi="Calibri"/>
        </w:rPr>
      </w:pPr>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37">
      <w:pPr>
        <w:numPr>
          <w:ilvl w:val="0"/>
          <w:numId w:val="16"/>
        </w:numPr>
        <w:spacing w:after="0" w:lineRule="auto"/>
        <w:ind w:left="720" w:hanging="360"/>
        <w:rPr/>
      </w:pPr>
      <w:r w:rsidDel="00000000" w:rsidR="00000000" w:rsidRPr="00000000">
        <w:rPr>
          <w:rtl w:val="0"/>
        </w:rPr>
        <w:t xml:space="preserve">Requisito expresado en tiempo: disponibilidad del ≥ 95 %, medido como minutos con respuesta &lt; 10 s frente a minutos caído (pendiente de medir cuando esté desplegado). </w:t>
      </w:r>
    </w:p>
    <w:p w:rsidR="00000000" w:rsidDel="00000000" w:rsidP="00000000" w:rsidRDefault="00000000" w:rsidRPr="00000000" w14:paraId="00000138">
      <w:pPr>
        <w:numPr>
          <w:ilvl w:val="0"/>
          <w:numId w:val="16"/>
        </w:numPr>
        <w:ind w:left="720" w:hanging="360"/>
        <w:rPr/>
      </w:pPr>
      <w:r w:rsidDel="00000000" w:rsidR="00000000" w:rsidRPr="00000000">
        <w:rPr>
          <w:rtl w:val="0"/>
        </w:rPr>
        <w:t xml:space="preserve">Si la plataforma no está disponible un momento, el fabricante reintenta el envío sin duplicar datos (gracias a la clave de idempotencia), así que una caída corta no provoca pérdida de información.</w:t>
      </w:r>
    </w:p>
    <w:p w:rsidR="00000000" w:rsidDel="00000000" w:rsidP="00000000" w:rsidRDefault="00000000" w:rsidRPr="00000000" w14:paraId="00000139">
      <w:pPr>
        <w:pStyle w:val="Heading3"/>
        <w:jc w:val="both"/>
        <w:rPr>
          <w:rFonts w:ascii="Calibri" w:cs="Calibri" w:eastAsia="Calibri" w:hAnsi="Calibri"/>
        </w:rPr>
      </w:pPr>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3A">
      <w:pPr>
        <w:numPr>
          <w:ilvl w:val="0"/>
          <w:numId w:val="3"/>
        </w:numPr>
        <w:spacing w:after="0" w:lineRule="auto"/>
        <w:ind w:left="720" w:hanging="360"/>
        <w:jc w:val="both"/>
        <w:rPr/>
      </w:pPr>
      <w:r w:rsidDel="00000000" w:rsidR="00000000" w:rsidRPr="00000000">
        <w:rPr>
          <w:rtl w:val="0"/>
        </w:rPr>
        <w:t xml:space="preserve">Rotación de secretos sin interrumpir el servicio (el secreto anterior sigue valiendo durante un periodo de gracia).</w:t>
      </w:r>
    </w:p>
    <w:p w:rsidR="00000000" w:rsidDel="00000000" w:rsidP="00000000" w:rsidRDefault="00000000" w:rsidRPr="00000000" w14:paraId="0000013B">
      <w:pPr>
        <w:numPr>
          <w:ilvl w:val="0"/>
          <w:numId w:val="3"/>
        </w:numPr>
        <w:spacing w:after="0" w:lineRule="auto"/>
        <w:ind w:left="720" w:hanging="360"/>
        <w:jc w:val="both"/>
        <w:rPr/>
      </w:pPr>
      <w:r w:rsidDel="00000000" w:rsidR="00000000" w:rsidRPr="00000000">
        <w:rPr>
          <w:rtl w:val="0"/>
        </w:rPr>
        <w:t xml:space="preserve">Auditabilidad: estados (sandbox/producción) y acciones visibles para el equipo WellQ.</w:t>
      </w:r>
    </w:p>
    <w:p w:rsidR="00000000" w:rsidDel="00000000" w:rsidP="00000000" w:rsidRDefault="00000000" w:rsidRPr="00000000" w14:paraId="0000013C">
      <w:pPr>
        <w:numPr>
          <w:ilvl w:val="0"/>
          <w:numId w:val="3"/>
        </w:numPr>
        <w:ind w:left="720" w:hanging="360"/>
        <w:jc w:val="both"/>
        <w:rPr/>
      </w:pPr>
      <w:r w:rsidDel="00000000" w:rsidR="00000000" w:rsidRPr="00000000">
        <w:rPr>
          <w:rtl w:val="0"/>
        </w:rPr>
        <w:t xml:space="preserve">Despliegue sobre la infraestructura actual de WellQ (servidor de la API, worker de colas y nginx), activando la Partner API con un interruptor de configuración. Se descarta el hosting gratuito porque los datos de salud deben quedar en el Reino Unido o la Unión Europea.</w:t>
      </w:r>
    </w:p>
    <w:p w:rsidR="00000000" w:rsidDel="00000000" w:rsidP="00000000" w:rsidRDefault="00000000" w:rsidRPr="00000000" w14:paraId="0000013D">
      <w:pPr>
        <w:pStyle w:val="Heading3"/>
        <w:jc w:val="both"/>
        <w:rPr>
          <w:rFonts w:ascii="Calibri" w:cs="Calibri" w:eastAsia="Calibri" w:hAnsi="Calibri"/>
        </w:rPr>
      </w:pPr>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3E">
      <w:pPr>
        <w:numPr>
          <w:ilvl w:val="0"/>
          <w:numId w:val="1"/>
        </w:numPr>
        <w:spacing w:after="0" w:lineRule="auto"/>
        <w:ind w:left="720" w:hanging="360"/>
        <w:jc w:val="both"/>
        <w:rPr/>
      </w:pPr>
      <w:r w:rsidDel="00000000" w:rsidR="00000000" w:rsidRPr="00000000">
        <w:rPr>
          <w:rtl w:val="0"/>
        </w:rPr>
        <w:t xml:space="preserve">Lenguaje por portabilidad: Python 3 + FastAPI</w:t>
      </w:r>
    </w:p>
    <w:p w:rsidR="00000000" w:rsidDel="00000000" w:rsidP="00000000" w:rsidRDefault="00000000" w:rsidRPr="00000000" w14:paraId="0000013F">
      <w:pPr>
        <w:numPr>
          <w:ilvl w:val="0"/>
          <w:numId w:val="1"/>
        </w:numPr>
        <w:spacing w:after="0" w:lineRule="auto"/>
        <w:ind w:left="720" w:hanging="360"/>
        <w:jc w:val="both"/>
        <w:rPr/>
      </w:pPr>
      <w:r w:rsidDel="00000000" w:rsidR="00000000" w:rsidRPr="00000000">
        <w:rPr>
          <w:rtl w:val="0"/>
        </w:rPr>
        <w:t xml:space="preserve">Sistema operativo: indiferente en producción, desarrollo validado en Windows.</w:t>
      </w:r>
    </w:p>
    <w:p w:rsidR="00000000" w:rsidDel="00000000" w:rsidP="00000000" w:rsidRDefault="00000000" w:rsidRPr="00000000" w14:paraId="00000140">
      <w:pPr>
        <w:numPr>
          <w:ilvl w:val="0"/>
          <w:numId w:val="1"/>
        </w:numPr>
        <w:ind w:left="720" w:hanging="360"/>
        <w:jc w:val="both"/>
        <w:rPr/>
      </w:pPr>
      <w:r w:rsidDel="00000000" w:rsidR="00000000" w:rsidRPr="00000000">
        <w:rPr>
          <w:rtl w:val="0"/>
        </w:rPr>
        <w:t xml:space="preserve">Contrato estable: REST/JSON + OpenAPI.</w:t>
      </w:r>
    </w:p>
    <w:p w:rsidR="00000000" w:rsidDel="00000000" w:rsidP="00000000" w:rsidRDefault="00000000" w:rsidRPr="00000000" w14:paraId="00000141">
      <w:pPr>
        <w:pStyle w:val="Heading3"/>
        <w:keepLines w:val="1"/>
        <w:spacing w:after="0" w:before="200" w:lineRule="auto"/>
        <w:jc w:val="both"/>
        <w:rPr>
          <w:rFonts w:ascii="Calibri" w:cs="Calibri" w:eastAsia="Calibri" w:hAnsi="Calibri"/>
        </w:rPr>
      </w:pPr>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142">
      <w:pPr>
        <w:numPr>
          <w:ilvl w:val="0"/>
          <w:numId w:val="10"/>
        </w:numPr>
        <w:spacing w:after="0" w:lineRule="auto"/>
        <w:ind w:left="720" w:hanging="360"/>
        <w:jc w:val="both"/>
        <w:rPr/>
      </w:pPr>
      <w:r w:rsidDel="00000000" w:rsidR="00000000" w:rsidRPr="00000000">
        <w:rPr>
          <w:rtl w:val="0"/>
        </w:rPr>
        <w:t xml:space="preserve">Cumplimiento UK GDPR / ICO</w:t>
      </w:r>
    </w:p>
    <w:p w:rsidR="00000000" w:rsidDel="00000000" w:rsidP="00000000" w:rsidRDefault="00000000" w:rsidRPr="00000000" w14:paraId="00000143">
      <w:pPr>
        <w:numPr>
          <w:ilvl w:val="0"/>
          <w:numId w:val="10"/>
        </w:numPr>
        <w:spacing w:after="0" w:lineRule="auto"/>
        <w:ind w:left="720" w:hanging="360"/>
        <w:jc w:val="both"/>
        <w:rPr/>
      </w:pPr>
      <w:r w:rsidDel="00000000" w:rsidR="00000000" w:rsidRPr="00000000">
        <w:rPr>
          <w:rtl w:val="0"/>
        </w:rPr>
        <w:t xml:space="preserve">HTTPS obligatorio</w:t>
      </w:r>
    </w:p>
    <w:p w:rsidR="00000000" w:rsidDel="00000000" w:rsidP="00000000" w:rsidRDefault="00000000" w:rsidRPr="00000000" w14:paraId="00000144">
      <w:pPr>
        <w:numPr>
          <w:ilvl w:val="0"/>
          <w:numId w:val="10"/>
        </w:numPr>
        <w:ind w:left="720" w:hanging="360"/>
        <w:jc w:val="both"/>
        <w:rPr/>
      </w:pPr>
      <w:r w:rsidDel="00000000" w:rsidR="00000000" w:rsidRPr="00000000">
        <w:rPr>
          <w:rtl w:val="0"/>
        </w:rPr>
        <w:t xml:space="preserve">Especificación OpenAPI 3.1 publicada en Swagger UI y pruebas automatizadas reproducibles (pytest y Playwright).</w:t>
      </w:r>
    </w:p>
    <w:p w:rsidR="00000000" w:rsidDel="00000000" w:rsidP="00000000" w:rsidRDefault="00000000" w:rsidRPr="00000000" w14:paraId="00000145">
      <w:pPr>
        <w:numPr>
          <w:ilvl w:val="0"/>
          <w:numId w:val="10"/>
        </w:numPr>
        <w:ind w:left="720" w:hanging="360"/>
        <w:jc w:val="both"/>
        <w:rPr/>
      </w:pPr>
      <w:r w:rsidDel="00000000" w:rsidR="00000000" w:rsidRPr="00000000">
        <w:rPr>
          <w:rtl w:val="0"/>
        </w:rPr>
        <w:t xml:space="preserve">Documento legal de wearables publicado en cada clínica antes de usarlo en producción, y evaluación de impacto (DPIA) antes del paso a producción.</w:t>
      </w:r>
    </w:p>
    <w:p w:rsidR="00000000" w:rsidDel="00000000" w:rsidP="00000000" w:rsidRDefault="00000000" w:rsidRPr="00000000" w14:paraId="00000146">
      <w:pPr>
        <w:pStyle w:val="Heading1"/>
        <w:jc w:val="both"/>
        <w:rPr>
          <w:rFonts w:ascii="Calibri" w:cs="Calibri" w:eastAsia="Calibri" w:hAnsi="Calibri"/>
        </w:rPr>
      </w:pPr>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147">
      <w:pPr>
        <w:pStyle w:val="Heading2"/>
        <w:jc w:val="both"/>
        <w:rPr>
          <w:rFonts w:ascii="Calibri" w:cs="Calibri" w:eastAsia="Calibri" w:hAnsi="Calibri"/>
        </w:rPr>
      </w:pPr>
      <w:r w:rsidDel="00000000" w:rsidR="00000000" w:rsidRPr="00000000">
        <w:rPr>
          <w:rFonts w:ascii="Calibri" w:cs="Calibri" w:eastAsia="Calibri" w:hAnsi="Calibri"/>
          <w:rtl w:val="0"/>
        </w:rPr>
        <w:t xml:space="preserve">4.1 Descripción general acerca de la Planificación</w:t>
      </w:r>
    </w:p>
    <w:p w:rsidR="00000000" w:rsidDel="00000000" w:rsidP="00000000" w:rsidRDefault="00000000" w:rsidRPr="00000000" w14:paraId="00000148">
      <w:pPr>
        <w:ind w:firstLine="720"/>
        <w:jc w:val="both"/>
        <w:rPr/>
      </w:pPr>
      <w:r w:rsidDel="00000000" w:rsidR="00000000" w:rsidRPr="00000000">
        <w:rPr>
          <w:rtl w:val="0"/>
        </w:rPr>
        <w:t xml:space="preserve">Se utilizará un enfoque iterativo-incremental organizado en hitos, dividiendo el proyecto en fases de desarrollo, cada una con sus propios entregables. Cada hito entrega una capa funcional acumulativa que se valida antes de avanzar al siguiente.</w:t>
      </w:r>
    </w:p>
    <w:p w:rsidR="00000000" w:rsidDel="00000000" w:rsidP="00000000" w:rsidRDefault="00000000" w:rsidRPr="00000000" w14:paraId="00000149">
      <w:pPr>
        <w:pStyle w:val="Heading3"/>
        <w:ind w:left="0" w:firstLine="720"/>
        <w:jc w:val="both"/>
        <w:rPr>
          <w:rFonts w:ascii="Calibri" w:cs="Calibri" w:eastAsia="Calibri" w:hAnsi="Calibri"/>
        </w:rPr>
      </w:pPr>
      <w:r w:rsidDel="00000000" w:rsidR="00000000" w:rsidRPr="00000000">
        <w:rPr>
          <w:rFonts w:ascii="Calibri" w:cs="Calibri" w:eastAsia="Calibri" w:hAnsi="Calibri"/>
          <w:rtl w:val="0"/>
        </w:rPr>
        <w:t xml:space="preserve">4.1.2 Definición del Equipo de Trabajo (Matriz RACI)</w:t>
      </w:r>
    </w:p>
    <w:sdt>
      <w:sdtPr>
        <w:lock w:val="contentLocked"/>
        <w:id w:val="1923184155"/>
        <w:tag w:val="goog_rdk_2"/>
      </w:sdtPr>
      <w:sdtContent>
        <w:tbl>
          <w:tblPr>
            <w:tblStyle w:val="Table7"/>
            <w:tblW w:w="886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1680"/>
            <w:gridCol w:w="1845"/>
            <w:gridCol w:w="1245"/>
            <w:gridCol w:w="870"/>
            <w:tblGridChange w:id="0">
              <w:tblGrid>
                <w:gridCol w:w="3225"/>
                <w:gridCol w:w="1680"/>
                <w:gridCol w:w="1845"/>
                <w:gridCol w:w="1245"/>
                <w:gridCol w:w="870"/>
              </w:tblGrid>
            </w:tblGridChange>
          </w:tblGrid>
          <w:tr>
            <w:trPr>
              <w:cantSplit w:val="0"/>
              <w:trHeight w:val="732" w:hRule="atLeast"/>
              <w:tblHeader w:val="0"/>
            </w:trPr>
            <w:tc>
              <w:tcPr>
                <w:shd w:fill="1f3b5c" w:val="clear"/>
              </w:tcPr>
              <w:p w:rsidR="00000000" w:rsidDel="00000000" w:rsidP="00000000" w:rsidRDefault="00000000" w:rsidRPr="00000000" w14:paraId="0000014A">
                <w:pPr>
                  <w:rPr/>
                </w:pPr>
                <w:r w:rsidDel="00000000" w:rsidR="00000000" w:rsidRPr="00000000">
                  <w:rPr>
                    <w:b w:val="1"/>
                    <w:bCs w:val="1"/>
                    <w:color w:val="ffffff"/>
                    <w:sz w:val="19"/>
                    <w:szCs w:val="19"/>
                    <w:rtl w:val="0"/>
                  </w:rPr>
                  <w:t xml:space="preserve">Tarea</w:t>
                </w:r>
                <w:r w:rsidDel="00000000" w:rsidR="00000000" w:rsidRPr="00000000">
                  <w:rPr>
                    <w:rtl w:val="0"/>
                  </w:rPr>
                </w:r>
              </w:p>
            </w:tc>
            <w:tc>
              <w:tcPr>
                <w:shd w:fill="1f3b5c" w:val="clear"/>
              </w:tcPr>
              <w:p w:rsidR="00000000" w:rsidDel="00000000" w:rsidP="00000000" w:rsidRDefault="00000000" w:rsidRPr="00000000" w14:paraId="0000014B">
                <w:pPr>
                  <w:rPr>
                    <w:color w:val="ffffff"/>
                  </w:rPr>
                </w:pPr>
                <w:r w:rsidDel="00000000" w:rsidR="00000000" w:rsidRPr="00000000">
                  <w:rPr>
                    <w:b w:val="1"/>
                    <w:bCs w:val="1"/>
                    <w:color w:val="ffffff"/>
                    <w:sz w:val="19"/>
                    <w:szCs w:val="19"/>
                    <w:rtl w:val="0"/>
                  </w:rPr>
                  <w:t xml:space="preserve">Líder del proyecto (Mauricio Gatica)</w:t>
                </w:r>
                <w:r w:rsidDel="00000000" w:rsidR="00000000" w:rsidRPr="00000000">
                  <w:rPr>
                    <w:rtl w:val="0"/>
                  </w:rPr>
                </w:r>
              </w:p>
            </w:tc>
            <w:tc>
              <w:tcPr>
                <w:shd w:fill="1f3b5c" w:val="clear"/>
              </w:tcPr>
              <w:p w:rsidR="00000000" w:rsidDel="00000000" w:rsidP="00000000" w:rsidRDefault="00000000" w:rsidRPr="00000000" w14:paraId="0000014C">
                <w:pPr>
                  <w:rPr>
                    <w:color w:val="ffffff"/>
                  </w:rPr>
                </w:pPr>
                <w:r w:rsidDel="00000000" w:rsidR="00000000" w:rsidRPr="00000000">
                  <w:rPr>
                    <w:b w:val="1"/>
                    <w:bCs w:val="1"/>
                    <w:color w:val="ffffff"/>
                    <w:sz w:val="19"/>
                    <w:szCs w:val="19"/>
                    <w:rtl w:val="0"/>
                  </w:rPr>
                  <w:t xml:space="preserve">Líder técnico (Anna Heisig)</w:t>
                </w:r>
                <w:r w:rsidDel="00000000" w:rsidR="00000000" w:rsidRPr="00000000">
                  <w:rPr>
                    <w:rtl w:val="0"/>
                  </w:rPr>
                </w:r>
              </w:p>
            </w:tc>
            <w:tc>
              <w:tcPr>
                <w:shd w:fill="1f3b5c" w:val="clear"/>
              </w:tcPr>
              <w:p w:rsidR="00000000" w:rsidDel="00000000" w:rsidP="00000000" w:rsidRDefault="00000000" w:rsidRPr="00000000" w14:paraId="0000014D">
                <w:pPr>
                  <w:rPr>
                    <w:b w:val="1"/>
                    <w:bCs w:val="1"/>
                    <w:color w:val="ffffff"/>
                    <w:sz w:val="19"/>
                    <w:szCs w:val="19"/>
                  </w:rPr>
                </w:pPr>
                <w:r w:rsidDel="00000000" w:rsidR="00000000" w:rsidRPr="00000000">
                  <w:rPr>
                    <w:b w:val="1"/>
                    <w:bCs w:val="1"/>
                    <w:color w:val="ffffff"/>
                    <w:sz w:val="19"/>
                    <w:szCs w:val="19"/>
                    <w:rtl w:val="0"/>
                  </w:rPr>
                  <w:t xml:space="preserve">Max Kreimerman</w:t>
                </w:r>
              </w:p>
            </w:tc>
            <w:tc>
              <w:tcPr>
                <w:shd w:fill="1f3b5c" w:val="clear"/>
              </w:tcPr>
              <w:p w:rsidR="00000000" w:rsidDel="00000000" w:rsidP="00000000" w:rsidRDefault="00000000" w:rsidRPr="00000000" w14:paraId="0000014E">
                <w:pPr>
                  <w:rPr>
                    <w:b w:val="1"/>
                    <w:bCs w:val="1"/>
                    <w:color w:val="ffffff"/>
                    <w:sz w:val="19"/>
                    <w:szCs w:val="19"/>
                  </w:rPr>
                </w:pPr>
                <w:r w:rsidDel="00000000" w:rsidR="00000000" w:rsidRPr="00000000">
                  <w:rPr>
                    <w:b w:val="1"/>
                    <w:bCs w:val="1"/>
                    <w:color w:val="ffffff"/>
                    <w:sz w:val="19"/>
                    <w:szCs w:val="19"/>
                    <w:rtl w:val="0"/>
                  </w:rPr>
                  <w:t xml:space="preserve">Karina Alvarez</w:t>
                </w:r>
              </w:p>
            </w:tc>
          </w:tr>
          <w:tr>
            <w:trPr>
              <w:cantSplit w:val="0"/>
              <w:trHeight w:val="732" w:hRule="atLeast"/>
              <w:tblHeader w:val="0"/>
            </w:trPr>
            <w:tc>
              <w:tcPr/>
              <w:p w:rsidR="00000000" w:rsidDel="00000000" w:rsidP="00000000" w:rsidRDefault="00000000" w:rsidRPr="00000000" w14:paraId="0000014F">
                <w:pPr>
                  <w:rPr>
                    <w:sz w:val="20"/>
                    <w:szCs w:val="20"/>
                  </w:rPr>
                </w:pPr>
                <w:r w:rsidDel="00000000" w:rsidR="00000000" w:rsidRPr="00000000">
                  <w:rPr>
                    <w:sz w:val="20"/>
                    <w:szCs w:val="20"/>
                    <w:rtl w:val="0"/>
                  </w:rPr>
                  <w:t xml:space="preserve">Planificación del desarrollo y entrega de la documentación inicial.</w:t>
                </w:r>
              </w:p>
            </w:tc>
            <w:tc>
              <w:tcPr/>
              <w:p w:rsidR="00000000" w:rsidDel="00000000" w:rsidP="00000000" w:rsidRDefault="00000000" w:rsidRPr="00000000" w14:paraId="00000150">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51">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52">
                <w:pPr>
                  <w:rPr>
                    <w:sz w:val="20"/>
                    <w:szCs w:val="20"/>
                  </w:rPr>
                </w:pPr>
                <w:r w:rsidDel="00000000" w:rsidR="00000000" w:rsidRPr="00000000">
                  <w:rPr>
                    <w:rtl w:val="0"/>
                  </w:rPr>
                </w:r>
              </w:p>
            </w:tc>
            <w:tc>
              <w:tcPr/>
              <w:p w:rsidR="00000000" w:rsidDel="00000000" w:rsidP="00000000" w:rsidRDefault="00000000" w:rsidRPr="00000000" w14:paraId="00000153">
                <w:pPr>
                  <w:rPr>
                    <w:sz w:val="20"/>
                    <w:szCs w:val="20"/>
                  </w:rPr>
                </w:pPr>
                <w:r w:rsidDel="00000000" w:rsidR="00000000" w:rsidRPr="00000000">
                  <w:rPr>
                    <w:sz w:val="20"/>
                    <w:szCs w:val="20"/>
                    <w:rtl w:val="0"/>
                  </w:rPr>
                  <w:t xml:space="preserve">C</w:t>
                </w:r>
              </w:p>
            </w:tc>
          </w:tr>
          <w:tr>
            <w:trPr>
              <w:cantSplit w:val="0"/>
              <w:trHeight w:val="732" w:hRule="atLeast"/>
              <w:tblHeader w:val="0"/>
            </w:trPr>
            <w:tc>
              <w:tcPr/>
              <w:p w:rsidR="00000000" w:rsidDel="00000000" w:rsidP="00000000" w:rsidRDefault="00000000" w:rsidRPr="00000000" w14:paraId="00000154">
                <w:pPr>
                  <w:rPr>
                    <w:sz w:val="20"/>
                    <w:szCs w:val="20"/>
                  </w:rPr>
                </w:pPr>
                <w:r w:rsidDel="00000000" w:rsidR="00000000" w:rsidRPr="00000000">
                  <w:rPr>
                    <w:sz w:val="20"/>
                    <w:szCs w:val="20"/>
                    <w:rtl w:val="0"/>
                  </w:rPr>
                  <w:t xml:space="preserve">Elaboración de documentos de diseño y especificaciones.</w:t>
                </w:r>
              </w:p>
            </w:tc>
            <w:tc>
              <w:tcPr/>
              <w:p w:rsidR="00000000" w:rsidDel="00000000" w:rsidP="00000000" w:rsidRDefault="00000000" w:rsidRPr="00000000" w14:paraId="00000155">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56">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157">
                <w:pPr>
                  <w:rPr>
                    <w:sz w:val="20"/>
                    <w:szCs w:val="20"/>
                  </w:rPr>
                </w:pPr>
                <w:r w:rsidDel="00000000" w:rsidR="00000000" w:rsidRPr="00000000">
                  <w:rPr>
                    <w:rtl w:val="0"/>
                  </w:rPr>
                </w:r>
              </w:p>
            </w:tc>
            <w:tc>
              <w:tcPr/>
              <w:p w:rsidR="00000000" w:rsidDel="00000000" w:rsidP="00000000" w:rsidRDefault="00000000" w:rsidRPr="00000000" w14:paraId="00000158">
                <w:pPr>
                  <w:rPr>
                    <w:sz w:val="20"/>
                    <w:szCs w:val="20"/>
                  </w:rPr>
                </w:pPr>
                <w:r w:rsidDel="00000000" w:rsidR="00000000" w:rsidRPr="00000000">
                  <w:rPr>
                    <w:rtl w:val="0"/>
                  </w:rPr>
                </w:r>
              </w:p>
            </w:tc>
          </w:tr>
          <w:tr>
            <w:trPr>
              <w:cantSplit w:val="0"/>
              <w:trHeight w:val="732" w:hRule="atLeast"/>
              <w:tblHeader w:val="0"/>
            </w:trPr>
            <w:tc>
              <w:tcPr/>
              <w:p w:rsidR="00000000" w:rsidDel="00000000" w:rsidP="00000000" w:rsidRDefault="00000000" w:rsidRPr="00000000" w14:paraId="00000159">
                <w:pPr>
                  <w:rPr>
                    <w:sz w:val="20"/>
                    <w:szCs w:val="20"/>
                  </w:rPr>
                </w:pPr>
                <w:r w:rsidDel="00000000" w:rsidR="00000000" w:rsidRPr="00000000">
                  <w:rPr>
                    <w:sz w:val="20"/>
                    <w:szCs w:val="20"/>
                    <w:rtl w:val="0"/>
                  </w:rPr>
                  <w:t xml:space="preserve">Desarrollo del alta de fabricantes y de la autenticación.</w:t>
                </w:r>
              </w:p>
            </w:tc>
            <w:tc>
              <w:tcPr/>
              <w:p w:rsidR="00000000" w:rsidDel="00000000" w:rsidP="00000000" w:rsidRDefault="00000000" w:rsidRPr="00000000" w14:paraId="0000015A">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5B">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5C">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15D">
                <w:pPr>
                  <w:rPr>
                    <w:sz w:val="20"/>
                    <w:szCs w:val="20"/>
                  </w:rPr>
                </w:pPr>
                <w:r w:rsidDel="00000000" w:rsidR="00000000" w:rsidRPr="00000000">
                  <w:rPr>
                    <w:sz w:val="20"/>
                    <w:szCs w:val="20"/>
                    <w:rtl w:val="0"/>
                  </w:rPr>
                  <w:t xml:space="preserve">C</w:t>
                </w:r>
              </w:p>
            </w:tc>
          </w:tr>
          <w:tr>
            <w:trPr>
              <w:cantSplit w:val="0"/>
              <w:trHeight w:val="732" w:hRule="atLeast"/>
              <w:tblHeader w:val="0"/>
            </w:trPr>
            <w:tc>
              <w:tcPr/>
              <w:p w:rsidR="00000000" w:rsidDel="00000000" w:rsidP="00000000" w:rsidRDefault="00000000" w:rsidRPr="00000000" w14:paraId="0000015E">
                <w:pPr>
                  <w:rPr>
                    <w:sz w:val="20"/>
                    <w:szCs w:val="20"/>
                  </w:rPr>
                </w:pPr>
                <w:r w:rsidDel="00000000" w:rsidR="00000000" w:rsidRPr="00000000">
                  <w:rPr>
                    <w:sz w:val="20"/>
                    <w:szCs w:val="20"/>
                    <w:rtl w:val="0"/>
                  </w:rPr>
                  <w:t xml:space="preserve">Vinculación de pacientes, recepción de datos y consultas (versión alfa).</w:t>
                </w:r>
              </w:p>
            </w:tc>
            <w:tc>
              <w:tcPr/>
              <w:p w:rsidR="00000000" w:rsidDel="00000000" w:rsidP="00000000" w:rsidRDefault="00000000" w:rsidRPr="00000000" w14:paraId="0000015F">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60">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61">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162">
                <w:pPr>
                  <w:rPr>
                    <w:sz w:val="20"/>
                    <w:szCs w:val="20"/>
                  </w:rPr>
                </w:pPr>
                <w:r w:rsidDel="00000000" w:rsidR="00000000" w:rsidRPr="00000000">
                  <w:rPr>
                    <w:sz w:val="20"/>
                    <w:szCs w:val="20"/>
                    <w:rtl w:val="0"/>
                  </w:rPr>
                  <w:t xml:space="preserve">C</w:t>
                </w:r>
              </w:p>
            </w:tc>
          </w:tr>
          <w:tr>
            <w:trPr>
              <w:cantSplit w:val="0"/>
              <w:trHeight w:val="732" w:hRule="atLeast"/>
              <w:tblHeader w:val="0"/>
            </w:trPr>
            <w:tc>
              <w:tcPr/>
              <w:p w:rsidR="00000000" w:rsidDel="00000000" w:rsidP="00000000" w:rsidRDefault="00000000" w:rsidRPr="00000000" w14:paraId="00000163">
                <w:pPr>
                  <w:rPr>
                    <w:sz w:val="20"/>
                    <w:szCs w:val="20"/>
                  </w:rPr>
                </w:pPr>
                <w:r w:rsidDel="00000000" w:rsidR="00000000" w:rsidRPr="00000000">
                  <w:rPr>
                    <w:sz w:val="20"/>
                    <w:szCs w:val="20"/>
                    <w:rtl w:val="0"/>
                  </w:rPr>
                  <w:t xml:space="preserve">Revisión de seguridad e integración en la plataforma WellQ.</w:t>
                </w:r>
              </w:p>
            </w:tc>
            <w:tc>
              <w:tcPr/>
              <w:p w:rsidR="00000000" w:rsidDel="00000000" w:rsidP="00000000" w:rsidRDefault="00000000" w:rsidRPr="00000000" w14:paraId="00000164">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65">
                <w:pPr>
                  <w:rPr>
                    <w:sz w:val="20"/>
                    <w:szCs w:val="20"/>
                  </w:rPr>
                </w:pPr>
                <w:r w:rsidDel="00000000" w:rsidR="00000000" w:rsidRPr="00000000">
                  <w:rPr>
                    <w:sz w:val="20"/>
                    <w:szCs w:val="20"/>
                    <w:rtl w:val="0"/>
                  </w:rPr>
                  <w:t xml:space="preserve">R</w:t>
                </w:r>
              </w:p>
            </w:tc>
            <w:tc>
              <w:tcPr/>
              <w:p w:rsidR="00000000" w:rsidDel="00000000" w:rsidP="00000000" w:rsidRDefault="00000000" w:rsidRPr="00000000" w14:paraId="00000166">
                <w:pPr>
                  <w:rPr>
                    <w:sz w:val="20"/>
                    <w:szCs w:val="20"/>
                  </w:rPr>
                </w:pPr>
                <w:r w:rsidDel="00000000" w:rsidR="00000000" w:rsidRPr="00000000">
                  <w:rPr>
                    <w:sz w:val="20"/>
                    <w:szCs w:val="20"/>
                    <w:rtl w:val="0"/>
                  </w:rPr>
                  <w:t xml:space="preserve">I / C</w:t>
                </w:r>
              </w:p>
            </w:tc>
            <w:tc>
              <w:tcPr/>
              <w:p w:rsidR="00000000" w:rsidDel="00000000" w:rsidP="00000000" w:rsidRDefault="00000000" w:rsidRPr="00000000" w14:paraId="00000167">
                <w:pPr>
                  <w:rPr>
                    <w:sz w:val="20"/>
                    <w:szCs w:val="20"/>
                  </w:rPr>
                </w:pPr>
                <w:r w:rsidDel="00000000" w:rsidR="00000000" w:rsidRPr="00000000">
                  <w:rPr>
                    <w:sz w:val="20"/>
                    <w:szCs w:val="20"/>
                    <w:rtl w:val="0"/>
                  </w:rPr>
                  <w:t xml:space="preserve">I</w:t>
                </w:r>
              </w:p>
            </w:tc>
          </w:tr>
          <w:tr>
            <w:trPr>
              <w:cantSplit w:val="0"/>
              <w:trHeight w:val="732" w:hRule="atLeast"/>
              <w:tblHeader w:val="0"/>
            </w:trPr>
            <w:tc>
              <w:tcPr/>
              <w:p w:rsidR="00000000" w:rsidDel="00000000" w:rsidP="00000000" w:rsidRDefault="00000000" w:rsidRPr="00000000" w14:paraId="00000168">
                <w:pPr>
                  <w:rPr>
                    <w:sz w:val="20"/>
                    <w:szCs w:val="20"/>
                  </w:rPr>
                </w:pPr>
                <w:r w:rsidDel="00000000" w:rsidR="00000000" w:rsidRPr="00000000">
                  <w:rPr>
                    <w:sz w:val="20"/>
                    <w:szCs w:val="20"/>
                    <w:rtl w:val="0"/>
                  </w:rPr>
                  <w:t xml:space="preserve">Pruebas de carga y desempeño.</w:t>
                </w:r>
              </w:p>
            </w:tc>
            <w:tc>
              <w:tcPr/>
              <w:p w:rsidR="00000000" w:rsidDel="00000000" w:rsidP="00000000" w:rsidRDefault="00000000" w:rsidRPr="00000000" w14:paraId="00000169">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6A">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16B">
                <w:pPr>
                  <w:rPr>
                    <w:sz w:val="20"/>
                    <w:szCs w:val="20"/>
                  </w:rPr>
                </w:pPr>
                <w:r w:rsidDel="00000000" w:rsidR="00000000" w:rsidRPr="00000000">
                  <w:rPr>
                    <w:sz w:val="20"/>
                    <w:szCs w:val="20"/>
                    <w:rtl w:val="0"/>
                  </w:rPr>
                  <w:t xml:space="preserve">I / C</w:t>
                </w:r>
              </w:p>
            </w:tc>
            <w:tc>
              <w:tcPr/>
              <w:p w:rsidR="00000000" w:rsidDel="00000000" w:rsidP="00000000" w:rsidRDefault="00000000" w:rsidRPr="00000000" w14:paraId="0000016C">
                <w:pPr>
                  <w:rPr>
                    <w:sz w:val="20"/>
                    <w:szCs w:val="20"/>
                  </w:rPr>
                </w:pPr>
                <w:r w:rsidDel="00000000" w:rsidR="00000000" w:rsidRPr="00000000">
                  <w:rPr>
                    <w:rtl w:val="0"/>
                  </w:rPr>
                </w:r>
              </w:p>
            </w:tc>
          </w:tr>
          <w:tr>
            <w:trPr>
              <w:cantSplit w:val="0"/>
              <w:trHeight w:val="732" w:hRule="atLeast"/>
              <w:tblHeader w:val="0"/>
            </w:trPr>
            <w:tc>
              <w:tcPr/>
              <w:p w:rsidR="00000000" w:rsidDel="00000000" w:rsidP="00000000" w:rsidRDefault="00000000" w:rsidRPr="00000000" w14:paraId="0000016D">
                <w:pPr>
                  <w:rPr>
                    <w:sz w:val="20"/>
                    <w:szCs w:val="20"/>
                  </w:rPr>
                </w:pPr>
                <w:r w:rsidDel="00000000" w:rsidR="00000000" w:rsidRPr="00000000">
                  <w:rPr>
                    <w:sz w:val="20"/>
                    <w:szCs w:val="20"/>
                    <w:rtl w:val="0"/>
                  </w:rPr>
                  <w:t xml:space="preserve">Piloto con fabricante, interfaz de prueba y finalización del código.</w:t>
                </w:r>
              </w:p>
            </w:tc>
            <w:tc>
              <w:tcPr/>
              <w:p w:rsidR="00000000" w:rsidDel="00000000" w:rsidP="00000000" w:rsidRDefault="00000000" w:rsidRPr="00000000" w14:paraId="0000016E">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6F">
                <w:pPr>
                  <w:rPr>
                    <w:sz w:val="20"/>
                    <w:szCs w:val="20"/>
                  </w:rPr>
                </w:pPr>
                <w:r w:rsidDel="00000000" w:rsidR="00000000" w:rsidRPr="00000000">
                  <w:rPr>
                    <w:sz w:val="20"/>
                    <w:szCs w:val="20"/>
                    <w:rtl w:val="0"/>
                  </w:rPr>
                  <w:t xml:space="preserve">R / C</w:t>
                </w:r>
              </w:p>
            </w:tc>
            <w:tc>
              <w:tcPr/>
              <w:p w:rsidR="00000000" w:rsidDel="00000000" w:rsidP="00000000" w:rsidRDefault="00000000" w:rsidRPr="00000000" w14:paraId="00000170">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171">
                <w:pPr>
                  <w:rPr>
                    <w:sz w:val="20"/>
                    <w:szCs w:val="20"/>
                  </w:rPr>
                </w:pPr>
                <w:r w:rsidDel="00000000" w:rsidR="00000000" w:rsidRPr="00000000">
                  <w:rPr>
                    <w:sz w:val="20"/>
                    <w:szCs w:val="20"/>
                    <w:rtl w:val="0"/>
                  </w:rPr>
                  <w:t xml:space="preserve">I</w:t>
                </w:r>
              </w:p>
            </w:tc>
          </w:tr>
          <w:tr>
            <w:trPr>
              <w:cantSplit w:val="0"/>
              <w:trHeight w:val="732" w:hRule="atLeast"/>
              <w:tblHeader w:val="0"/>
            </w:trPr>
            <w:tc>
              <w:tcPr/>
              <w:p w:rsidR="00000000" w:rsidDel="00000000" w:rsidP="00000000" w:rsidRDefault="00000000" w:rsidRPr="00000000" w14:paraId="00000172">
                <w:pPr>
                  <w:rPr>
                    <w:sz w:val="20"/>
                    <w:szCs w:val="20"/>
                  </w:rPr>
                </w:pPr>
                <w:r w:rsidDel="00000000" w:rsidR="00000000" w:rsidRPr="00000000">
                  <w:rPr>
                    <w:sz w:val="20"/>
                    <w:szCs w:val="20"/>
                    <w:rtl w:val="0"/>
                  </w:rPr>
                  <w:t xml:space="preserve">Entrega de documentación final.</w:t>
                </w:r>
              </w:p>
            </w:tc>
            <w:tc>
              <w:tcPr/>
              <w:p w:rsidR="00000000" w:rsidDel="00000000" w:rsidP="00000000" w:rsidRDefault="00000000" w:rsidRPr="00000000" w14:paraId="00000173">
                <w:pPr>
                  <w:rPr>
                    <w:sz w:val="20"/>
                    <w:szCs w:val="20"/>
                  </w:rPr>
                </w:pPr>
                <w:r w:rsidDel="00000000" w:rsidR="00000000" w:rsidRPr="00000000">
                  <w:rPr>
                    <w:sz w:val="20"/>
                    <w:szCs w:val="20"/>
                    <w:rtl w:val="0"/>
                  </w:rPr>
                  <w:t xml:space="preserve">R / A</w:t>
                </w:r>
              </w:p>
            </w:tc>
            <w:tc>
              <w:tcPr/>
              <w:p w:rsidR="00000000" w:rsidDel="00000000" w:rsidP="00000000" w:rsidRDefault="00000000" w:rsidRPr="00000000" w14:paraId="00000174">
                <w:pPr>
                  <w:rPr>
                    <w:sz w:val="20"/>
                    <w:szCs w:val="20"/>
                  </w:rPr>
                </w:pPr>
                <w:r w:rsidDel="00000000" w:rsidR="00000000" w:rsidRPr="00000000">
                  <w:rPr>
                    <w:sz w:val="20"/>
                    <w:szCs w:val="20"/>
                    <w:rtl w:val="0"/>
                  </w:rPr>
                  <w:t xml:space="preserve">R </w:t>
                </w:r>
              </w:p>
            </w:tc>
            <w:tc>
              <w:tcPr/>
              <w:p w:rsidR="00000000" w:rsidDel="00000000" w:rsidP="00000000" w:rsidRDefault="00000000" w:rsidRPr="00000000" w14:paraId="00000175">
                <w:pPr>
                  <w:rPr>
                    <w:sz w:val="20"/>
                    <w:szCs w:val="20"/>
                  </w:rPr>
                </w:pPr>
                <w:r w:rsidDel="00000000" w:rsidR="00000000" w:rsidRPr="00000000">
                  <w:rPr>
                    <w:sz w:val="20"/>
                    <w:szCs w:val="20"/>
                    <w:rtl w:val="0"/>
                  </w:rPr>
                  <w:t xml:space="preserve">I</w:t>
                </w:r>
              </w:p>
            </w:tc>
            <w:tc>
              <w:tcPr/>
              <w:p w:rsidR="00000000" w:rsidDel="00000000" w:rsidP="00000000" w:rsidRDefault="00000000" w:rsidRPr="00000000" w14:paraId="00000176">
                <w:pPr>
                  <w:rPr>
                    <w:sz w:val="20"/>
                    <w:szCs w:val="20"/>
                  </w:rPr>
                </w:pPr>
                <w:r w:rsidDel="00000000" w:rsidR="00000000" w:rsidRPr="00000000">
                  <w:rPr>
                    <w:sz w:val="20"/>
                    <w:szCs w:val="20"/>
                    <w:rtl w:val="0"/>
                  </w:rPr>
                  <w:t xml:space="preserve">I</w:t>
                </w:r>
              </w:p>
            </w:tc>
          </w:tr>
        </w:tbl>
      </w:sdtContent>
    </w:sdt>
    <w:p w:rsidR="00000000" w:rsidDel="00000000" w:rsidP="00000000" w:rsidRDefault="00000000" w:rsidRPr="00000000" w14:paraId="00000177">
      <w:pPr>
        <w:rPr>
          <w:color w:val="ff0000"/>
        </w:rPr>
      </w:pPr>
      <w:r w:rsidDel="00000000" w:rsidR="00000000" w:rsidRPr="00000000">
        <w:rPr>
          <w:rtl w:val="0"/>
        </w:rPr>
      </w:r>
    </w:p>
    <w:p w:rsidR="00000000" w:rsidDel="00000000" w:rsidP="00000000" w:rsidRDefault="00000000" w:rsidRPr="00000000" w14:paraId="00000178">
      <w:pPr>
        <w:pStyle w:val="Heading3"/>
        <w:jc w:val="both"/>
        <w:rPr>
          <w:rFonts w:ascii="Calibri" w:cs="Calibri" w:eastAsia="Calibri" w:hAnsi="Calibri"/>
        </w:rPr>
      </w:pPr>
      <w:r w:rsidDel="00000000" w:rsidR="00000000" w:rsidRPr="00000000">
        <w:rPr>
          <w:rFonts w:ascii="Calibri" w:cs="Calibri" w:eastAsia="Calibri" w:hAnsi="Calibri"/>
          <w:rtl w:val="0"/>
        </w:rPr>
        <w:t xml:space="preserve">4.1.3 Definición de Actividades principales del Proyecto</w:t>
      </w:r>
    </w:p>
    <w:sdt>
      <w:sdtPr>
        <w:lock w:val="contentLocked"/>
        <w:id w:val="601606779"/>
        <w:tag w:val="goog_rdk_3"/>
      </w:sdtPr>
      <w:sdtContent>
        <w:tbl>
          <w:tblPr>
            <w:tblStyle w:val="Table8"/>
            <w:tblW w:w="879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5460"/>
            <w:tblGridChange w:id="0">
              <w:tblGrid>
                <w:gridCol w:w="3330"/>
                <w:gridCol w:w="5460"/>
              </w:tblGrid>
            </w:tblGridChange>
          </w:tblGrid>
          <w:tr>
            <w:trPr>
              <w:cantSplit w:val="0"/>
              <w:trHeight w:val="559" w:hRule="atLeast"/>
              <w:tblHeader w:val="0"/>
            </w:trPr>
            <w:tc>
              <w:tcPr>
                <w:shd w:fill="1f3b5c" w:val="clear"/>
              </w:tcPr>
              <w:p w:rsidR="00000000" w:rsidDel="00000000" w:rsidP="00000000" w:rsidRDefault="00000000" w:rsidRPr="00000000" w14:paraId="00000179">
                <w:pPr>
                  <w:rPr/>
                </w:pPr>
                <w:r w:rsidDel="00000000" w:rsidR="00000000" w:rsidRPr="00000000">
                  <w:rPr>
                    <w:b w:val="1"/>
                    <w:bCs w:val="1"/>
                    <w:color w:val="ffffff"/>
                    <w:sz w:val="19"/>
                    <w:szCs w:val="19"/>
                    <w:rtl w:val="0"/>
                  </w:rPr>
                  <w:t xml:space="preserve">Tarea</w:t>
                </w:r>
                <w:r w:rsidDel="00000000" w:rsidR="00000000" w:rsidRPr="00000000">
                  <w:rPr>
                    <w:rtl w:val="0"/>
                  </w:rPr>
                </w:r>
              </w:p>
            </w:tc>
            <w:tc>
              <w:tcPr>
                <w:shd w:fill="1f3b5c" w:val="clear"/>
              </w:tcPr>
              <w:p w:rsidR="00000000" w:rsidDel="00000000" w:rsidP="00000000" w:rsidRDefault="00000000" w:rsidRPr="00000000" w14:paraId="0000017A">
                <w:pPr>
                  <w:rPr>
                    <w:b w:val="1"/>
                    <w:bCs w:val="1"/>
                    <w:color w:val="ffffff"/>
                    <w:sz w:val="19"/>
                    <w:szCs w:val="19"/>
                  </w:rPr>
                </w:pPr>
                <w:r w:rsidDel="00000000" w:rsidR="00000000" w:rsidRPr="00000000">
                  <w:rPr>
                    <w:b w:val="1"/>
                    <w:bCs w:val="1"/>
                    <w:color w:val="ffffff"/>
                    <w:sz w:val="19"/>
                    <w:szCs w:val="19"/>
                    <w:rtl w:val="0"/>
                  </w:rPr>
                  <w:t xml:space="preserve">Descripción</w:t>
                </w:r>
              </w:p>
            </w:tc>
          </w:tr>
          <w:tr>
            <w:trPr>
              <w:cantSplit w:val="0"/>
              <w:trHeight w:val="559" w:hRule="atLeast"/>
              <w:tblHeader w:val="0"/>
            </w:trPr>
            <w:tc>
              <w:tcPr/>
              <w:p w:rsidR="00000000" w:rsidDel="00000000" w:rsidP="00000000" w:rsidRDefault="00000000" w:rsidRPr="00000000" w14:paraId="0000017B">
                <w:pPr>
                  <w:rPr>
                    <w:sz w:val="20"/>
                    <w:szCs w:val="20"/>
                  </w:rPr>
                </w:pPr>
                <w:r w:rsidDel="00000000" w:rsidR="00000000" w:rsidRPr="00000000">
                  <w:rPr>
                    <w:sz w:val="20"/>
                    <w:szCs w:val="20"/>
                    <w:rtl w:val="0"/>
                  </w:rPr>
                  <w:t xml:space="preserve">Planificación del desarrollo y documentación inicial.</w:t>
                </w:r>
              </w:p>
            </w:tc>
            <w:tc>
              <w:tcPr/>
              <w:p w:rsidR="00000000" w:rsidDel="00000000" w:rsidP="00000000" w:rsidRDefault="00000000" w:rsidRPr="00000000" w14:paraId="0000017C">
                <w:pPr>
                  <w:rPr>
                    <w:sz w:val="20"/>
                    <w:szCs w:val="20"/>
                  </w:rPr>
                </w:pPr>
                <w:r w:rsidDel="00000000" w:rsidR="00000000" w:rsidRPr="00000000">
                  <w:rPr>
                    <w:sz w:val="20"/>
                    <w:szCs w:val="20"/>
                    <w:rtl w:val="0"/>
                  </w:rPr>
                  <w:t xml:space="preserve">Redactar relevancia, objetivos, metodología, plan de trabajo y Gantt</w:t>
                </w:r>
              </w:p>
            </w:tc>
          </w:tr>
          <w:tr>
            <w:trPr>
              <w:cantSplit w:val="0"/>
              <w:trHeight w:val="559" w:hRule="atLeast"/>
              <w:tblHeader w:val="0"/>
            </w:trPr>
            <w:tc>
              <w:tcPr/>
              <w:p w:rsidR="00000000" w:rsidDel="00000000" w:rsidP="00000000" w:rsidRDefault="00000000" w:rsidRPr="00000000" w14:paraId="0000017D">
                <w:pPr>
                  <w:rPr>
                    <w:sz w:val="20"/>
                    <w:szCs w:val="20"/>
                  </w:rPr>
                </w:pPr>
                <w:r w:rsidDel="00000000" w:rsidR="00000000" w:rsidRPr="00000000">
                  <w:rPr>
                    <w:sz w:val="20"/>
                    <w:szCs w:val="20"/>
                    <w:rtl w:val="0"/>
                  </w:rPr>
                  <w:t xml:space="preserve">Elaboración de documentos de diseño y especificaciones.</w:t>
                </w:r>
              </w:p>
            </w:tc>
            <w:tc>
              <w:tcPr/>
              <w:p w:rsidR="00000000" w:rsidDel="00000000" w:rsidP="00000000" w:rsidRDefault="00000000" w:rsidRPr="00000000" w14:paraId="0000017E">
                <w:pPr>
                  <w:rPr>
                    <w:sz w:val="20"/>
                    <w:szCs w:val="20"/>
                  </w:rPr>
                </w:pPr>
                <w:r w:rsidDel="00000000" w:rsidR="00000000" w:rsidRPr="00000000">
                  <w:rPr>
                    <w:sz w:val="20"/>
                    <w:szCs w:val="20"/>
                    <w:rtl w:val="0"/>
                  </w:rPr>
                  <w:t xml:space="preserve">Especificar los requerimientos y modelo de datos de la API. Entregar mockups, diagramas y casos de uso.</w:t>
                </w:r>
              </w:p>
            </w:tc>
          </w:tr>
          <w:tr>
            <w:trPr>
              <w:cantSplit w:val="0"/>
              <w:trHeight w:val="559" w:hRule="atLeast"/>
              <w:tblHeader w:val="0"/>
            </w:trPr>
            <w:tc>
              <w:tcPr/>
              <w:p w:rsidR="00000000" w:rsidDel="00000000" w:rsidP="00000000" w:rsidRDefault="00000000" w:rsidRPr="00000000" w14:paraId="0000017F">
                <w:pPr>
                  <w:rPr>
                    <w:sz w:val="20"/>
                    <w:szCs w:val="20"/>
                  </w:rPr>
                </w:pPr>
                <w:r w:rsidDel="00000000" w:rsidR="00000000" w:rsidRPr="00000000">
                  <w:rPr>
                    <w:sz w:val="20"/>
                    <w:szCs w:val="20"/>
                    <w:rtl w:val="0"/>
                  </w:rPr>
                  <w:t xml:space="preserve">Desarrollo del alta de fabricantes y de la autenticación.</w:t>
                </w:r>
              </w:p>
            </w:tc>
            <w:tc>
              <w:tcPr/>
              <w:p w:rsidR="00000000" w:rsidDel="00000000" w:rsidP="00000000" w:rsidRDefault="00000000" w:rsidRPr="00000000" w14:paraId="00000180">
                <w:pPr>
                  <w:rPr>
                    <w:sz w:val="20"/>
                    <w:szCs w:val="20"/>
                  </w:rPr>
                </w:pPr>
                <w:r w:rsidDel="00000000" w:rsidR="00000000" w:rsidRPr="00000000">
                  <w:rPr>
                    <w:sz w:val="20"/>
                    <w:szCs w:val="20"/>
                    <w:rtl w:val="0"/>
                  </w:rPr>
                  <w:t xml:space="preserve">Registro y verificación de fabricantes, apps con credenciales, OAuth 2.0 con token de 1 hora, sandbox y paso a producción.</w:t>
                </w:r>
              </w:p>
            </w:tc>
          </w:tr>
          <w:tr>
            <w:trPr>
              <w:cantSplit w:val="0"/>
              <w:trHeight w:val="559" w:hRule="atLeast"/>
              <w:tblHeader w:val="0"/>
            </w:trPr>
            <w:tc>
              <w:tcPr/>
              <w:p w:rsidR="00000000" w:rsidDel="00000000" w:rsidP="00000000" w:rsidRDefault="00000000" w:rsidRPr="00000000" w14:paraId="00000181">
                <w:pPr>
                  <w:rPr>
                    <w:sz w:val="20"/>
                    <w:szCs w:val="20"/>
                  </w:rPr>
                </w:pPr>
                <w:r w:rsidDel="00000000" w:rsidR="00000000" w:rsidRPr="00000000">
                  <w:rPr>
                    <w:sz w:val="20"/>
                    <w:szCs w:val="20"/>
                    <w:rtl w:val="0"/>
                  </w:rPr>
                  <w:t xml:space="preserve">Interfaz de prueba y panel clínico.</w:t>
                </w:r>
              </w:p>
            </w:tc>
            <w:tc>
              <w:tcPr/>
              <w:p w:rsidR="00000000" w:rsidDel="00000000" w:rsidP="00000000" w:rsidRDefault="00000000" w:rsidRPr="00000000" w14:paraId="00000182">
                <w:pPr>
                  <w:rPr>
                    <w:sz w:val="20"/>
                    <w:szCs w:val="20"/>
                  </w:rPr>
                </w:pPr>
                <w:r w:rsidDel="00000000" w:rsidR="00000000" w:rsidRPr="00000000">
                  <w:rPr>
                    <w:sz w:val="20"/>
                    <w:szCs w:val="20"/>
                    <w:rtl w:val="0"/>
                  </w:rPr>
                  <w:t xml:space="preserve">Interfaz para probar el flujo completo del fabricante (solo en desarrollo) y sección de dispositivos conectados en el panel clínico.</w:t>
                </w:r>
              </w:p>
            </w:tc>
          </w:tr>
          <w:tr>
            <w:trPr>
              <w:cantSplit w:val="0"/>
              <w:trHeight w:val="559" w:hRule="atLeast"/>
              <w:tblHeader w:val="0"/>
            </w:trPr>
            <w:tc>
              <w:tcPr/>
              <w:p w:rsidR="00000000" w:rsidDel="00000000" w:rsidP="00000000" w:rsidRDefault="00000000" w:rsidRPr="00000000" w14:paraId="00000183">
                <w:pPr>
                  <w:rPr>
                    <w:sz w:val="20"/>
                    <w:szCs w:val="20"/>
                  </w:rPr>
                </w:pPr>
                <w:r w:rsidDel="00000000" w:rsidR="00000000" w:rsidRPr="00000000">
                  <w:rPr>
                    <w:sz w:val="20"/>
                    <w:szCs w:val="20"/>
                    <w:rtl w:val="0"/>
                  </w:rPr>
                  <w:t xml:space="preserve">Vinculación de pacientes, recepción de datos y consultas (versión alfa).</w:t>
                </w:r>
              </w:p>
            </w:tc>
            <w:tc>
              <w:tcPr/>
              <w:p w:rsidR="00000000" w:rsidDel="00000000" w:rsidP="00000000" w:rsidRDefault="00000000" w:rsidRPr="00000000" w14:paraId="00000184">
                <w:pPr>
                  <w:rPr>
                    <w:sz w:val="20"/>
                    <w:szCs w:val="20"/>
                  </w:rPr>
                </w:pPr>
                <w:r w:rsidDel="00000000" w:rsidR="00000000" w:rsidRPr="00000000">
                  <w:rPr>
                    <w:sz w:val="20"/>
                    <w:szCs w:val="20"/>
                    <w:rtl w:val="0"/>
                  </w:rPr>
                  <w:t xml:space="preserve">Código de emparejamiento y consentimiento, recepción y normalización de datos, consultas para la app y el panel clínico, y webhooks.</w:t>
                </w:r>
              </w:p>
            </w:tc>
          </w:tr>
          <w:tr>
            <w:trPr>
              <w:cantSplit w:val="0"/>
              <w:trHeight w:val="559" w:hRule="atLeast"/>
              <w:tblHeader w:val="0"/>
            </w:trPr>
            <w:tc>
              <w:tcPr/>
              <w:p w:rsidR="00000000" w:rsidDel="00000000" w:rsidP="00000000" w:rsidRDefault="00000000" w:rsidRPr="00000000" w14:paraId="00000185">
                <w:pPr>
                  <w:rPr>
                    <w:sz w:val="20"/>
                    <w:szCs w:val="20"/>
                  </w:rPr>
                </w:pPr>
                <w:r w:rsidDel="00000000" w:rsidR="00000000" w:rsidRPr="00000000">
                  <w:rPr>
                    <w:sz w:val="20"/>
                    <w:szCs w:val="20"/>
                    <w:rtl w:val="0"/>
                  </w:rPr>
                  <w:t xml:space="preserve">Revisión de seguridad e integración en la plataforma WellQ.</w:t>
                </w:r>
              </w:p>
            </w:tc>
            <w:tc>
              <w:tcPr/>
              <w:p w:rsidR="00000000" w:rsidDel="00000000" w:rsidP="00000000" w:rsidRDefault="00000000" w:rsidRPr="00000000" w14:paraId="00000186">
                <w:pPr>
                  <w:rPr>
                    <w:sz w:val="20"/>
                    <w:szCs w:val="20"/>
                  </w:rPr>
                </w:pPr>
                <w:r w:rsidDel="00000000" w:rsidR="00000000" w:rsidRPr="00000000">
                  <w:rPr>
                    <w:sz w:val="20"/>
                    <w:szCs w:val="20"/>
                    <w:rtl w:val="0"/>
                  </w:rPr>
                  <w:t xml:space="preserve">Revisión de la versión alfa, corrección de los fallos encontrados e integración en la plataforma WellQ.</w:t>
                </w:r>
              </w:p>
            </w:tc>
          </w:tr>
          <w:tr>
            <w:trPr>
              <w:cantSplit w:val="0"/>
              <w:trHeight w:val="559" w:hRule="atLeast"/>
              <w:tblHeader w:val="0"/>
            </w:trPr>
            <w:tc>
              <w:tcPr/>
              <w:p w:rsidR="00000000" w:rsidDel="00000000" w:rsidP="00000000" w:rsidRDefault="00000000" w:rsidRPr="00000000" w14:paraId="00000187">
                <w:pPr>
                  <w:rPr>
                    <w:sz w:val="20"/>
                    <w:szCs w:val="20"/>
                  </w:rPr>
                </w:pPr>
                <w:r w:rsidDel="00000000" w:rsidR="00000000" w:rsidRPr="00000000">
                  <w:rPr>
                    <w:sz w:val="20"/>
                    <w:szCs w:val="20"/>
                    <w:rtl w:val="0"/>
                  </w:rPr>
                  <w:t xml:space="preserve">Pruebas de carga y desempeño.</w:t>
                </w:r>
              </w:p>
            </w:tc>
            <w:tc>
              <w:tcPr/>
              <w:p w:rsidR="00000000" w:rsidDel="00000000" w:rsidP="00000000" w:rsidRDefault="00000000" w:rsidRPr="00000000" w14:paraId="00000188">
                <w:pPr>
                  <w:rPr>
                    <w:sz w:val="20"/>
                    <w:szCs w:val="20"/>
                  </w:rPr>
                </w:pPr>
                <w:r w:rsidDel="00000000" w:rsidR="00000000" w:rsidRPr="00000000">
                  <w:rPr>
                    <w:sz w:val="20"/>
                    <w:szCs w:val="20"/>
                    <w:rtl w:val="0"/>
                  </w:rPr>
                  <w:t xml:space="preserve">Pruebas en staging con MongoDB y Redis reales, pruebas de contrato desde el OpenAPI y verificación de funcionalidades.</w:t>
                </w:r>
              </w:p>
            </w:tc>
          </w:tr>
          <w:tr>
            <w:trPr>
              <w:cantSplit w:val="0"/>
              <w:trHeight w:val="559" w:hRule="atLeast"/>
              <w:tblHeader w:val="0"/>
            </w:trPr>
            <w:tc>
              <w:tcPr/>
              <w:p w:rsidR="00000000" w:rsidDel="00000000" w:rsidP="00000000" w:rsidRDefault="00000000" w:rsidRPr="00000000" w14:paraId="00000189">
                <w:pPr>
                  <w:rPr>
                    <w:sz w:val="20"/>
                    <w:szCs w:val="20"/>
                  </w:rPr>
                </w:pPr>
                <w:r w:rsidDel="00000000" w:rsidR="00000000" w:rsidRPr="00000000">
                  <w:rPr>
                    <w:sz w:val="20"/>
                    <w:szCs w:val="20"/>
                    <w:rtl w:val="0"/>
                  </w:rPr>
                  <w:t xml:space="preserve">Piloto con fabricante y entrega del producto final.</w:t>
                </w:r>
              </w:p>
            </w:tc>
            <w:tc>
              <w:tcPr/>
              <w:p w:rsidR="00000000" w:rsidDel="00000000" w:rsidP="00000000" w:rsidRDefault="00000000" w:rsidRPr="00000000" w14:paraId="0000018A">
                <w:pPr>
                  <w:rPr>
                    <w:sz w:val="20"/>
                    <w:szCs w:val="20"/>
                  </w:rPr>
                </w:pPr>
                <w:r w:rsidDel="00000000" w:rsidR="00000000" w:rsidRPr="00000000">
                  <w:rPr>
                    <w:sz w:val="20"/>
                    <w:szCs w:val="20"/>
                    <w:rtl w:val="0"/>
                  </w:rPr>
                  <w:t xml:space="preserve">Piloto con un fabricante real (Hytro, por confirmar), corrección de defectos y entrega del repositorio en GitHub.</w:t>
                </w:r>
              </w:p>
            </w:tc>
          </w:tr>
          <w:tr>
            <w:trPr>
              <w:cantSplit w:val="0"/>
              <w:trHeight w:val="559" w:hRule="atLeast"/>
              <w:tblHeader w:val="0"/>
            </w:trPr>
            <w:tc>
              <w:tcPr/>
              <w:p w:rsidR="00000000" w:rsidDel="00000000" w:rsidP="00000000" w:rsidRDefault="00000000" w:rsidRPr="00000000" w14:paraId="0000018B">
                <w:pPr>
                  <w:rPr>
                    <w:sz w:val="20"/>
                    <w:szCs w:val="20"/>
                  </w:rPr>
                </w:pPr>
                <w:r w:rsidDel="00000000" w:rsidR="00000000" w:rsidRPr="00000000">
                  <w:rPr>
                    <w:sz w:val="20"/>
                    <w:szCs w:val="20"/>
                    <w:rtl w:val="0"/>
                  </w:rPr>
                  <w:t xml:space="preserve">Entrega de documentación final.</w:t>
                </w:r>
              </w:p>
            </w:tc>
            <w:tc>
              <w:tcPr/>
              <w:p w:rsidR="00000000" w:rsidDel="00000000" w:rsidP="00000000" w:rsidRDefault="00000000" w:rsidRPr="00000000" w14:paraId="0000018C">
                <w:pPr>
                  <w:rPr>
                    <w:sz w:val="20"/>
                    <w:szCs w:val="20"/>
                  </w:rPr>
                </w:pPr>
                <w:r w:rsidDel="00000000" w:rsidR="00000000" w:rsidRPr="00000000">
                  <w:rPr>
                    <w:sz w:val="20"/>
                    <w:szCs w:val="20"/>
                    <w:rtl w:val="0"/>
                  </w:rPr>
                  <w:t xml:space="preserve">Se entrega la documentación detallando el desarrollo del proyecto, funcionalidades y modo de uso del producto.</w:t>
                </w:r>
              </w:p>
            </w:tc>
          </w:tr>
        </w:tbl>
      </w:sdtContent>
    </w:sdt>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jc w:val="both"/>
        <w:rPr>
          <w:rFonts w:ascii="Calibri" w:cs="Calibri" w:eastAsia="Calibri" w:hAnsi="Calibri"/>
        </w:rPr>
      </w:pPr>
      <w:r w:rsidDel="00000000" w:rsidR="00000000" w:rsidRPr="00000000">
        <w:rPr>
          <w:rFonts w:ascii="Calibri" w:cs="Calibri" w:eastAsia="Calibri" w:hAnsi="Calibri"/>
          <w:rtl w:val="0"/>
        </w:rPr>
        <w:t xml:space="preserve">4.1.4 Diagrama EDT</w:t>
      </w:r>
    </w:p>
    <w:p w:rsidR="00000000" w:rsidDel="00000000" w:rsidP="00000000" w:rsidRDefault="00000000" w:rsidRPr="00000000" w14:paraId="0000018F">
      <w:pPr>
        <w:keepNext w:val="1"/>
        <w:spacing w:after="60" w:before="240" w:line="240" w:lineRule="auto"/>
        <w:ind w:left="-992" w:hanging="719.9999999999999"/>
        <w:jc w:val="both"/>
        <w:rPr>
          <w:b w:val="1"/>
          <w:bCs w:val="1"/>
          <w:color w:val="548dd4"/>
          <w:sz w:val="26"/>
          <w:szCs w:val="26"/>
        </w:rPr>
      </w:pPr>
      <w:bookmarkStart w:colFirst="0" w:colLast="0" w:name="_heading=h.5fqi6er0c6s6" w:id="2"/>
      <w:bookmarkEnd w:id="2"/>
      <w:r w:rsidDel="00000000" w:rsidR="00000000" w:rsidRPr="00000000">
        <w:rPr>
          <w:b w:val="1"/>
          <w:bCs w:val="1"/>
          <w:color w:val="548dd4"/>
          <w:sz w:val="26"/>
          <w:szCs w:val="26"/>
        </w:rPr>
        <w:drawing>
          <wp:inline distB="114300" distT="114300" distL="114300" distR="114300">
            <wp:extent cx="7773352" cy="3298935"/>
            <wp:effectExtent b="0" l="0" r="0" t="0"/>
            <wp:docPr id="25" name="image11.png"/>
            <a:graphic>
              <a:graphicData uri="http://schemas.openxmlformats.org/drawingml/2006/picture">
                <pic:pic>
                  <pic:nvPicPr>
                    <pic:cNvPr id="0" name="image11.png"/>
                    <pic:cNvPicPr preferRelativeResize="0"/>
                  </pic:nvPicPr>
                  <pic:blipFill>
                    <a:blip r:embed="rId7"/>
                    <a:srcRect b="24627" l="0" r="0" t="0"/>
                    <a:stretch>
                      <a:fillRect/>
                    </a:stretch>
                  </pic:blipFill>
                  <pic:spPr>
                    <a:xfrm>
                      <a:off x="0" y="0"/>
                      <a:ext cx="7773352" cy="329893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ind w:left="-1417" w:firstLine="0"/>
        <w:jc w:val="both"/>
        <w:rPr>
          <w:color w:val="ff0000"/>
        </w:rPr>
      </w:pPr>
      <w:r w:rsidDel="00000000" w:rsidR="00000000" w:rsidRPr="00000000">
        <w:rPr>
          <w:rtl w:val="0"/>
        </w:rPr>
      </w:r>
    </w:p>
    <w:p w:rsidR="00000000" w:rsidDel="00000000" w:rsidP="00000000" w:rsidRDefault="00000000" w:rsidRPr="00000000" w14:paraId="00000191">
      <w:pPr>
        <w:pStyle w:val="Heading3"/>
        <w:jc w:val="both"/>
        <w:rPr>
          <w:rFonts w:ascii="Calibri" w:cs="Calibri" w:eastAsia="Calibri" w:hAnsi="Calibri"/>
        </w:rPr>
      </w:pPr>
      <w:r w:rsidDel="00000000" w:rsidR="00000000" w:rsidRPr="00000000">
        <w:rPr>
          <w:rFonts w:ascii="Calibri" w:cs="Calibri" w:eastAsia="Calibri" w:hAnsi="Calibri"/>
          <w:rtl w:val="0"/>
        </w:rPr>
        <w:t xml:space="preserve">4.1.5 Carta Gantt</w:t>
      </w:r>
    </w:p>
    <w:p w:rsidR="00000000" w:rsidDel="00000000" w:rsidP="00000000" w:rsidRDefault="00000000" w:rsidRPr="00000000" w14:paraId="00000192">
      <w:pPr>
        <w:jc w:val="both"/>
        <w:rPr/>
      </w:pPr>
      <w:r w:rsidDel="00000000" w:rsidR="00000000" w:rsidRPr="00000000">
        <w:rPr/>
        <w:drawing>
          <wp:inline distB="114300" distT="114300" distL="114300" distR="114300">
            <wp:extent cx="4914900" cy="3171825"/>
            <wp:effectExtent b="0" l="0" r="0" t="0"/>
            <wp:docPr id="2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9149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ind w:left="-1417" w:firstLine="0"/>
        <w:jc w:val="both"/>
        <w:rPr/>
      </w:pPr>
      <w:r w:rsidDel="00000000" w:rsidR="00000000" w:rsidRPr="00000000">
        <w:rPr/>
        <w:drawing>
          <wp:inline distB="114300" distT="114300" distL="114300" distR="114300">
            <wp:extent cx="7420351" cy="1729636"/>
            <wp:effectExtent b="0" l="0" r="0" t="0"/>
            <wp:docPr id="2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420351" cy="1729636"/>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1"/>
        <w:pBdr>
          <w:top w:space="0" w:sz="0" w:val="nil"/>
          <w:left w:space="0" w:sz="0" w:val="nil"/>
          <w:bottom w:space="0" w:sz="0" w:val="nil"/>
          <w:right w:space="0" w:sz="0" w:val="nil"/>
          <w:between w:space="0" w:sz="0" w:val="nil"/>
        </w:pBdr>
        <w:spacing w:after="60" w:before="240" w:line="240" w:lineRule="auto"/>
        <w:ind w:left="1287" w:hanging="720"/>
        <w:jc w:val="both"/>
        <w:rPr>
          <w:b w:val="1"/>
          <w:bCs w:val="1"/>
          <w:color w:val="548dd4"/>
          <w:sz w:val="26"/>
          <w:szCs w:val="26"/>
        </w:rPr>
      </w:pPr>
      <w:bookmarkStart w:colFirst="0" w:colLast="0" w:name="_heading=h.gxksxav6cg37" w:id="3"/>
      <w:bookmarkEnd w:id="3"/>
      <w:r w:rsidDel="00000000" w:rsidR="00000000" w:rsidRPr="00000000">
        <w:rPr>
          <w:rtl w:val="0"/>
        </w:rPr>
      </w:r>
    </w:p>
    <w:p w:rsidR="00000000" w:rsidDel="00000000" w:rsidP="00000000" w:rsidRDefault="00000000" w:rsidRPr="00000000" w14:paraId="00000195">
      <w:pPr>
        <w:pStyle w:val="Heading3"/>
        <w:jc w:val="both"/>
        <w:rPr>
          <w:rFonts w:ascii="Calibri" w:cs="Calibri" w:eastAsia="Calibri" w:hAnsi="Calibri"/>
        </w:rPr>
      </w:pPr>
      <w:r w:rsidDel="00000000" w:rsidR="00000000" w:rsidRPr="00000000">
        <w:rPr>
          <w:rFonts w:ascii="Calibri" w:cs="Calibri" w:eastAsia="Calibri" w:hAnsi="Calibri"/>
          <w:rtl w:val="0"/>
        </w:rPr>
        <w:t xml:space="preserve">4.1.6 Resumen Costos del Desarrollo del Proyecto</w:t>
      </w:r>
    </w:p>
    <w:sdt>
      <w:sdtPr>
        <w:lock w:val="contentLocked"/>
        <w:id w:val="2008369228"/>
        <w:tag w:val="goog_rdk_4"/>
      </w:sdtPr>
      <w:sdtContent>
        <w:tbl>
          <w:tblPr>
            <w:tblStyle w:val="Table9"/>
            <w:tblW w:w="879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5460"/>
            <w:tblGridChange w:id="0">
              <w:tblGrid>
                <w:gridCol w:w="3330"/>
                <w:gridCol w:w="5460"/>
              </w:tblGrid>
            </w:tblGridChange>
          </w:tblGrid>
          <w:tr>
            <w:trPr>
              <w:cantSplit w:val="0"/>
              <w:tblHeader w:val="0"/>
            </w:trPr>
            <w:tc>
              <w:tcPr>
                <w:shd w:fill="1f3b5c" w:val="clear"/>
              </w:tcPr>
              <w:p w:rsidR="00000000" w:rsidDel="00000000" w:rsidP="00000000" w:rsidRDefault="00000000" w:rsidRPr="00000000" w14:paraId="00000196">
                <w:pPr>
                  <w:rPr/>
                </w:pPr>
                <w:r w:rsidDel="00000000" w:rsidR="00000000" w:rsidRPr="00000000">
                  <w:rPr>
                    <w:b w:val="1"/>
                    <w:bCs w:val="1"/>
                    <w:color w:val="ffffff"/>
                    <w:sz w:val="19"/>
                    <w:szCs w:val="19"/>
                    <w:rtl w:val="0"/>
                  </w:rPr>
                  <w:t xml:space="preserve">Concepto</w:t>
                </w:r>
                <w:r w:rsidDel="00000000" w:rsidR="00000000" w:rsidRPr="00000000">
                  <w:rPr>
                    <w:rtl w:val="0"/>
                  </w:rPr>
                </w:r>
              </w:p>
            </w:tc>
            <w:tc>
              <w:tcPr>
                <w:shd w:fill="1f3b5c" w:val="clear"/>
              </w:tcPr>
              <w:p w:rsidR="00000000" w:rsidDel="00000000" w:rsidP="00000000" w:rsidRDefault="00000000" w:rsidRPr="00000000" w14:paraId="00000197">
                <w:pPr>
                  <w:rPr>
                    <w:b w:val="1"/>
                    <w:bCs w:val="1"/>
                    <w:color w:val="ffffff"/>
                    <w:sz w:val="19"/>
                    <w:szCs w:val="19"/>
                  </w:rPr>
                </w:pPr>
                <w:r w:rsidDel="00000000" w:rsidR="00000000" w:rsidRPr="00000000">
                  <w:rPr>
                    <w:b w:val="1"/>
                    <w:bCs w:val="1"/>
                    <w:color w:val="ffffff"/>
                    <w:sz w:val="19"/>
                    <w:szCs w:val="19"/>
                    <w:rtl w:val="0"/>
                  </w:rPr>
                  <w:t xml:space="preserve">Monto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Herramientas de desarrollo (editor, IDE, cliente HTTP)</w:t>
                </w:r>
              </w:p>
            </w:tc>
            <w:tc>
              <w:tcPr>
                <w:tcBorders>
                  <w:top w:color="7f7f7f" w:space="0" w:sz="6" w:val="single"/>
                  <w:left w:color="000000" w:space="0" w:sz="6" w:val="single"/>
                  <w:bottom w:color="7f7f7f" w:space="0" w:sz="6" w:val="single"/>
                  <w:right w:color="7f7f7f" w:space="0" w:sz="6"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jc w:val="center"/>
                  <w:rPr>
                    <w:rFonts w:ascii="Arial" w:cs="Arial" w:eastAsia="Arial" w:hAnsi="Arial"/>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Lenguaje, framework y base de datos</w:t>
                </w:r>
              </w:p>
            </w:tc>
            <w:tc>
              <w:tcPr>
                <w:tcBorders>
                  <w:top w:color="000000" w:space="0" w:sz="0" w:val="nil"/>
                  <w:left w:color="000000" w:space="0" w:sz="6" w:val="single"/>
                  <w:bottom w:color="7f7f7f" w:space="0" w:sz="6" w:val="single"/>
                  <w:right w:color="7f7f7f" w:space="0" w:sz="6"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jc w:val="center"/>
                  <w:rPr>
                    <w:rFonts w:ascii="Arial" w:cs="Arial" w:eastAsia="Arial" w:hAnsi="Arial"/>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Hosting / despliegue (infraestructura existente de WellQ)</w:t>
                </w:r>
              </w:p>
            </w:tc>
            <w:tc>
              <w:tcPr>
                <w:tcBorders>
                  <w:top w:color="000000" w:space="0" w:sz="0" w:val="nil"/>
                  <w:left w:color="000000" w:space="0" w:sz="6" w:val="single"/>
                  <w:bottom w:color="7f7f7f" w:space="0" w:sz="6" w:val="single"/>
                  <w:right w:color="7f7f7f" w:space="0" w:sz="6"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line="276" w:lineRule="auto"/>
                  <w:jc w:val="center"/>
                  <w:rPr>
                    <w:rFonts w:ascii="Arial" w:cs="Arial" w:eastAsia="Arial" w:hAnsi="Arial"/>
                  </w:rPr>
                </w:pPr>
                <w:r w:rsidDel="00000000" w:rsidR="00000000" w:rsidRPr="00000000">
                  <w:rPr>
                    <w:sz w:val="20"/>
                    <w:szCs w:val="20"/>
                    <w:rtl w:val="0"/>
                  </w:rPr>
                  <w:t xml:space="preserve">$0</w:t>
                </w:r>
                <w:r w:rsidDel="00000000" w:rsidR="00000000" w:rsidRPr="00000000">
                  <w:rPr>
                    <w:rtl w:val="0"/>
                  </w:rPr>
                </w:r>
              </w:p>
            </w:tc>
          </w:tr>
        </w:tbl>
      </w:sdtContent>
    </w:sdt>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pStyle w:val="Heading1"/>
        <w:jc w:val="both"/>
        <w:rPr>
          <w:rFonts w:ascii="Calibri" w:cs="Calibri" w:eastAsia="Calibri" w:hAnsi="Calibri"/>
        </w:rPr>
      </w:pPr>
      <w:r w:rsidDel="00000000" w:rsidR="00000000" w:rsidRPr="00000000">
        <w:rPr>
          <w:rFonts w:ascii="Calibri" w:cs="Calibri" w:eastAsia="Calibri" w:hAnsi="Calibri"/>
          <w:rtl w:val="0"/>
        </w:rPr>
        <w:t xml:space="preserve">5.  Anexos</w:t>
      </w:r>
    </w:p>
    <w:p w:rsidR="00000000" w:rsidDel="00000000" w:rsidP="00000000" w:rsidRDefault="00000000" w:rsidRPr="00000000" w14:paraId="000001A0">
      <w:pPr>
        <w:pStyle w:val="Heading2"/>
        <w:spacing w:after="60" w:before="240" w:line="240" w:lineRule="auto"/>
        <w:ind w:left="1287" w:hanging="720"/>
        <w:jc w:val="both"/>
        <w:rPr>
          <w:rFonts w:ascii="Calibri" w:cs="Calibri" w:eastAsia="Calibri" w:hAnsi="Calibri"/>
        </w:rPr>
      </w:pPr>
      <w:r w:rsidDel="00000000" w:rsidR="00000000" w:rsidRPr="00000000">
        <w:rPr>
          <w:rFonts w:ascii="Calibri" w:cs="Calibri" w:eastAsia="Calibri" w:hAnsi="Calibri"/>
          <w:rtl w:val="0"/>
        </w:rPr>
        <w:t xml:space="preserve">5.1 Acta de Proyecto</w:t>
      </w:r>
    </w:p>
    <w:p w:rsidR="00000000" w:rsidDel="00000000" w:rsidP="00000000" w:rsidRDefault="00000000" w:rsidRPr="00000000" w14:paraId="000001A1">
      <w:pPr>
        <w:jc w:val="both"/>
        <w:rPr>
          <w:color w:val="ff0000"/>
        </w:rPr>
      </w:pPr>
      <w:r w:rsidDel="00000000" w:rsidR="00000000" w:rsidRPr="00000000">
        <w:rPr>
          <w:rtl w:val="0"/>
        </w:rPr>
        <w:t xml:space="preserve">El Acta de Constitución del Proyecto está en el archivo "Acta de constitución y lista de interesados.xlsx" (carpeta Documentos de diseño), hoja ACTA DE CONSTITUCIÓN.</w:t>
      </w:r>
      <w:r w:rsidDel="00000000" w:rsidR="00000000" w:rsidRPr="00000000">
        <w:rPr>
          <w:rtl w:val="0"/>
        </w:rPr>
      </w:r>
    </w:p>
    <w:p w:rsidR="00000000" w:rsidDel="00000000" w:rsidP="00000000" w:rsidRDefault="00000000" w:rsidRPr="00000000" w14:paraId="000001A2">
      <w:pPr>
        <w:pStyle w:val="Heading2"/>
        <w:spacing w:after="60" w:before="240" w:line="240" w:lineRule="auto"/>
        <w:ind w:left="1287" w:hanging="720"/>
        <w:jc w:val="both"/>
        <w:rPr>
          <w:rFonts w:ascii="Calibri" w:cs="Calibri" w:eastAsia="Calibri" w:hAnsi="Calibri"/>
        </w:rPr>
      </w:pPr>
      <w:r w:rsidDel="00000000" w:rsidR="00000000" w:rsidRPr="00000000">
        <w:rPr>
          <w:rFonts w:ascii="Calibri" w:cs="Calibri" w:eastAsia="Calibri" w:hAnsi="Calibri"/>
          <w:rtl w:val="0"/>
        </w:rPr>
        <w:t xml:space="preserve">5.2 Diagrama de Casos de Uso</w:t>
      </w:r>
    </w:p>
    <w:p w:rsidR="00000000" w:rsidDel="00000000" w:rsidP="00000000" w:rsidRDefault="00000000" w:rsidRPr="00000000" w14:paraId="000001A3">
      <w:pPr>
        <w:jc w:val="both"/>
        <w:rPr>
          <w:color w:val="ff0000"/>
        </w:rPr>
      </w:pPr>
      <w:r w:rsidDel="00000000" w:rsidR="00000000" w:rsidRPr="00000000">
        <w:rPr>
          <w:rtl w:val="0"/>
        </w:rPr>
        <w:t xml:space="preserve">Diagramas de casos de uso del paciente, del médico o fisioterapeuta y del fabricante (archivos en Documentos de diseño/Casos de uso):</w:t>
      </w:r>
      <w:r w:rsidDel="00000000" w:rsidR="00000000" w:rsidRPr="00000000">
        <w:rPr>
          <w:rtl w:val="0"/>
        </w:rPr>
      </w:r>
    </w:p>
    <w:p w:rsidR="00000000" w:rsidDel="00000000" w:rsidP="00000000" w:rsidRDefault="00000000" w:rsidRPr="00000000" w14:paraId="000001A4">
      <w:pPr>
        <w:jc w:val="both"/>
        <w:rPr>
          <w:color w:val="ff0000"/>
        </w:rPr>
      </w:pPr>
      <w:r w:rsidDel="00000000" w:rsidR="00000000" w:rsidRPr="00000000">
        <w:rPr/>
        <w:drawing>
          <wp:inline distB="0" distT="0" distL="0" distR="0">
            <wp:extent cx="5760000" cy="1992936"/>
            <wp:effectExtent b="0" l="0" r="0" t="0"/>
            <wp:docPr id="2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60000" cy="1992936"/>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both"/>
        <w:rPr>
          <w:color w:val="ff0000"/>
        </w:rPr>
      </w:pPr>
      <w:r w:rsidDel="00000000" w:rsidR="00000000" w:rsidRPr="00000000">
        <w:rPr/>
        <w:drawing>
          <wp:inline distB="0" distT="0" distL="0" distR="0">
            <wp:extent cx="5760000" cy="2325306"/>
            <wp:effectExtent b="0" l="0" r="0" t="0"/>
            <wp:docPr id="2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60000" cy="2325306"/>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both"/>
        <w:rPr>
          <w:color w:val="ff0000"/>
        </w:rPr>
      </w:pPr>
      <w:r w:rsidDel="00000000" w:rsidR="00000000" w:rsidRPr="00000000">
        <w:rPr/>
        <w:drawing>
          <wp:inline distB="0" distT="0" distL="0" distR="0">
            <wp:extent cx="5760000" cy="2408276"/>
            <wp:effectExtent b="0" l="0" r="0" t="0"/>
            <wp:docPr id="3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60000" cy="2408276"/>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2"/>
        <w:spacing w:after="60" w:before="240" w:line="240" w:lineRule="auto"/>
        <w:ind w:left="1287" w:hanging="720"/>
        <w:jc w:val="both"/>
        <w:rPr>
          <w:rFonts w:ascii="Calibri" w:cs="Calibri" w:eastAsia="Calibri" w:hAnsi="Calibri"/>
        </w:rPr>
      </w:pPr>
      <w:r w:rsidDel="00000000" w:rsidR="00000000" w:rsidRPr="00000000">
        <w:rPr>
          <w:rFonts w:ascii="Calibri" w:cs="Calibri" w:eastAsia="Calibri" w:hAnsi="Calibri"/>
          <w:rtl w:val="0"/>
        </w:rPr>
        <w:t xml:space="preserve">5.3 Prototipado de Software</w:t>
      </w:r>
    </w:p>
    <w:p w:rsidR="00000000" w:rsidDel="00000000" w:rsidP="00000000" w:rsidRDefault="00000000" w:rsidRPr="00000000" w14:paraId="000001A8">
      <w:pPr>
        <w:jc w:val="both"/>
        <w:rPr>
          <w:color w:val="ff0000"/>
        </w:rPr>
      </w:pPr>
      <w:r w:rsidDel="00000000" w:rsidR="00000000" w:rsidRPr="00000000">
        <w:rPr>
          <w:rtl w:val="0"/>
        </w:rPr>
        <w:t xml:space="preserve">Mockups de las interfaces de usuario del sistema (archivos en Documentos de diseño): app del paciente, portal del fabricante y panel clínico.</w:t>
      </w:r>
      <w:r w:rsidDel="00000000" w:rsidR="00000000" w:rsidRPr="00000000">
        <w:rPr>
          <w:rtl w:val="0"/>
        </w:rPr>
      </w:r>
    </w:p>
    <w:p w:rsidR="00000000" w:rsidDel="00000000" w:rsidP="00000000" w:rsidRDefault="00000000" w:rsidRPr="00000000" w14:paraId="000001A9">
      <w:pPr>
        <w:jc w:val="both"/>
        <w:rPr>
          <w:color w:val="ff0000"/>
        </w:rPr>
      </w:pPr>
      <w:r w:rsidDel="00000000" w:rsidR="00000000" w:rsidRPr="00000000">
        <w:rPr/>
        <w:drawing>
          <wp:inline distB="0" distT="0" distL="0" distR="0">
            <wp:extent cx="2340000" cy="4653165"/>
            <wp:effectExtent b="0" l="0" r="0" t="0"/>
            <wp:docPr id="3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340000" cy="465316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jc w:val="both"/>
        <w:rPr>
          <w:color w:val="ff0000"/>
        </w:rPr>
      </w:pPr>
      <w:r w:rsidDel="00000000" w:rsidR="00000000" w:rsidRPr="00000000">
        <w:rPr/>
        <w:drawing>
          <wp:inline distB="0" distT="0" distL="0" distR="0">
            <wp:extent cx="2340000" cy="4653165"/>
            <wp:effectExtent b="0" l="0" r="0" t="0"/>
            <wp:docPr id="3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340000" cy="465316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both"/>
        <w:rPr>
          <w:color w:val="ff0000"/>
        </w:rPr>
      </w:pPr>
      <w:r w:rsidDel="00000000" w:rsidR="00000000" w:rsidRPr="00000000">
        <w:rPr/>
        <w:drawing>
          <wp:inline distB="0" distT="0" distL="0" distR="0">
            <wp:extent cx="5760000" cy="3240000"/>
            <wp:effectExtent b="0" l="0" r="0" t="0"/>
            <wp:docPr id="3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60000"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both"/>
        <w:rPr>
          <w:color w:val="ff0000"/>
        </w:rPr>
      </w:pPr>
      <w:r w:rsidDel="00000000" w:rsidR="00000000" w:rsidRPr="00000000">
        <w:rPr/>
        <w:drawing>
          <wp:inline distB="0" distT="0" distL="0" distR="0">
            <wp:extent cx="5760000" cy="3240000"/>
            <wp:effectExtent b="0" l="0" r="0" t="0"/>
            <wp:docPr id="3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60000"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jc w:val="both"/>
        <w:rPr>
          <w:color w:val="ff0000"/>
        </w:rPr>
      </w:pPr>
      <w:r w:rsidDel="00000000" w:rsidR="00000000" w:rsidRPr="00000000">
        <w:rPr/>
        <w:drawing>
          <wp:inline distB="0" distT="0" distL="0" distR="0">
            <wp:extent cx="5760000" cy="3240000"/>
            <wp:effectExtent b="0" l="0" r="0" t="0"/>
            <wp:docPr id="3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60000"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sectPr>
      <w:headerReference r:id="rId18" w:type="default"/>
      <w:headerReference r:id="rId19" w:type="first"/>
      <w:footerReference r:id="rId20"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pPr>
    <w:r w:rsidDel="00000000" w:rsidR="00000000" w:rsidRPr="00000000">
      <w:rPr>
        <w:rtl w:val="0"/>
      </w:rPr>
      <w:t xml:space="preserve">Especificación de Requisitos, estándar de IEEE 830 </w:t>
    </w:r>
  </w:p>
  <w:p w:rsidR="00000000" w:rsidDel="00000000" w:rsidP="00000000" w:rsidRDefault="00000000" w:rsidRPr="00000000" w14:paraId="000001B0">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2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drawing>
        <wp:inline distB="0" distT="0" distL="0" distR="0">
          <wp:extent cx="3057756" cy="673742"/>
          <wp:effectExtent b="0" l="0" r="0" t="0"/>
          <wp:docPr id="36"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next w:val="Normal"/>
    <w:uiPriority w:val="39"/>
    <w:semiHidden w:val="1"/>
    <w:unhideWhenUsed w:val="1"/>
    <w:qFormat w:val="1"/>
    <w:rsid w:val="00C82195"/>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next w:val="Normal"/>
    <w:rsid w:val="00C82195"/>
    <w:pPr>
      <w:tabs>
        <w:tab w:val="num" w:pos="360"/>
      </w:tabs>
      <w:spacing w:after="60" w:before="240" w:line="240" w:lineRule="auto"/>
      <w:ind w:left="360" w:hanging="360"/>
    </w:pPr>
    <w:rPr>
      <w:rFonts w:ascii="Arial" w:cs="Arial" w:eastAsia="Times New Roman" w:hAnsi="Arial"/>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2"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0.0" w:type="dxa"/>
        <w:left w:w="115.0" w:type="dxa"/>
        <w:bottom w:w="0.0" w:type="dxa"/>
        <w:right w:w="115.0" w:type="dxa"/>
      </w:tblCellMar>
    </w:tblPr>
  </w:style>
  <w:style w:type="table" w:styleId="aa" w:customStyle="1">
    <w:basedOn w:val="TableNormal0"/>
    <w:tblPr>
      <w:tblStyleRowBandSize w:val="1"/>
      <w:tblStyleColBandSize w:val="1"/>
      <w:tblCellMar>
        <w:top w:w="0.0" w:type="dxa"/>
        <w:left w:w="115.0" w:type="dxa"/>
        <w:bottom w:w="0.0" w:type="dxa"/>
        <w:right w:w="115.0" w:type="dxa"/>
      </w:tblCellMar>
    </w:tblPr>
  </w:style>
  <w:style w:type="table" w:styleId="ab"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c"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d"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1.png"/><Relationship Id="rId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3DjMXqKoWtVz6001tLTXMQbqQw==">CgMxLjAaHwoBMBIaChgICVIUChJ0YWJsZS4xcXd4eGd0eWp0bmYaHgoBMRIZChcICVITChF0YWJsZS5zYmxocG5jeWprbBofCgEyEhoKGAgJUhQKEnRhYmxlLjhsdHY5bm43bWRhcRofCgEzEhoKGAgJUhQKEnRhYmxlLjJ4bm82YmQ1OXhtMhofCgE0EhoKGAgJUhQKEnRhYmxlLjNrNDAwZmUxY2I3ejINaC5jNHltbGU1YmY2bzIOaC5uenBieDhreHpvamsyDmguNWZxaTZlcjBjNnM2Mg5oLmd4a3N4YXY2Y2czNzgAciExOEZWZ2hMWVhQbm1oYUlNYVF4a0hUMjQ5OXAtTXZCb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2023-07-01T04:44:00Z</dcterms:created>
  <dc:creator>BQuevedo</dc:creator>
</cp:coreProperties>
</file>