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left="2160" w:firstLine="0"/>
        <w:rPr>
          <w:sz w:val="36"/>
          <w:szCs w:val="36"/>
        </w:rPr>
      </w:pPr>
      <w:bookmarkStart w:colFirst="0" w:colLast="0" w:name="_heading=h.x4d7ohwovhi1" w:id="0"/>
      <w:bookmarkEnd w:id="0"/>
      <w:r w:rsidDel="00000000" w:rsidR="00000000" w:rsidRPr="00000000">
        <w:rPr>
          <w:sz w:val="36"/>
          <w:szCs w:val="36"/>
          <w:rtl w:val="0"/>
        </w:rPr>
        <w:t xml:space="preserve">Reporte de avance de proyecto</w:t>
      </w:r>
    </w:p>
    <w:tbl>
      <w:tblPr>
        <w:tblStyle w:val="Table1"/>
        <w:tblW w:w="935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0"/>
        <w:gridCol w:w="2604"/>
        <w:gridCol w:w="2976"/>
        <w:gridCol w:w="1700"/>
        <w:tblGridChange w:id="0">
          <w:tblGrid>
            <w:gridCol w:w="2070"/>
            <w:gridCol w:w="2604"/>
            <w:gridCol w:w="2976"/>
            <w:gridCol w:w="1700"/>
          </w:tblGrid>
        </w:tblGridChange>
      </w:tblGrid>
      <w:tr>
        <w:trPr>
          <w:cantSplit w:val="0"/>
          <w:tblHeader w:val="0"/>
        </w:trPr>
        <w:tc>
          <w:tcPr>
            <w:shd w:fill="2e74b5" w:val="clear"/>
          </w:tcPr>
          <w:p w:rsidR="00000000" w:rsidDel="00000000" w:rsidP="00000000" w:rsidRDefault="00000000" w:rsidRPr="00000000" w14:paraId="00000002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 del proyecto:</w:t>
            </w:r>
          </w:p>
        </w:tc>
        <w:tc>
          <w:tcPr/>
          <w:p w:rsidR="00000000" w:rsidDel="00000000" w:rsidP="00000000" w:rsidRDefault="00000000" w:rsidRPr="00000000" w14:paraId="0000000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WellQ API</w:t>
            </w:r>
          </w:p>
        </w:tc>
        <w:tc>
          <w:tcPr>
            <w:shd w:fill="2e74b5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Periodo de reporte: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08-09-2026– 03/12/2026</w:t>
            </w:r>
          </w:p>
        </w:tc>
      </w:tr>
      <w:tr>
        <w:trPr>
          <w:cantSplit w:val="0"/>
          <w:tblHeader w:val="0"/>
        </w:trPr>
        <w:tc>
          <w:tcPr>
            <w:shd w:fill="2e74b5" w:val="clear"/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Gerente de proyecto: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Mauricio Gatica</w:t>
            </w:r>
          </w:p>
        </w:tc>
        <w:tc>
          <w:tcPr>
            <w:shd w:fill="2e74b5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de entrega de proyecto: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03/12/2026</w:t>
            </w:r>
          </w:p>
        </w:tc>
      </w:tr>
      <w:tr>
        <w:trPr>
          <w:cantSplit w:val="0"/>
          <w:tblHeader w:val="0"/>
        </w:trPr>
        <w:tc>
          <w:tcPr>
            <w:shd w:fill="2e74b5" w:val="clea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Preparado por: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Mauricio Gatica</w:t>
            </w:r>
          </w:p>
        </w:tc>
        <w:tc>
          <w:tcPr>
            <w:shd w:fill="2e74b5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de reporte: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08/09/2026</w:t>
            </w:r>
          </w:p>
        </w:tc>
      </w:tr>
    </w:tbl>
    <w:p w:rsidR="00000000" w:rsidDel="00000000" w:rsidP="00000000" w:rsidRDefault="00000000" w:rsidRPr="00000000" w14:paraId="0000000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>
          <w:color w:val="2e74b5"/>
        </w:rPr>
      </w:pPr>
      <w:bookmarkStart w:colFirst="0" w:colLast="0" w:name="_heading=h.khjxibjbvecd" w:id="1"/>
      <w:bookmarkEnd w:id="1"/>
      <w:r w:rsidDel="00000000" w:rsidR="00000000" w:rsidRPr="00000000">
        <w:rPr>
          <w:color w:val="2e74b5"/>
          <w:sz w:val="28"/>
          <w:szCs w:val="28"/>
          <w:rtl w:val="0"/>
        </w:rPr>
        <w:t xml:space="preserve">Resumen del estado del proyecto</w:t>
      </w:r>
      <w:r w:rsidDel="00000000" w:rsidR="00000000" w:rsidRPr="00000000">
        <w:rPr>
          <w:rtl w:val="0"/>
        </w:rPr>
      </w:r>
    </w:p>
    <w:tbl>
      <w:tblPr>
        <w:tblStyle w:val="Table2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55"/>
        <w:gridCol w:w="1530"/>
        <w:gridCol w:w="5670"/>
        <w:tblGridChange w:id="0">
          <w:tblGrid>
            <w:gridCol w:w="2155"/>
            <w:gridCol w:w="1530"/>
            <w:gridCol w:w="5670"/>
          </w:tblGrid>
        </w:tblGridChange>
      </w:tblGrid>
      <w:tr>
        <w:trPr>
          <w:cantSplit w:val="0"/>
          <w:tblHeader w:val="0"/>
        </w:trPr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Estado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Alcance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curso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está trabajando en la documentación inicial, esto incluye el documento ERS, casos de uso, diagrama de actividades, acta de constitución, lista de interesados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Cronograma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orden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Aunque solo se nos otorgó una semana para hacer la documentación, se ha podido ir avanzando correctamente de acuerdo al cronograma.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Costo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presupuesto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Los gastos actuales están dentro del presupuesto aprobado.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Limitados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requiere información adicional para terminar el modelado de la base de datos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Moderado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Riesgos identificados incluyen no poder terminar la documentación a tiempo debido a la falta de información.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Conforme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entregas cumplen con los estándares de calidad establecidos.</w:t>
            </w:r>
          </w:p>
        </w:tc>
      </w:tr>
    </w:tbl>
    <w:p w:rsidR="00000000" w:rsidDel="00000000" w:rsidP="00000000" w:rsidRDefault="00000000" w:rsidRPr="00000000" w14:paraId="0000002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color w:val="2e74b5"/>
          <w:sz w:val="28"/>
          <w:szCs w:val="28"/>
        </w:rPr>
      </w:pPr>
      <w:r w:rsidDel="00000000" w:rsidR="00000000" w:rsidRPr="00000000">
        <w:rPr>
          <w:b w:val="1"/>
          <w:bCs w:val="1"/>
          <w:color w:val="2e74b5"/>
          <w:sz w:val="28"/>
          <w:szCs w:val="28"/>
          <w:rtl w:val="0"/>
        </w:rPr>
        <w:t xml:space="preserve">Tareas</w:t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19"/>
        <w:gridCol w:w="1212"/>
        <w:gridCol w:w="1686"/>
        <w:gridCol w:w="1256"/>
        <w:gridCol w:w="1259"/>
        <w:gridCol w:w="1113"/>
        <w:gridCol w:w="1305"/>
        <w:tblGridChange w:id="0">
          <w:tblGrid>
            <w:gridCol w:w="1519"/>
            <w:gridCol w:w="1212"/>
            <w:gridCol w:w="1686"/>
            <w:gridCol w:w="1256"/>
            <w:gridCol w:w="1259"/>
            <w:gridCol w:w="1113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de entrega (planeada)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de entrega (real)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Porcentaje de 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Planificación del desarrollo y documentación inicial.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curso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Finalizar ERS, Acta, autoevaluaciones, proyecto APT (1.5), EDT, formativa (1.4), Actas de reunión, resolución de conflictos, estados de avance, plan de proyecto, lista de interesados.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10/09/2026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13/09/2026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ERS, acta de constitución, EDT, autoevaluaciones (1.1, 1.2, 1.3), formativa fase 1 (1.4), proyecto APT (1.5), lista de interesados.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Elaboración de documentos de diseño y especificaciones.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curso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Elaborar documentos de diseño (IEEE830, Casos de uso, diagrama de clases, diagramas de actividad, modelo de base de datos, mockups)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10/09/2026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13/09/2026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IEEE830, Diagramas de casos de uso, Diagramas de actividad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módulo de autenticación funcional.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Implementar el módulo de autenticación compatible con el flujo actual de la app.</w:t>
            </w:r>
          </w:p>
          <w:p w:rsidR="00000000" w:rsidDel="00000000" w:rsidP="00000000" w:rsidRDefault="00000000" w:rsidRPr="00000000" w14:paraId="0000003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24/09/2026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24/09/2026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Ingesta de datos de salud funcional e integración nativa de Ultrahuman. Desarrollo de endpoints.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Reimplementar los nueve endpoints de consulta que la aplicación WellQ consume hoy en Spike.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completo de integraciones (Fitbit y hltd)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Integrar de forma nativa los proveedores Ultrahuman, Fitbit y hltd, normalizando sus datos al modelo unificado de métricas.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22/10/2026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de carga y desempeño.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Validar el comportamiento equivalente del backend propio frente a la API oficial de Spike.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05/11/2026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05/11/2026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 del producto final y repositorio de github.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 de pruebas y defectos.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26/11/2026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26/11/2026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 de documentación final.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Entregar documentación del proyecto y el informe final con evidencias.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03/12/2026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03/12/2026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68">
      <w:pPr>
        <w:pStyle w:val="Heading1"/>
        <w:rPr>
          <w:sz w:val="28"/>
          <w:szCs w:val="28"/>
        </w:rPr>
      </w:pPr>
      <w:bookmarkStart w:colFirst="0" w:colLast="0" w:name="_heading=h.ur5cdbkx5gy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>
          <w:color w:val="2e74b5"/>
        </w:rPr>
      </w:pPr>
      <w:bookmarkStart w:colFirst="0" w:colLast="0" w:name="_heading=h.tt4ziyhxer7k" w:id="3"/>
      <w:bookmarkEnd w:id="3"/>
      <w:r w:rsidDel="00000000" w:rsidR="00000000" w:rsidRPr="00000000">
        <w:rPr>
          <w:color w:val="2e74b5"/>
          <w:sz w:val="28"/>
          <w:szCs w:val="28"/>
          <w:rtl w:val="0"/>
        </w:rPr>
        <w:t xml:space="preserve">Incidentes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30"/>
        <w:gridCol w:w="2100"/>
        <w:gridCol w:w="1530"/>
        <w:gridCol w:w="1440"/>
        <w:tblGridChange w:id="0">
          <w:tblGrid>
            <w:gridCol w:w="2160"/>
            <w:gridCol w:w="2130"/>
            <w:gridCol w:w="2100"/>
            <w:gridCol w:w="1530"/>
            <w:gridCol w:w="1440"/>
          </w:tblGrid>
        </w:tblGridChange>
      </w:tblGrid>
      <w:tr>
        <w:trPr>
          <w:cantSplit w:val="0"/>
          <w:tblHeader w:val="0"/>
        </w:trPr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Incidente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de identificación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Acción a tomar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Asignado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pStyle w:val="Heading1"/>
        <w:rPr>
          <w:color w:val="2e74b5"/>
        </w:rPr>
      </w:pPr>
      <w:bookmarkStart w:colFirst="0" w:colLast="0" w:name="_heading=h.whrfj08tr40m" w:id="4"/>
      <w:bookmarkEnd w:id="4"/>
      <w:r w:rsidDel="00000000" w:rsidR="00000000" w:rsidRPr="00000000">
        <w:rPr>
          <w:color w:val="2e74b5"/>
          <w:sz w:val="28"/>
          <w:szCs w:val="28"/>
          <w:rtl w:val="0"/>
        </w:rPr>
        <w:t xml:space="preserve">Presupuesto</w:t>
      </w:r>
      <w:r w:rsidDel="00000000" w:rsidR="00000000" w:rsidRPr="00000000">
        <w:rPr>
          <w:rtl w:val="0"/>
        </w:rPr>
      </w:r>
    </w:p>
    <w:tbl>
      <w:tblPr>
        <w:tblStyle w:val="Table5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70"/>
        <w:gridCol w:w="2325"/>
        <w:gridCol w:w="2250"/>
        <w:tblGridChange w:id="0">
          <w:tblGrid>
            <w:gridCol w:w="4770"/>
            <w:gridCol w:w="2325"/>
            <w:gridCol w:w="2250"/>
          </w:tblGrid>
        </w:tblGridChange>
      </w:tblGrid>
      <w:tr>
        <w:trPr>
          <w:cantSplit w:val="0"/>
          <w:tblHeader w:val="0"/>
        </w:trPr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76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Costo Estimado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78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Costo Real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Herramientas de desarrollo (editor, IDE, cliente HTTP)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$0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$0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Lenguaje, framework y base de datos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$0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$0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Hosting / despliegue del backend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$0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$0</w:t>
            </w:r>
          </w:p>
        </w:tc>
      </w:tr>
    </w:tbl>
    <w:p w:rsidR="00000000" w:rsidDel="00000000" w:rsidP="00000000" w:rsidRDefault="00000000" w:rsidRPr="00000000" w14:paraId="0000008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bCs w:val="1"/>
          <w:color w:val="2e74b5"/>
          <w:sz w:val="28"/>
          <w:szCs w:val="28"/>
        </w:rPr>
      </w:pPr>
      <w:r w:rsidDel="00000000" w:rsidR="00000000" w:rsidRPr="00000000">
        <w:rPr>
          <w:b w:val="1"/>
          <w:bCs w:val="1"/>
          <w:color w:val="2e74b5"/>
          <w:sz w:val="28"/>
          <w:szCs w:val="28"/>
          <w:rtl w:val="0"/>
        </w:rPr>
        <w:t xml:space="preserve">Hitos</w:t>
      </w:r>
    </w:p>
    <w:tbl>
      <w:tblPr>
        <w:tblStyle w:val="Table6"/>
        <w:tblW w:w="93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275"/>
        <w:gridCol w:w="4650"/>
        <w:tblGridChange w:id="0">
          <w:tblGrid>
            <w:gridCol w:w="3405"/>
            <w:gridCol w:w="1275"/>
            <w:gridCol w:w="4650"/>
          </w:tblGrid>
        </w:tblGridChange>
      </w:tblGrid>
      <w:tr>
        <w:trPr>
          <w:cantSplit w:val="0"/>
          <w:tblHeader w:val="0"/>
        </w:trPr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84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85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alcanzada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86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Planificación del desarrollo y documentación inicial.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Redactar relevancia, objetivos, metodología, plan de trabajo y Gantt</w:t>
            </w:r>
          </w:p>
        </w:tc>
      </w:tr>
    </w:tbl>
    <w:p w:rsidR="00000000" w:rsidDel="00000000" w:rsidP="00000000" w:rsidRDefault="00000000" w:rsidRPr="00000000" w14:paraId="0000008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bCs w:val="1"/>
          <w:color w:val="2e74b5"/>
          <w:sz w:val="28"/>
          <w:szCs w:val="28"/>
        </w:rPr>
      </w:pPr>
      <w:r w:rsidDel="00000000" w:rsidR="00000000" w:rsidRPr="00000000">
        <w:rPr>
          <w:b w:val="1"/>
          <w:bCs w:val="1"/>
          <w:color w:val="2e74b5"/>
          <w:sz w:val="28"/>
          <w:szCs w:val="28"/>
          <w:rtl w:val="0"/>
        </w:rPr>
        <w:t xml:space="preserve">Hitos futuros</w:t>
      </w:r>
    </w:p>
    <w:tbl>
      <w:tblPr>
        <w:tblStyle w:val="Table7"/>
        <w:tblW w:w="93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275"/>
        <w:gridCol w:w="4635"/>
        <w:tblGridChange w:id="0">
          <w:tblGrid>
            <w:gridCol w:w="3405"/>
            <w:gridCol w:w="1275"/>
            <w:gridCol w:w="4635"/>
          </w:tblGrid>
        </w:tblGridChange>
      </w:tblGrid>
      <w:tr>
        <w:trPr>
          <w:cantSplit w:val="0"/>
          <w:tblHeader w:val="0"/>
        </w:trPr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8C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Hito previsto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8D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estimada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vAlign w:val="center"/>
          </w:tcPr>
          <w:p w:rsidR="00000000" w:rsidDel="00000000" w:rsidP="00000000" w:rsidRDefault="00000000" w:rsidRPr="00000000" w14:paraId="0000008E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Elaboración de documentos de diseño y especificaciones.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10/09/2026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Especificar los requerimientos y modelo de datos de la API. Entregar mockups, diagramas y casos de uso.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módulo de autenticación funcional.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24/09/2026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 endpoint de autenticación con token JWT.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Ingesta de datos de salud funcional e integración nativa de Ultrahuman. Desarrollo de endpoints.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08/10/2026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Reimplementación de los endpoints de consulta consumidos por la app más la integración nativa de Ultrahuman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completo de integraciones (Fitbit y hltd)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22/10/2026</w:t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nativa de Fitbit y hltd, completando el nuevo modelo y normalizando la información recibida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de carga y desempeño.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05/11/2026</w:t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de contrato desde el OpenAPI, verificación de funcionalidades.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 del producto final y repositorio de github.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26/11/2026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app WellQ posee ahora un backend propio que reemplaza a  spikeapi.com, con Ultrahuman, Fitbit y HLTD integrado de manera nativa.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 de documentación final.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03/12/2026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entrega la documentación detallando el desarrollo del proyecto, funcionalidades y modo de uso del producto.</w:t>
            </w:r>
          </w:p>
        </w:tc>
      </w:tr>
    </w:tbl>
    <w:p w:rsidR="00000000" w:rsidDel="00000000" w:rsidP="00000000" w:rsidRDefault="00000000" w:rsidRPr="00000000" w14:paraId="000000A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3733800</wp:posOffset>
          </wp:positionH>
          <wp:positionV relativeFrom="margin">
            <wp:posOffset>-457199</wp:posOffset>
          </wp:positionV>
          <wp:extent cx="2209800" cy="367030"/>
          <wp:effectExtent b="0" l="0" r="0" t="0"/>
          <wp:wrapSquare wrapText="bothSides" distB="0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209800" cy="36703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DE16E0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E16E0"/>
  </w:style>
  <w:style w:type="paragraph" w:styleId="Footer">
    <w:name w:val="footer"/>
    <w:basedOn w:val="Normal"/>
    <w:link w:val="FooterChar"/>
    <w:uiPriority w:val="99"/>
    <w:unhideWhenUsed w:val="1"/>
    <w:rsid w:val="00DE16E0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E16E0"/>
  </w:style>
  <w:style w:type="table" w:styleId="TableGrid">
    <w:name w:val="Table Grid"/>
    <w:basedOn w:val="TableNormal"/>
    <w:uiPriority w:val="39"/>
    <w:rsid w:val="00DE16E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PlaceholderText">
    <w:name w:val="Placeholder Text"/>
    <w:basedOn w:val="DefaultParagraphFont"/>
    <w:uiPriority w:val="99"/>
    <w:semiHidden w:val="1"/>
    <w:rsid w:val="002F6E24"/>
    <w:rPr>
      <w:color w:val="808080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0B044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0B044C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0B044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0B044C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0B044C"/>
    <w:rPr>
      <w:b w:val="1"/>
      <w:bCs w:val="1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B044C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B044C"/>
    <w:rPr>
      <w:rFonts w:ascii="Segoe UI" w:cs="Segoe UI" w:hAnsi="Segoe UI"/>
      <w:sz w:val="18"/>
      <w:szCs w:val="18"/>
    </w:rPr>
  </w:style>
  <w:style w:type="character" w:styleId="Hyperlink">
    <w:name w:val="Hyperlink"/>
    <w:basedOn w:val="DefaultParagraphFont"/>
    <w:uiPriority w:val="99"/>
    <w:unhideWhenUsed w:val="1"/>
    <w:rsid w:val="004C27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4C2730"/>
    <w:rPr>
      <w:color w:val="605e5c"/>
      <w:shd w:color="auto" w:fill="e1dfdd" w:val="clear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Ir2IbgL04437WqQ9a8iPB6OwAw==">CgMxLjAyDmgueDRkN29od292aGkxMg5oLmtoanhpYmpidmVjZDIOaC51cjVjZGJreDVneWgyDmgudHQ0eml5aHhlcjdrMg5oLndocmZqMDh0cjQwbTgAciExbnFHQnJOTURwLUtLRkIwdDhrMUZOVG9RM0ZDc1ZleFE=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2025-07-31T15:01:00Z</dcterms:created>
  <dc:creator>Peter</dc:creator>
</cp:coreProperties>
</file>