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E1B249E" w14:textId="65B0AC95" w:rsidR="00E6133D" w:rsidRPr="00F649EE" w:rsidRDefault="009F6CD4" w:rsidP="00E6133D">
      <w:pPr>
        <w:rPr>
          <w:rFonts w:ascii="Arial" w:hAnsi="Arial" w:cs="Arial"/>
          <w:sz w:val="24"/>
          <w:szCs w:val="24"/>
        </w:rPr>
      </w:pPr>
      <w:r>
        <w:rPr>
          <w:rFonts w:ascii="Arial" w:hAnsi="Arial" w:cs="Arial"/>
          <w:sz w:val="28"/>
          <w:szCs w:val="28"/>
        </w:rPr>
        <w:t>The common symbiosis pathway controls plant root microbiomes in a host-specific manner</w:t>
      </w:r>
    </w:p>
    <w:p w14:paraId="12588F07" w14:textId="77777777" w:rsidR="00E6133D" w:rsidRPr="00E6133D" w:rsidRDefault="00E6133D" w:rsidP="00E6133D">
      <w:pPr>
        <w:rPr>
          <w:rFonts w:ascii="Arial" w:hAnsi="Arial" w:cs="Arial"/>
          <w:sz w:val="20"/>
          <w:szCs w:val="20"/>
        </w:rPr>
      </w:pPr>
    </w:p>
    <w:p w14:paraId="4EA74F3C" w14:textId="66059637" w:rsidR="009F6CD4" w:rsidRPr="00E6133D" w:rsidRDefault="009F6CD4" w:rsidP="009F6CD4">
      <w:pPr>
        <w:jc w:val="both"/>
        <w:rPr>
          <w:rFonts w:ascii="Arial" w:hAnsi="Arial" w:cs="Arial"/>
          <w:sz w:val="20"/>
          <w:szCs w:val="20"/>
        </w:rPr>
      </w:pPr>
      <w:r w:rsidRPr="00456B3E">
        <w:rPr>
          <w:rFonts w:ascii="Arial" w:hAnsi="Arial" w:cs="Arial"/>
          <w:sz w:val="20"/>
          <w:szCs w:val="20"/>
        </w:rPr>
        <w:t>Anna Martyn</w:t>
      </w:r>
      <w:r w:rsidRPr="00456B3E">
        <w:rPr>
          <w:rFonts w:ascii="Arial" w:hAnsi="Arial" w:cs="Arial"/>
          <w:sz w:val="20"/>
          <w:szCs w:val="20"/>
          <w:vertAlign w:val="superscript"/>
        </w:rPr>
        <w:t>1,2#</w:t>
      </w:r>
      <w:r w:rsidRPr="00456B3E">
        <w:rPr>
          <w:rFonts w:ascii="Arial" w:hAnsi="Arial" w:cs="Arial"/>
          <w:sz w:val="20"/>
          <w:szCs w:val="20"/>
        </w:rPr>
        <w:t>, Ib Thorsgaard Jensen</w:t>
      </w:r>
      <w:r w:rsidRPr="00456B3E">
        <w:rPr>
          <w:rFonts w:ascii="Arial" w:hAnsi="Arial" w:cs="Arial"/>
          <w:sz w:val="20"/>
          <w:szCs w:val="20"/>
          <w:vertAlign w:val="superscript"/>
        </w:rPr>
        <w:t>1,3#</w:t>
      </w:r>
      <w:r w:rsidRPr="00456B3E">
        <w:rPr>
          <w:rFonts w:ascii="Arial" w:hAnsi="Arial" w:cs="Arial"/>
          <w:sz w:val="20"/>
          <w:szCs w:val="20"/>
        </w:rPr>
        <w:t>, Camilla Lind Salomonsen</w:t>
      </w:r>
      <w:r w:rsidRPr="00456B3E">
        <w:rPr>
          <w:rFonts w:ascii="Arial" w:hAnsi="Arial" w:cs="Arial"/>
          <w:sz w:val="20"/>
          <w:szCs w:val="20"/>
          <w:vertAlign w:val="superscript"/>
        </w:rPr>
        <w:t>4</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Zuzana Blahovska</w:t>
      </w:r>
      <w:r w:rsidRPr="00456B3E">
        <w:rPr>
          <w:rFonts w:ascii="Arial" w:hAnsi="Arial" w:cs="Arial"/>
          <w:sz w:val="20"/>
          <w:szCs w:val="20"/>
          <w:vertAlign w:val="superscript"/>
        </w:rPr>
        <w:t>1</w:t>
      </w:r>
      <w:r w:rsidRPr="00456B3E">
        <w:rPr>
          <w:rFonts w:ascii="Arial" w:hAnsi="Arial" w:cs="Arial"/>
          <w:sz w:val="20"/>
          <w:szCs w:val="20"/>
        </w:rPr>
        <w:t>, Ke Tao</w:t>
      </w:r>
      <w:r w:rsidRPr="00456B3E">
        <w:rPr>
          <w:rFonts w:ascii="Arial" w:hAnsi="Arial" w:cs="Arial"/>
          <w:sz w:val="20"/>
          <w:szCs w:val="20"/>
          <w:vertAlign w:val="superscript"/>
        </w:rPr>
        <w:t>1</w:t>
      </w:r>
      <w:r w:rsidRPr="00456B3E">
        <w:rPr>
          <w:rFonts w:ascii="Arial" w:hAnsi="Arial" w:cs="Arial"/>
          <w:sz w:val="20"/>
          <w:szCs w:val="20"/>
        </w:rPr>
        <w:t>, Harm Dings</w:t>
      </w:r>
      <w:r w:rsidRPr="00456B3E">
        <w:rPr>
          <w:rFonts w:ascii="Arial" w:hAnsi="Arial" w:cs="Arial"/>
          <w:sz w:val="20"/>
          <w:szCs w:val="20"/>
          <w:vertAlign w:val="superscript"/>
        </w:rPr>
        <w:t>5</w:t>
      </w:r>
      <w:r w:rsidRPr="00456B3E">
        <w:rPr>
          <w:rFonts w:ascii="Arial" w:hAnsi="Arial" w:cs="Arial"/>
          <w:sz w:val="20"/>
          <w:szCs w:val="20"/>
        </w:rPr>
        <w:t>,</w:t>
      </w:r>
      <w:r w:rsidRPr="00456B3E">
        <w:rPr>
          <w:rFonts w:ascii="Arial" w:hAnsi="Arial" w:cs="Arial"/>
          <w:color w:val="000000"/>
          <w:sz w:val="20"/>
          <w:szCs w:val="20"/>
          <w:shd w:val="clear" w:color="auto" w:fill="FDFCFB"/>
        </w:rPr>
        <w:t xml:space="preserve"> Þuríður Nótt Björgvinsdóttir</w:t>
      </w:r>
      <w:r w:rsidRPr="00456B3E">
        <w:rPr>
          <w:rFonts w:ascii="Arial" w:hAnsi="Arial" w:cs="Arial"/>
          <w:color w:val="000000"/>
          <w:sz w:val="20"/>
          <w:szCs w:val="20"/>
          <w:shd w:val="clear" w:color="auto" w:fill="FDFCFB"/>
          <w:vertAlign w:val="superscript"/>
        </w:rPr>
        <w:t>4</w:t>
      </w:r>
      <w:r w:rsidRPr="00456B3E">
        <w:rPr>
          <w:rFonts w:ascii="Arial" w:hAnsi="Arial" w:cs="Arial"/>
          <w:color w:val="000000"/>
          <w:sz w:val="20"/>
          <w:szCs w:val="20"/>
          <w:shd w:val="clear" w:color="auto" w:fill="FDFCFB"/>
        </w:rPr>
        <w:t>, Bent Tolstrup Christensen</w:t>
      </w:r>
      <w:r w:rsidRPr="00456B3E">
        <w:rPr>
          <w:rFonts w:ascii="Arial" w:hAnsi="Arial" w:cs="Arial"/>
          <w:color w:val="000000"/>
          <w:sz w:val="20"/>
          <w:szCs w:val="20"/>
          <w:shd w:val="clear" w:color="auto" w:fill="FDFCFB"/>
          <w:vertAlign w:val="superscript"/>
        </w:rPr>
        <w:t>6</w:t>
      </w:r>
      <w:r w:rsidRPr="00456B3E">
        <w:rPr>
          <w:rFonts w:ascii="Arial" w:hAnsi="Arial" w:cs="Arial"/>
          <w:color w:val="000000"/>
          <w:sz w:val="20"/>
          <w:szCs w:val="20"/>
          <w:shd w:val="clear" w:color="auto" w:fill="FDFCFB"/>
        </w:rPr>
        <w:t>, Giles Oldroyd</w:t>
      </w:r>
      <w:r w:rsidRPr="00456B3E">
        <w:rPr>
          <w:rFonts w:ascii="Arial" w:hAnsi="Arial" w:cs="Arial"/>
          <w:color w:val="000000"/>
          <w:sz w:val="20"/>
          <w:szCs w:val="20"/>
          <w:shd w:val="clear" w:color="auto" w:fill="FDFCFB"/>
          <w:vertAlign w:val="superscript"/>
        </w:rPr>
        <w:t>7</w:t>
      </w:r>
      <w:r w:rsidR="000E6830">
        <w:rPr>
          <w:rFonts w:ascii="Arial" w:hAnsi="Arial" w:cs="Arial"/>
          <w:color w:val="000000"/>
          <w:sz w:val="20"/>
          <w:szCs w:val="20"/>
          <w:shd w:val="clear" w:color="auto" w:fill="FDFCFB"/>
          <w:vertAlign w:val="superscript"/>
        </w:rPr>
        <w:t>,8</w:t>
      </w:r>
      <w:r w:rsidRPr="00456B3E">
        <w:rPr>
          <w:rFonts w:ascii="Arial" w:hAnsi="Arial" w:cs="Arial"/>
          <w:color w:val="000000"/>
          <w:sz w:val="20"/>
          <w:szCs w:val="20"/>
          <w:shd w:val="clear" w:color="auto" w:fill="FDFCFB"/>
        </w:rPr>
        <w:t>, Rasmus Waagepetersen</w:t>
      </w:r>
      <w:r w:rsidRPr="00456B3E">
        <w:rPr>
          <w:rFonts w:ascii="Arial" w:hAnsi="Arial" w:cs="Arial"/>
          <w:color w:val="000000"/>
          <w:sz w:val="20"/>
          <w:szCs w:val="20"/>
          <w:shd w:val="clear" w:color="auto" w:fill="FDFCFB"/>
          <w:vertAlign w:val="superscript"/>
        </w:rPr>
        <w:t>3</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Marianne Glasius</w:t>
      </w:r>
      <w:r w:rsidRPr="00456B3E">
        <w:rPr>
          <w:rFonts w:ascii="Arial" w:hAnsi="Arial" w:cs="Arial"/>
          <w:sz w:val="20"/>
          <w:szCs w:val="20"/>
          <w:vertAlign w:val="superscript"/>
        </w:rPr>
        <w:t>4</w:t>
      </w:r>
      <w:r w:rsidRPr="00456B3E">
        <w:rPr>
          <w:rFonts w:ascii="Arial" w:hAnsi="Arial" w:cs="Arial"/>
          <w:sz w:val="20"/>
          <w:szCs w:val="20"/>
        </w:rPr>
        <w:t>, Simona Radutoiu</w:t>
      </w:r>
      <w:r w:rsidRPr="00456B3E">
        <w:rPr>
          <w:rFonts w:ascii="Arial" w:hAnsi="Arial" w:cs="Arial"/>
          <w:sz w:val="20"/>
          <w:szCs w:val="20"/>
          <w:vertAlign w:val="superscript"/>
        </w:rPr>
        <w:t>1*</w:t>
      </w:r>
    </w:p>
    <w:p w14:paraId="722C80FB" w14:textId="600F495B"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1</w:t>
      </w:r>
      <w:r w:rsidRPr="00696F8A">
        <w:rPr>
          <w:rFonts w:ascii="Arial" w:hAnsi="Arial" w:cs="Arial"/>
          <w:sz w:val="20"/>
          <w:szCs w:val="20"/>
        </w:rPr>
        <w:t xml:space="preserve"> Department of Molecular Biology and Genetics, Aarhus University, </w:t>
      </w:r>
      <w:r w:rsidR="00395418">
        <w:rPr>
          <w:rFonts w:ascii="Arial" w:hAnsi="Arial" w:cs="Arial"/>
          <w:sz w:val="20"/>
          <w:szCs w:val="20"/>
        </w:rPr>
        <w:t xml:space="preserve">Aarhus, </w:t>
      </w:r>
      <w:r w:rsidRPr="00696F8A">
        <w:rPr>
          <w:rFonts w:ascii="Arial" w:hAnsi="Arial" w:cs="Arial"/>
          <w:sz w:val="20"/>
          <w:szCs w:val="20"/>
        </w:rPr>
        <w:t>Denmark</w:t>
      </w:r>
    </w:p>
    <w:p w14:paraId="305D23FB" w14:textId="77777777"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2</w:t>
      </w:r>
      <w:r w:rsidRPr="00696F8A">
        <w:rPr>
          <w:rFonts w:ascii="Arial" w:hAnsi="Arial" w:cs="Arial"/>
          <w:sz w:val="20"/>
          <w:szCs w:val="20"/>
        </w:rPr>
        <w:t xml:space="preserve"> Max-Planck-Institute for Plant Breeding Research, Cologne, Germany</w:t>
      </w:r>
    </w:p>
    <w:p w14:paraId="003A2556" w14:textId="42B5E245"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3</w:t>
      </w:r>
      <w:r w:rsidRPr="00696F8A">
        <w:rPr>
          <w:rFonts w:ascii="Arial" w:hAnsi="Arial" w:cs="Arial"/>
          <w:sz w:val="20"/>
          <w:szCs w:val="20"/>
        </w:rPr>
        <w:t xml:space="preserve"> Department of Mathematical Sciences, Aalborg University, </w:t>
      </w:r>
      <w:r w:rsidR="00395418">
        <w:rPr>
          <w:rFonts w:ascii="Arial" w:hAnsi="Arial" w:cs="Arial"/>
          <w:sz w:val="20"/>
          <w:szCs w:val="20"/>
        </w:rPr>
        <w:t xml:space="preserve">Aalborg, </w:t>
      </w:r>
      <w:r w:rsidRPr="00696F8A">
        <w:rPr>
          <w:rFonts w:ascii="Arial" w:hAnsi="Arial" w:cs="Arial"/>
          <w:sz w:val="20"/>
          <w:szCs w:val="20"/>
        </w:rPr>
        <w:t>Denmark</w:t>
      </w:r>
    </w:p>
    <w:p w14:paraId="51B6FCDA" w14:textId="2F733430"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4</w:t>
      </w:r>
      <w:r w:rsidRPr="00696F8A">
        <w:rPr>
          <w:rFonts w:ascii="Arial" w:hAnsi="Arial" w:cs="Arial"/>
          <w:sz w:val="20"/>
          <w:szCs w:val="20"/>
        </w:rPr>
        <w:t xml:space="preserve"> Department of Chemistry, Aarhus University, </w:t>
      </w:r>
      <w:r w:rsidR="00395418">
        <w:rPr>
          <w:rFonts w:ascii="Arial" w:hAnsi="Arial" w:cs="Arial"/>
          <w:sz w:val="20"/>
          <w:szCs w:val="20"/>
        </w:rPr>
        <w:t xml:space="preserve">Aarhus, </w:t>
      </w:r>
      <w:r w:rsidRPr="00696F8A">
        <w:rPr>
          <w:rFonts w:ascii="Arial" w:hAnsi="Arial" w:cs="Arial"/>
          <w:sz w:val="20"/>
          <w:szCs w:val="20"/>
        </w:rPr>
        <w:t>Denmark</w:t>
      </w:r>
    </w:p>
    <w:p w14:paraId="740F2244" w14:textId="26022179"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5</w:t>
      </w:r>
      <w:r w:rsidRPr="00696F8A">
        <w:rPr>
          <w:rFonts w:ascii="Arial" w:hAnsi="Arial" w:cs="Arial"/>
          <w:sz w:val="20"/>
          <w:szCs w:val="20"/>
        </w:rPr>
        <w:t xml:space="preserve"> Laboratory of Molecular Biology, Wageningen University, </w:t>
      </w:r>
      <w:r w:rsidR="00395418">
        <w:rPr>
          <w:rFonts w:ascii="Arial" w:hAnsi="Arial" w:cs="Arial"/>
          <w:sz w:val="20"/>
          <w:szCs w:val="20"/>
        </w:rPr>
        <w:t xml:space="preserve">Wageningen, </w:t>
      </w:r>
      <w:r w:rsidRPr="00696F8A">
        <w:rPr>
          <w:rFonts w:ascii="Arial" w:hAnsi="Arial" w:cs="Arial"/>
          <w:sz w:val="20"/>
          <w:szCs w:val="20"/>
        </w:rPr>
        <w:t>Netherlands</w:t>
      </w:r>
    </w:p>
    <w:p w14:paraId="03A28896" w14:textId="6601053F"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6</w:t>
      </w:r>
      <w:r w:rsidRPr="00696F8A">
        <w:rPr>
          <w:rFonts w:ascii="Arial" w:hAnsi="Arial" w:cs="Arial"/>
          <w:sz w:val="20"/>
          <w:szCs w:val="20"/>
        </w:rPr>
        <w:t xml:space="preserve"> Department of Agroecology, Aarhus University, </w:t>
      </w:r>
      <w:r w:rsidR="00395418">
        <w:rPr>
          <w:rFonts w:ascii="Arial" w:hAnsi="Arial" w:cs="Arial"/>
          <w:sz w:val="20"/>
          <w:szCs w:val="20"/>
        </w:rPr>
        <w:t xml:space="preserve">Aarhus, </w:t>
      </w:r>
      <w:r w:rsidRPr="00696F8A">
        <w:rPr>
          <w:rFonts w:ascii="Arial" w:hAnsi="Arial" w:cs="Arial"/>
          <w:sz w:val="20"/>
          <w:szCs w:val="20"/>
        </w:rPr>
        <w:t>Denmark</w:t>
      </w:r>
    </w:p>
    <w:p w14:paraId="0D5E9BF7" w14:textId="1FF9F439" w:rsidR="009F6CD4" w:rsidRDefault="009F6CD4" w:rsidP="003A47C0">
      <w:pPr>
        <w:spacing w:after="0"/>
        <w:jc w:val="both"/>
        <w:rPr>
          <w:rFonts w:ascii="Arial" w:hAnsi="Arial" w:cs="Arial"/>
          <w:sz w:val="20"/>
          <w:szCs w:val="20"/>
        </w:rPr>
      </w:pPr>
      <w:r w:rsidRPr="00696F8A">
        <w:rPr>
          <w:rFonts w:ascii="Arial" w:hAnsi="Arial" w:cs="Arial"/>
          <w:sz w:val="20"/>
          <w:szCs w:val="20"/>
          <w:vertAlign w:val="superscript"/>
        </w:rPr>
        <w:t>7</w:t>
      </w:r>
      <w:r w:rsidRPr="00696F8A">
        <w:rPr>
          <w:rFonts w:ascii="Arial" w:hAnsi="Arial" w:cs="Arial"/>
          <w:sz w:val="20"/>
          <w:szCs w:val="20"/>
        </w:rPr>
        <w:t xml:space="preserve"> Crop Science Centre, University of Cambridge, </w:t>
      </w:r>
      <w:r w:rsidR="00395418">
        <w:rPr>
          <w:rFonts w:ascii="Arial" w:hAnsi="Arial" w:cs="Arial"/>
          <w:sz w:val="20"/>
          <w:szCs w:val="20"/>
        </w:rPr>
        <w:t xml:space="preserve">Cambridge, </w:t>
      </w:r>
      <w:r w:rsidRPr="00696F8A">
        <w:rPr>
          <w:rFonts w:ascii="Arial" w:hAnsi="Arial" w:cs="Arial"/>
          <w:sz w:val="20"/>
          <w:szCs w:val="20"/>
        </w:rPr>
        <w:t>United Kingdom</w:t>
      </w:r>
    </w:p>
    <w:p w14:paraId="3B62A7D6" w14:textId="6ED797D1" w:rsidR="003A47C0" w:rsidRDefault="003A47C0" w:rsidP="009F6CD4">
      <w:pPr>
        <w:jc w:val="both"/>
        <w:rPr>
          <w:rFonts w:ascii="Arial" w:hAnsi="Arial" w:cs="Arial"/>
          <w:sz w:val="20"/>
          <w:szCs w:val="20"/>
        </w:rPr>
      </w:pPr>
      <w:r>
        <w:rPr>
          <w:rFonts w:ascii="Arial" w:hAnsi="Arial" w:cs="Arial"/>
          <w:sz w:val="20"/>
          <w:szCs w:val="20"/>
          <w:vertAlign w:val="superscript"/>
        </w:rPr>
        <w:t>8</w:t>
      </w:r>
      <w:r w:rsidRPr="00696F8A">
        <w:rPr>
          <w:rFonts w:ascii="Arial" w:hAnsi="Arial" w:cs="Arial"/>
          <w:sz w:val="20"/>
          <w:szCs w:val="20"/>
        </w:rPr>
        <w:t xml:space="preserve"> </w:t>
      </w:r>
      <w:r>
        <w:rPr>
          <w:rFonts w:ascii="Arial" w:hAnsi="Arial" w:cs="Arial"/>
          <w:sz w:val="20"/>
          <w:szCs w:val="20"/>
        </w:rPr>
        <w:t>Donald Danforth Plant Science Center, St. Louis, MO 63132, Missouri, USA</w:t>
      </w:r>
    </w:p>
    <w:p w14:paraId="20DFDABE" w14:textId="7EFC78D1" w:rsidR="00E6133D" w:rsidRPr="00F649EE" w:rsidRDefault="00E6133D" w:rsidP="00367879">
      <w:pPr>
        <w:jc w:val="both"/>
        <w:rPr>
          <w:rFonts w:ascii="Arial" w:hAnsi="Arial" w:cs="Arial"/>
          <w:sz w:val="20"/>
          <w:szCs w:val="20"/>
        </w:rPr>
      </w:pPr>
      <w:r w:rsidRPr="00E6133D">
        <w:rPr>
          <w:rFonts w:ascii="Arial" w:hAnsi="Arial" w:cs="Arial"/>
          <w:sz w:val="20"/>
          <w:szCs w:val="20"/>
        </w:rPr>
        <w:t>*</w:t>
      </w:r>
      <w:r w:rsidR="009F6CD4" w:rsidRPr="009F6CD4">
        <w:rPr>
          <w:rFonts w:ascii="Arial" w:hAnsi="Arial" w:cs="Arial"/>
          <w:sz w:val="20"/>
          <w:szCs w:val="20"/>
        </w:rPr>
        <w:t xml:space="preserve"> </w:t>
      </w:r>
      <w:r w:rsidR="009F6CD4">
        <w:rPr>
          <w:rFonts w:ascii="Arial" w:hAnsi="Arial" w:cs="Arial"/>
          <w:sz w:val="20"/>
          <w:szCs w:val="20"/>
        </w:rPr>
        <w:t>Simona Radutoiu</w:t>
      </w:r>
      <w:r w:rsidR="000E6830">
        <w:rPr>
          <w:rFonts w:ascii="Arial" w:hAnsi="Arial" w:cs="Arial"/>
          <w:sz w:val="20"/>
          <w:szCs w:val="20"/>
        </w:rPr>
        <w:t xml:space="preserve">, </w:t>
      </w:r>
      <w:r w:rsidR="000E6830" w:rsidRPr="00696F8A">
        <w:rPr>
          <w:rFonts w:ascii="Arial" w:hAnsi="Arial" w:cs="Arial"/>
          <w:sz w:val="20"/>
          <w:szCs w:val="20"/>
        </w:rPr>
        <w:t xml:space="preserve">Department of Molecular Biology and Genetics, Aarhus University, </w:t>
      </w:r>
      <w:r w:rsidR="000E6830">
        <w:rPr>
          <w:rFonts w:ascii="Arial" w:hAnsi="Arial" w:cs="Arial"/>
          <w:sz w:val="20"/>
          <w:szCs w:val="20"/>
        </w:rPr>
        <w:t xml:space="preserve">8000 </w:t>
      </w:r>
      <w:r w:rsidR="000E6830">
        <w:rPr>
          <w:rFonts w:ascii="Arial" w:hAnsi="Arial" w:cs="Arial"/>
          <w:sz w:val="20"/>
          <w:szCs w:val="20"/>
        </w:rPr>
        <w:t>Aarhus</w:t>
      </w:r>
      <w:r w:rsidR="000E6830">
        <w:rPr>
          <w:rFonts w:ascii="Arial" w:hAnsi="Arial" w:cs="Arial"/>
          <w:sz w:val="20"/>
          <w:szCs w:val="20"/>
        </w:rPr>
        <w:t xml:space="preserve"> C</w:t>
      </w:r>
      <w:r w:rsidR="000E6830">
        <w:rPr>
          <w:rFonts w:ascii="Arial" w:hAnsi="Arial" w:cs="Arial"/>
          <w:sz w:val="20"/>
          <w:szCs w:val="20"/>
        </w:rPr>
        <w:t xml:space="preserve">, </w:t>
      </w:r>
      <w:r w:rsidR="000E6830" w:rsidRPr="00696F8A">
        <w:rPr>
          <w:rFonts w:ascii="Arial" w:hAnsi="Arial" w:cs="Arial"/>
          <w:sz w:val="20"/>
          <w:szCs w:val="20"/>
        </w:rPr>
        <w:t>Denmark</w:t>
      </w:r>
      <w:r w:rsidR="000E6830">
        <w:rPr>
          <w:rFonts w:ascii="Arial" w:hAnsi="Arial" w:cs="Arial"/>
          <w:sz w:val="20"/>
          <w:szCs w:val="20"/>
        </w:rPr>
        <w:t>, +4587155498</w:t>
      </w:r>
    </w:p>
    <w:p w14:paraId="46D7756D" w14:textId="0B3546B5" w:rsidR="00E6133D" w:rsidRPr="00623869" w:rsidRDefault="00E6133D" w:rsidP="00E6133D">
      <w:pPr>
        <w:rPr>
          <w:rFonts w:ascii="Arial" w:hAnsi="Arial" w:cs="Arial"/>
          <w:sz w:val="20"/>
          <w:szCs w:val="20"/>
        </w:rPr>
      </w:pPr>
      <w:r w:rsidRPr="00623869">
        <w:rPr>
          <w:rFonts w:ascii="Arial" w:hAnsi="Arial" w:cs="Arial"/>
          <w:b/>
          <w:sz w:val="20"/>
          <w:szCs w:val="20"/>
        </w:rPr>
        <w:t xml:space="preserve">Email: </w:t>
      </w:r>
      <w:r w:rsidRPr="00623869">
        <w:rPr>
          <w:rFonts w:ascii="Arial" w:hAnsi="Arial" w:cs="Arial"/>
          <w:sz w:val="20"/>
          <w:szCs w:val="20"/>
        </w:rPr>
        <w:t xml:space="preserve"> </w:t>
      </w:r>
      <w:hyperlink r:id="rId9" w:history="1">
        <w:r w:rsidR="009F6CD4" w:rsidRPr="00344D9B">
          <w:rPr>
            <w:rStyle w:val="Hyperlink"/>
            <w:rFonts w:ascii="Arial" w:hAnsi="Arial" w:cs="Arial"/>
            <w:sz w:val="20"/>
            <w:szCs w:val="20"/>
          </w:rPr>
          <w:t>radutoiu@mbg.au.dk</w:t>
        </w:r>
      </w:hyperlink>
    </w:p>
    <w:p w14:paraId="1A4002EE" w14:textId="0AADD4C6" w:rsidR="00623869" w:rsidRDefault="00623869" w:rsidP="009F6CD4">
      <w:pPr>
        <w:jc w:val="both"/>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sidR="009F6CD4" w:rsidRPr="00696F8A">
        <w:rPr>
          <w:rFonts w:ascii="Arial" w:hAnsi="Arial" w:cs="Arial"/>
          <w:sz w:val="20"/>
          <w:szCs w:val="20"/>
        </w:rPr>
        <w:t xml:space="preserve">A.M., I.T.J, C.L.S, M.G. and S.R. designed the experiments. A.M. performed the experiments with technical support from Z.B., K.T. and H.D. LC-MS/MS was performed by C.L.S, </w:t>
      </w:r>
      <w:r w:rsidR="009F6CD4" w:rsidRPr="00696F8A">
        <w:rPr>
          <w:rFonts w:ascii="Arial" w:hAnsi="Arial" w:cs="Arial"/>
          <w:color w:val="000000"/>
          <w:sz w:val="20"/>
          <w:szCs w:val="20"/>
          <w:shd w:val="clear" w:color="auto" w:fill="FDFCFB"/>
        </w:rPr>
        <w:t>Þ.</w:t>
      </w:r>
      <w:r w:rsidR="009F6CD4" w:rsidRPr="00696F8A">
        <w:rPr>
          <w:rFonts w:ascii="Arial" w:hAnsi="Arial" w:cs="Arial"/>
          <w:sz w:val="20"/>
          <w:szCs w:val="20"/>
        </w:rPr>
        <w:t xml:space="preserve">N.B. and M.G. Data analysis was performed by A.M., I.T.J. and C.L.S. A.M. wrote the first manuscript draft with following input from all authors. </w:t>
      </w:r>
      <w:r w:rsidR="009F6CD4" w:rsidRPr="00696F8A">
        <w:rPr>
          <w:rFonts w:ascii="Arial" w:hAnsi="Arial" w:cs="Arial"/>
          <w:i/>
          <w:iCs/>
          <w:sz w:val="20"/>
          <w:szCs w:val="20"/>
        </w:rPr>
        <w:t>Hordeum</w:t>
      </w:r>
      <w:r w:rsidR="009F6CD4" w:rsidRPr="00696F8A">
        <w:rPr>
          <w:rFonts w:ascii="Arial" w:hAnsi="Arial" w:cs="Arial"/>
          <w:sz w:val="20"/>
          <w:szCs w:val="20"/>
        </w:rPr>
        <w:t xml:space="preserve"> symbiosis mutants were provided by G.O. Askov soils were provided by B.T.C.</w:t>
      </w:r>
    </w:p>
    <w:p w14:paraId="7A5DDA98" w14:textId="4EAFD0B4" w:rsidR="00623869" w:rsidRPr="00BB6B27" w:rsidRDefault="00623869" w:rsidP="00623869">
      <w:pPr>
        <w:rPr>
          <w:rFonts w:ascii="Arial" w:hAnsi="Arial" w:cs="Arial"/>
          <w:sz w:val="20"/>
          <w:szCs w:val="20"/>
        </w:rPr>
      </w:pPr>
      <w:r>
        <w:rPr>
          <w:rFonts w:ascii="Arial" w:hAnsi="Arial" w:cs="Arial"/>
          <w:b/>
          <w:sz w:val="20"/>
          <w:szCs w:val="20"/>
        </w:rPr>
        <w:t xml:space="preserve">Competing Interest Statement: </w:t>
      </w:r>
      <w:r w:rsidR="009F6CD4">
        <w:rPr>
          <w:rFonts w:ascii="Arial" w:hAnsi="Arial" w:cs="Arial"/>
          <w:sz w:val="20"/>
          <w:szCs w:val="20"/>
        </w:rPr>
        <w:t>The authors declare no competing interests.</w:t>
      </w:r>
    </w:p>
    <w:p w14:paraId="048C4D15" w14:textId="77777777" w:rsidR="009F6CD4" w:rsidRDefault="00E6133D" w:rsidP="00E6133D">
      <w:pPr>
        <w:rPr>
          <w:rFonts w:ascii="Arial" w:hAnsi="Arial" w:cs="Arial"/>
          <w:b/>
          <w:sz w:val="20"/>
          <w:szCs w:val="20"/>
        </w:rPr>
      </w:pPr>
      <w:r w:rsidRPr="00E6133D">
        <w:rPr>
          <w:rFonts w:ascii="Arial" w:hAnsi="Arial" w:cs="Arial"/>
          <w:b/>
          <w:sz w:val="20"/>
          <w:szCs w:val="20"/>
        </w:rPr>
        <w:t>Classification</w:t>
      </w:r>
      <w:r w:rsidR="00623869">
        <w:rPr>
          <w:rFonts w:ascii="Arial" w:hAnsi="Arial" w:cs="Arial"/>
          <w:b/>
          <w:sz w:val="20"/>
          <w:szCs w:val="20"/>
        </w:rPr>
        <w:t xml:space="preserve">: </w:t>
      </w:r>
      <w:r w:rsidR="009F6CD4">
        <w:rPr>
          <w:rFonts w:ascii="Arial" w:hAnsi="Arial" w:cs="Arial"/>
          <w:sz w:val="20"/>
          <w:szCs w:val="20"/>
        </w:rPr>
        <w:t>Biological Sciences, Plant Biology</w:t>
      </w:r>
      <w:r w:rsidR="009F6CD4" w:rsidRPr="00E6133D">
        <w:rPr>
          <w:rFonts w:ascii="Arial" w:hAnsi="Arial" w:cs="Arial"/>
          <w:b/>
          <w:sz w:val="20"/>
          <w:szCs w:val="20"/>
        </w:rPr>
        <w:t xml:space="preserve"> </w:t>
      </w:r>
    </w:p>
    <w:p w14:paraId="18812061" w14:textId="6EC2E494"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9F6CD4" w:rsidRPr="00696F8A">
        <w:rPr>
          <w:rFonts w:ascii="Arial" w:hAnsi="Arial" w:cs="Arial"/>
          <w:sz w:val="20"/>
          <w:szCs w:val="20"/>
        </w:rPr>
        <w:t>Plant-microbe interactions, root microbiome, symbiosis signalling, root exudates, host</w:t>
      </w:r>
      <w:r w:rsidR="00412DB9">
        <w:rPr>
          <w:rFonts w:ascii="Arial" w:hAnsi="Arial" w:cs="Arial"/>
          <w:sz w:val="20"/>
          <w:szCs w:val="20"/>
        </w:rPr>
        <w:t xml:space="preserve"> </w:t>
      </w:r>
      <w:r w:rsidR="009F6CD4" w:rsidRPr="00696F8A">
        <w:rPr>
          <w:rFonts w:ascii="Arial" w:hAnsi="Arial" w:cs="Arial"/>
          <w:sz w:val="20"/>
          <w:szCs w:val="20"/>
        </w:rPr>
        <w:t>specificity, soil fertilisation</w:t>
      </w:r>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79889C88" w14:textId="77777777" w:rsidR="0087236D" w:rsidRDefault="00E6133D" w:rsidP="0087236D">
      <w:pPr>
        <w:ind w:left="720"/>
        <w:contextualSpacing/>
        <w:rPr>
          <w:rFonts w:ascii="Arial" w:hAnsi="Arial" w:cs="Arial"/>
          <w:sz w:val="20"/>
          <w:szCs w:val="20"/>
        </w:rPr>
      </w:pPr>
      <w:r w:rsidRPr="00E6133D">
        <w:rPr>
          <w:rFonts w:ascii="Arial" w:hAnsi="Arial" w:cs="Arial"/>
          <w:sz w:val="20"/>
          <w:szCs w:val="20"/>
        </w:rPr>
        <w:t xml:space="preserve">Figures 1 to </w:t>
      </w:r>
      <w:r w:rsidR="009F6CD4">
        <w:rPr>
          <w:rFonts w:ascii="Arial" w:hAnsi="Arial" w:cs="Arial"/>
          <w:sz w:val="20"/>
          <w:szCs w:val="20"/>
        </w:rPr>
        <w:t>6</w:t>
      </w:r>
    </w:p>
    <w:p w14:paraId="296050F7" w14:textId="77777777" w:rsidR="00F24A94" w:rsidRDefault="00F24A94" w:rsidP="0087236D">
      <w:pPr>
        <w:ind w:left="720"/>
        <w:contextualSpacing/>
        <w:rPr>
          <w:rFonts w:ascii="Arial" w:hAnsi="Arial" w:cs="Arial"/>
          <w:sz w:val="20"/>
          <w:szCs w:val="20"/>
        </w:rPr>
      </w:pPr>
    </w:p>
    <w:p w14:paraId="62F68347" w14:textId="0FFAFFF8" w:rsidR="00F24A94" w:rsidRDefault="00F24A94" w:rsidP="0087236D">
      <w:pPr>
        <w:ind w:left="720"/>
        <w:contextualSpacing/>
        <w:rPr>
          <w:rFonts w:ascii="Arial" w:hAnsi="Arial" w:cs="Arial"/>
          <w:sz w:val="20"/>
          <w:szCs w:val="20"/>
        </w:rPr>
        <w:sectPr w:rsidR="00F24A94" w:rsidSect="00AF7B8A">
          <w:headerReference w:type="default" r:id="rId10"/>
          <w:footerReference w:type="default" r:id="rId11"/>
          <w:type w:val="continuous"/>
          <w:pgSz w:w="12240" w:h="15840"/>
          <w:pgMar w:top="1440" w:right="1800" w:bottom="1440" w:left="1800" w:header="720" w:footer="720" w:gutter="0"/>
          <w:cols w:space="720"/>
          <w:docGrid w:linePitch="299"/>
        </w:sectPr>
      </w:pP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0" w:name="30j0zll" w:colFirst="0" w:colLast="0"/>
      <w:bookmarkStart w:id="1" w:name="1fob9te" w:colFirst="0" w:colLast="0"/>
      <w:bookmarkEnd w:id="0"/>
      <w:bookmarkEnd w:id="1"/>
      <w:r w:rsidRPr="00980C22">
        <w:rPr>
          <w:rFonts w:ascii="Arial" w:hAnsi="Arial" w:cs="Arial"/>
          <w:b/>
          <w:color w:val="000000"/>
          <w:sz w:val="20"/>
          <w:szCs w:val="20"/>
        </w:rPr>
        <w:lastRenderedPageBreak/>
        <w:t>Abstract</w:t>
      </w:r>
    </w:p>
    <w:p w14:paraId="1D9A5848" w14:textId="53D972A8" w:rsidR="00E6133D" w:rsidRPr="001813F2" w:rsidRDefault="001813F2" w:rsidP="001813F2">
      <w:pPr>
        <w:keepNext/>
        <w:pBdr>
          <w:top w:val="nil"/>
          <w:left w:val="nil"/>
          <w:bottom w:val="nil"/>
          <w:right w:val="nil"/>
          <w:between w:val="nil"/>
        </w:pBdr>
        <w:spacing w:before="240" w:after="60"/>
        <w:jc w:val="both"/>
        <w:rPr>
          <w:rFonts w:ascii="Arial" w:hAnsi="Arial" w:cs="Arial"/>
          <w:color w:val="000000"/>
          <w:sz w:val="20"/>
          <w:szCs w:val="20"/>
        </w:rPr>
      </w:pPr>
      <w:r w:rsidRPr="001813F2">
        <w:rPr>
          <w:rFonts w:ascii="Arial" w:hAnsi="Arial" w:cs="Arial"/>
          <w:color w:val="000000"/>
          <w:sz w:val="20"/>
          <w:szCs w:val="20"/>
        </w:rPr>
        <w:t>Crop</w:t>
      </w:r>
      <w:r w:rsidRPr="001813F2">
        <w:rPr>
          <w:rFonts w:ascii="Arial" w:hAnsi="Arial" w:cs="Arial"/>
          <w:sz w:val="20"/>
          <w:szCs w:val="20"/>
        </w:rPr>
        <w:t xml:space="preserve"> nutrition depends on plant-microbe interactions, yet whether conserved genetic components impose universal rules on root microbiome assembly across hosts remains unclear. Here, we show that the Common Symbiosis Signalling Pathway (CSSP), a conserved genetic module controlling endosymbiosis with arbuscular mycorrhizal fungi and nitrogen-fixing bacteria, regulates microbiome assembly in a host-specific manner across fertilisation regimes. Using </w:t>
      </w:r>
      <w:r w:rsidRPr="001813F2">
        <w:rPr>
          <w:rFonts w:ascii="Arial" w:hAnsi="Arial" w:cs="Arial"/>
          <w:i/>
          <w:iCs/>
          <w:sz w:val="20"/>
          <w:szCs w:val="20"/>
        </w:rPr>
        <w:t>Lotus japonicus</w:t>
      </w:r>
      <w:r w:rsidRPr="001813F2">
        <w:rPr>
          <w:rFonts w:ascii="Arial" w:hAnsi="Arial" w:cs="Arial"/>
          <w:sz w:val="20"/>
          <w:szCs w:val="20"/>
        </w:rPr>
        <w:t xml:space="preserve"> and </w:t>
      </w:r>
      <w:r w:rsidRPr="001813F2">
        <w:rPr>
          <w:rFonts w:ascii="Arial" w:hAnsi="Arial" w:cs="Arial"/>
          <w:i/>
          <w:iCs/>
          <w:sz w:val="20"/>
          <w:szCs w:val="20"/>
        </w:rPr>
        <w:t>Hordeum vulgare</w:t>
      </w:r>
      <w:r w:rsidRPr="001813F2">
        <w:rPr>
          <w:rFonts w:ascii="Arial" w:hAnsi="Arial" w:cs="Arial"/>
          <w:sz w:val="20"/>
          <w:szCs w:val="20"/>
        </w:rPr>
        <w:t xml:space="preserve">, we find that mutations in orthologous CSSP genes remodel root-associated communities in both species, but through distinct taxonomic responses. In </w:t>
      </w:r>
      <w:r w:rsidRPr="001813F2">
        <w:rPr>
          <w:rFonts w:ascii="Arial" w:hAnsi="Arial" w:cs="Arial"/>
          <w:i/>
          <w:iCs/>
          <w:sz w:val="20"/>
          <w:szCs w:val="20"/>
        </w:rPr>
        <w:t>Lotus</w:t>
      </w:r>
      <w:r w:rsidRPr="001813F2">
        <w:rPr>
          <w:rFonts w:ascii="Arial" w:hAnsi="Arial" w:cs="Arial"/>
          <w:sz w:val="20"/>
          <w:szCs w:val="20"/>
        </w:rPr>
        <w:t xml:space="preserve">, CSSP disruption reduces rhizobial colonisation and triggers niche replacement by commensals, whereas in </w:t>
      </w:r>
      <w:r w:rsidRPr="001813F2">
        <w:rPr>
          <w:rFonts w:ascii="Arial" w:hAnsi="Arial" w:cs="Arial"/>
          <w:i/>
          <w:iCs/>
          <w:sz w:val="20"/>
          <w:szCs w:val="20"/>
        </w:rPr>
        <w:t>Hordeum</w:t>
      </w:r>
      <w:r w:rsidRPr="001813F2">
        <w:rPr>
          <w:rFonts w:ascii="Arial" w:hAnsi="Arial" w:cs="Arial"/>
          <w:sz w:val="20"/>
          <w:szCs w:val="20"/>
        </w:rPr>
        <w:t xml:space="preserve">, the same mutations restructure diverse bacterial lineages without converging on </w:t>
      </w:r>
      <w:r w:rsidRPr="001813F2">
        <w:rPr>
          <w:rFonts w:ascii="Arial" w:hAnsi="Arial" w:cs="Arial"/>
          <w:i/>
          <w:iCs/>
          <w:sz w:val="20"/>
          <w:szCs w:val="20"/>
        </w:rPr>
        <w:t>Lotus</w:t>
      </w:r>
      <w:r w:rsidRPr="001813F2">
        <w:rPr>
          <w:rFonts w:ascii="Arial" w:hAnsi="Arial" w:cs="Arial"/>
          <w:sz w:val="20"/>
          <w:szCs w:val="20"/>
        </w:rPr>
        <w:t>-like responses. Root exudate profiling reveals host-distinct metabolic programmes, including differences in phenylpropanoids (flavonoids and coumarins), abscisic acid, and gibberellin pathways, creating chemically divergent environments that likely impose selective pressures on rhizosphere microbial assembly. Across nutrient contexts, soil fertilisation strongly modulated both plant growth and microbiota diversity. Notably, plant nutritional state is encoded in root bacterial community structure, highlighting tight coupling between host physiology and microbiome composition. Together, our results establish that conserved symbiosis signalling controls microbiome assembly, but taxonomic composition is filtered by host-specific metabolic and chemical environments. This conceptual shift extends CSSP function beyond canonical endosymbioses and highlights the potential to use host-specific microbiomes to improve crop nutrition across plant species beyond legumes.</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4A98E00C" w14:textId="47B6D1DF" w:rsidR="00E6133D" w:rsidRPr="001813F2" w:rsidRDefault="001813F2" w:rsidP="001813F2">
      <w:pPr>
        <w:keepNext/>
        <w:pBdr>
          <w:top w:val="nil"/>
          <w:left w:val="nil"/>
          <w:bottom w:val="nil"/>
          <w:right w:val="nil"/>
          <w:between w:val="nil"/>
        </w:pBdr>
        <w:spacing w:before="240" w:after="60"/>
        <w:jc w:val="both"/>
        <w:rPr>
          <w:rFonts w:ascii="Arial" w:hAnsi="Arial" w:cs="Arial"/>
          <w:color w:val="000000"/>
          <w:sz w:val="20"/>
          <w:szCs w:val="20"/>
        </w:rPr>
      </w:pPr>
      <w:r w:rsidRPr="001813F2">
        <w:rPr>
          <w:rFonts w:ascii="Arial" w:hAnsi="Arial" w:cs="Arial"/>
          <w:sz w:val="20"/>
          <w:szCs w:val="20"/>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1813F2">
        <w:rPr>
          <w:rFonts w:ascii="Arial" w:hAnsi="Arial" w:cs="Arial"/>
          <w:i/>
          <w:iCs/>
          <w:sz w:val="20"/>
          <w:szCs w:val="20"/>
        </w:rPr>
        <w:t>Lotus</w:t>
      </w:r>
      <w:r w:rsidRPr="001813F2">
        <w:rPr>
          <w:rFonts w:ascii="Arial" w:hAnsi="Arial" w:cs="Arial"/>
          <w:sz w:val="20"/>
          <w:szCs w:val="20"/>
        </w:rPr>
        <w:t xml:space="preserve"> and </w:t>
      </w:r>
      <w:r w:rsidRPr="001813F2">
        <w:rPr>
          <w:rFonts w:ascii="Arial" w:hAnsi="Arial" w:cs="Arial"/>
          <w:i/>
          <w:iCs/>
          <w:sz w:val="20"/>
          <w:szCs w:val="20"/>
        </w:rPr>
        <w:t>Hordeum</w:t>
      </w:r>
      <w:r w:rsidRPr="001813F2">
        <w:rPr>
          <w:rFonts w:ascii="Arial" w:hAnsi="Arial" w:cs="Arial"/>
          <w:sz w:val="20"/>
          <w:szCs w:val="20"/>
        </w:rPr>
        <w:t>, we demonstrate that CSSP mutations alter microbial composition differently in each species, linked to changes in root exudates and host metabolism. These findings reveal a previously unrecognised function of the CSSP and suggest host-specific pathways could be leveraged to design microbiomes for sustainable crop nutrition.</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CEC12DA" w14:textId="19C15907" w:rsidR="00477612" w:rsidRPr="00477612" w:rsidRDefault="00477612" w:rsidP="00F24A94">
      <w:pPr>
        <w:autoSpaceDE w:val="0"/>
        <w:autoSpaceDN w:val="0"/>
        <w:adjustRightInd w:val="0"/>
        <w:spacing w:after="0"/>
        <w:jc w:val="both"/>
        <w:rPr>
          <w:rFonts w:ascii="Arial" w:hAnsi="Arial" w:cs="Arial"/>
          <w:sz w:val="20"/>
          <w:szCs w:val="20"/>
        </w:rPr>
      </w:pPr>
      <w:r w:rsidRPr="00477612">
        <w:rPr>
          <w:rFonts w:ascii="Arial" w:hAnsi="Arial" w:cs="Arial"/>
          <w:sz w:val="20"/>
          <w:szCs w:val="20"/>
        </w:rPr>
        <w:t xml:space="preserve">The steady population increase and high demand for food production put immense pressure on agricultural production systems, raising major concerns about an upcoming global food crisis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{"citationID":"NGDDzp2T","properties":{"unsorted":false,"formattedCitation":"(1, 2)","plainCitation":"(1, 2)","noteIndex":0},"citationItems":[{"id":497,"uris":["http://zotero.org/users/16875439/items/9XLY8HGN"],"itemData":{"id":497,"type":"article-journal","abstract":"In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Pr="00477612">
        <w:rPr>
          <w:rFonts w:ascii="Cambria Math" w:hAnsi="Cambria Math" w:cs="Cambria Math"/>
          <w:sz w:val="20"/>
          <w:szCs w:val="20"/>
        </w:rPr>
        <w:instrText>∼</w:instrText>
      </w:r>
      <w:r w:rsidRPr="00477612">
        <w:rPr>
          <w:rFonts w:ascii="Arial" w:hAnsi="Arial" w:cs="Arial"/>
          <w:sz w:val="20"/>
          <w:szCs w:val="20"/>
        </w:rPr>
        <w:instrText xml:space="preserve">1 billion ha of land would be cleared globally by 2050, with CO2-C equivalent greenhouse gas emissions reaching </w:instrText>
      </w:r>
      <w:r w:rsidRPr="00477612">
        <w:rPr>
          <w:rFonts w:ascii="Cambria Math" w:hAnsi="Cambria Math" w:cs="Cambria Math"/>
          <w:sz w:val="20"/>
          <w:szCs w:val="20"/>
        </w:rPr>
        <w:instrText>∼</w:instrText>
      </w:r>
      <w:r w:rsidRPr="00477612">
        <w:rPr>
          <w:rFonts w:ascii="Arial" w:hAnsi="Arial" w:cs="Arial"/>
          <w:sz w:val="20"/>
          <w:szCs w:val="20"/>
        </w:rPr>
        <w:instrText xml:space="preserve">3 Gt y−1 and N use </w:instrText>
      </w:r>
      <w:r w:rsidRPr="00477612">
        <w:rPr>
          <w:rFonts w:ascii="Cambria Math" w:hAnsi="Cambria Math" w:cs="Cambria Math"/>
          <w:sz w:val="20"/>
          <w:szCs w:val="20"/>
        </w:rPr>
        <w:instrText>∼</w:instrText>
      </w:r>
      <w:r w:rsidRPr="00477612">
        <w:rPr>
          <w:rFonts w:ascii="Arial" w:hAnsi="Arial" w:cs="Arial"/>
          <w:sz w:val="20"/>
          <w:szCs w:val="2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Pr="00477612">
        <w:rPr>
          <w:rFonts w:ascii="Cambria Math" w:hAnsi="Cambria Math" w:cs="Cambria Math"/>
          <w:sz w:val="20"/>
          <w:szCs w:val="20"/>
        </w:rPr>
        <w:instrText>∼</w:instrText>
      </w:r>
      <w:r w:rsidRPr="00477612">
        <w:rPr>
          <w:rFonts w:ascii="Arial" w:hAnsi="Arial" w:cs="Arial"/>
          <w:sz w:val="20"/>
          <w:szCs w:val="20"/>
        </w:rPr>
        <w:instrText xml:space="preserve">0.2 billion ha, greenhouse gas emissions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1 Gt y−1, and global N use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(1, 2)</w:t>
      </w:r>
      <w:r w:rsidRPr="00477612">
        <w:rPr>
          <w:rFonts w:ascii="Arial" w:hAnsi="Arial" w:cs="Arial"/>
          <w:sz w:val="20"/>
          <w:szCs w:val="20"/>
        </w:rPr>
        <w:fldChar w:fldCharType="end"/>
      </w:r>
      <w:r w:rsidRPr="00477612">
        <w:rPr>
          <w:rFonts w:ascii="Arial" w:hAnsi="Arial" w:cs="Arial"/>
          <w:sz w:val="20"/>
          <w:szCs w:val="20"/>
        </w:rPr>
        <w:t xml:space="preserve">. Crop productivity is primarily constrained by the availability of soil nutrients, which are essential for plant growth but often occur in forms inaccessible to plants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(3–5)</w:t>
      </w:r>
      <w:r w:rsidRPr="00477612">
        <w:rPr>
          <w:rFonts w:ascii="Arial" w:hAnsi="Arial" w:cs="Arial"/>
          <w:sz w:val="20"/>
          <w:szCs w:val="20"/>
        </w:rPr>
        <w:fldChar w:fldCharType="end"/>
      </w:r>
      <w:r w:rsidRPr="00477612">
        <w:rPr>
          <w:rFonts w:ascii="Arial" w:hAnsi="Arial" w:cs="Arial"/>
          <w:sz w:val="20"/>
          <w:szCs w:val="20"/>
        </w:rPr>
        <w:t xml:space="preserve">. Agricultural practices rely heavily on both animal manure and mineral fertilisers to maintain yields; however, mineral fertilisers are costly and often inaccessible in developing countries, and excessive application of either input can have severe environmental consequences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Pr="00477612">
        <w:rPr>
          <w:rFonts w:ascii="Cambria Math" w:hAnsi="Cambria Math" w:cs="Cambria Math"/>
          <w:sz w:val="20"/>
          <w:szCs w:val="20"/>
        </w:rPr>
        <w:instrText>∼</w:instrText>
      </w:r>
      <w:r w:rsidRPr="00477612">
        <w:rPr>
          <w:rFonts w:ascii="Arial" w:hAnsi="Arial" w:cs="Arial"/>
          <w:sz w:val="20"/>
          <w:szCs w:val="20"/>
        </w:rPr>
        <w:instrText xml:space="preserve">1 billion ha of land would be cleared globally by 2050, with CO2-C equivalent greenhouse gas emissions reaching </w:instrText>
      </w:r>
      <w:r w:rsidRPr="00477612">
        <w:rPr>
          <w:rFonts w:ascii="Cambria Math" w:hAnsi="Cambria Math" w:cs="Cambria Math"/>
          <w:sz w:val="20"/>
          <w:szCs w:val="20"/>
        </w:rPr>
        <w:instrText>∼</w:instrText>
      </w:r>
      <w:r w:rsidRPr="00477612">
        <w:rPr>
          <w:rFonts w:ascii="Arial" w:hAnsi="Arial" w:cs="Arial"/>
          <w:sz w:val="20"/>
          <w:szCs w:val="20"/>
        </w:rPr>
        <w:instrText xml:space="preserve">3 Gt y−1 and N use </w:instrText>
      </w:r>
      <w:r w:rsidRPr="00477612">
        <w:rPr>
          <w:rFonts w:ascii="Cambria Math" w:hAnsi="Cambria Math" w:cs="Cambria Math"/>
          <w:sz w:val="20"/>
          <w:szCs w:val="20"/>
        </w:rPr>
        <w:instrText>∼</w:instrText>
      </w:r>
      <w:r w:rsidRPr="00477612">
        <w:rPr>
          <w:rFonts w:ascii="Arial" w:hAnsi="Arial" w:cs="Arial"/>
          <w:sz w:val="20"/>
          <w:szCs w:val="2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Pr="00477612">
        <w:rPr>
          <w:rFonts w:ascii="Cambria Math" w:hAnsi="Cambria Math" w:cs="Cambria Math"/>
          <w:sz w:val="20"/>
          <w:szCs w:val="20"/>
        </w:rPr>
        <w:instrText>∼</w:instrText>
      </w:r>
      <w:r w:rsidRPr="00477612">
        <w:rPr>
          <w:rFonts w:ascii="Arial" w:hAnsi="Arial" w:cs="Arial"/>
          <w:sz w:val="20"/>
          <w:szCs w:val="20"/>
        </w:rPr>
        <w:instrText xml:space="preserve">0.2 billion ha, greenhouse gas emissions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1 Gt y−1, and global N use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(4, 5)</w:t>
      </w:r>
      <w:r w:rsidRPr="00477612">
        <w:rPr>
          <w:rFonts w:ascii="Arial" w:hAnsi="Arial" w:cs="Arial"/>
          <w:sz w:val="20"/>
          <w:szCs w:val="20"/>
        </w:rPr>
        <w:fldChar w:fldCharType="end"/>
      </w:r>
      <w:r w:rsidRPr="00477612">
        <w:rPr>
          <w:rFonts w:ascii="Arial" w:hAnsi="Arial" w:cs="Arial"/>
          <w:sz w:val="20"/>
          <w:szCs w:val="20"/>
        </w:rPr>
        <w:t>. To sustainably enhance crop yields, it is crucial to understand how plants naturally optimise nutrient uptake and leverage this knowledge to improve crop productivity while minimising agriculture’s ecological footprint.</w:t>
      </w:r>
    </w:p>
    <w:p w14:paraId="179C19FA" w14:textId="450623C5"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Plants interact with soil microorganisms and host unique microbial communities around their roots, collectively referred to as the ‘root microbiome’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26strnur","properties":{"unsorted":false,"formattedCitation":"(6\\uc0\\u8211{}8)","plainCitation":"(6–8)","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(6–8)</w:t>
      </w:r>
      <w:r w:rsidRPr="00477612">
        <w:rPr>
          <w:rFonts w:ascii="Arial" w:hAnsi="Arial" w:cs="Arial"/>
          <w:sz w:val="20"/>
          <w:szCs w:val="20"/>
        </w:rPr>
        <w:fldChar w:fldCharType="end"/>
      </w:r>
      <w:r w:rsidRPr="00477612">
        <w:rPr>
          <w:rFonts w:ascii="Arial" w:hAnsi="Arial" w:cs="Arial"/>
          <w:sz w:val="20"/>
          <w:szCs w:val="20"/>
        </w:rPr>
        <w:t xml:space="preserve">. Extensive research has demonstrated that the root microbiome contributes substantially to plant health and nutrition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{"citationID":"KYIY6hjB","properties":{"unsorted":false,"formattedCitation":"(9)","plainCitation":"(9)","noteIndex":0},"citationItems":[{"id":652,"uris":["http://zotero.org/users/16875439/items/463EKNQL"],"itemData":{"id":652,"type":"article-journal","abstract":"The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w:t>
      </w:r>
      <w:r w:rsidRPr="00477612">
        <w:rPr>
          <w:rFonts w:ascii="Arial" w:hAnsi="Arial" w:cs="Arial"/>
          <w:sz w:val="20"/>
          <w:szCs w:val="20"/>
        </w:rPr>
        <w:fldChar w:fldCharType="end"/>
      </w:r>
      <w:r w:rsidRPr="00477612">
        <w:rPr>
          <w:rFonts w:ascii="Arial" w:hAnsi="Arial" w:cs="Arial"/>
          <w:sz w:val="20"/>
          <w:szCs w:val="20"/>
        </w:rPr>
        <w:t xml:space="preserve">. In some cases, plants establish highly specialised symbiotic relationships with microbes to enhance nutrient acquisition. Two of the best-studied intracellular symbioses are arbuscular mycorrhizal symbiosis (AMS) and symbiotic nitrogen fixation (SNF), which are well characterised at the molecular and genetic levels. </w:t>
      </w:r>
      <w:r w:rsidRPr="00477612">
        <w:rPr>
          <w:rFonts w:ascii="Arial" w:hAnsi="Arial" w:cs="Arial"/>
          <w:sz w:val="20"/>
          <w:szCs w:val="20"/>
        </w:rPr>
        <w:lastRenderedPageBreak/>
        <w:t xml:space="preserve">In both associations, the plant host provides photosynthetically derived carbon to its microbial partner in exchange for mineral nutrients, primarily phosphorus in AMS and nitrogen in SNF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{"citationID":"gYNpLUZ7","properties":{"unsorted":false,"formattedCitation":"(10)","plainCitation":"(10)","noteIndex":0},"citationItems":[{"id":655,"uris":["http://zotero.org/users/16875439/items/DY664738"],"itemData":{"id":655,"type":"article-journal","abstract":"Plants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w:t>
      </w:r>
      <w:r w:rsidRPr="00477612">
        <w:rPr>
          <w:rFonts w:ascii="Arial" w:hAnsi="Arial" w:cs="Arial"/>
          <w:sz w:val="20"/>
          <w:szCs w:val="20"/>
        </w:rPr>
        <w:fldChar w:fldCharType="end"/>
      </w:r>
      <w:r w:rsidRPr="00477612">
        <w:rPr>
          <w:rFonts w:ascii="Arial" w:hAnsi="Arial" w:cs="Arial"/>
          <w:sz w:val="20"/>
          <w:szCs w:val="20"/>
        </w:rPr>
        <w:t>.</w:t>
      </w:r>
    </w:p>
    <w:p w14:paraId="5A9D4B0F" w14:textId="77777777"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AMS is highly prevalent in the plant kingdom, occurring in the majority of land plant species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{"citationID":"fB5d7zay","properties":{"unsorted":false,"formattedCitation":"(11, 12)","plainCitation":"(11, 12)","noteIndex":0},"citationItems":[{"id":674,"uris":["http://zotero.org/users/16875439/items/T9TF7KZK"],"itemData":{"id":674,"type":"article-journal","abstract":"Arbuscular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(11, 12)</w:t>
      </w:r>
      <w:r w:rsidRPr="00477612">
        <w:rPr>
          <w:rFonts w:ascii="Arial" w:hAnsi="Arial" w:cs="Arial"/>
          <w:sz w:val="20"/>
          <w:szCs w:val="20"/>
        </w:rPr>
        <w:fldChar w:fldCharType="end"/>
      </w:r>
      <w:r w:rsidRPr="00477612">
        <w:rPr>
          <w:rFonts w:ascii="Arial" w:hAnsi="Arial" w:cs="Arial"/>
          <w:sz w:val="20"/>
          <w:szCs w:val="20"/>
        </w:rPr>
        <w:t xml:space="preserve">. Under phosphate starvation, plants exude strigolactones into the soil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JiWQokOO","properties":{"unsorted":false,"formattedCitation":"(12\\uc0\\u8211{}15)","plainCitation":"(12–15)","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(12–15)</w:t>
      </w:r>
      <w:r w:rsidRPr="00477612">
        <w:rPr>
          <w:rFonts w:ascii="Arial" w:hAnsi="Arial" w:cs="Arial"/>
          <w:sz w:val="20"/>
          <w:szCs w:val="20"/>
        </w:rPr>
        <w:fldChar w:fldCharType="end"/>
      </w:r>
      <w:r w:rsidRPr="00477612">
        <w:rPr>
          <w:rFonts w:ascii="Arial" w:hAnsi="Arial" w:cs="Arial"/>
          <w:sz w:val="20"/>
          <w:szCs w:val="20"/>
        </w:rPr>
        <w:t xml:space="preserve">, which arbuscular mycorrhizal fungi (AMF) perceive and respond to by releasing Myc-factors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{"citationID":"hQ1oqCb1","properties":{"unsorted":false,"formattedCitation":"(11, 16)","plainCitation":"(11, 16)","noteIndex":0},"citationItems":[{"id":674,"uris":["http://zotero.org/users/16875439/items/T9TF7KZK"],"itemData":{"id":674,"type":"article-journal","abstract":"Arbuscular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(11, 16)</w:t>
      </w:r>
      <w:r w:rsidRPr="00477612">
        <w:rPr>
          <w:rFonts w:ascii="Arial" w:hAnsi="Arial" w:cs="Arial"/>
          <w:sz w:val="20"/>
          <w:szCs w:val="20"/>
        </w:rPr>
        <w:fldChar w:fldCharType="end"/>
      </w:r>
      <w:r w:rsidRPr="00477612">
        <w:rPr>
          <w:rFonts w:ascii="Arial" w:hAnsi="Arial" w:cs="Arial"/>
          <w:sz w:val="20"/>
          <w:szCs w:val="20"/>
        </w:rPr>
        <w:t xml:space="preserve">. These signals are recognised by specialised plant receptors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{"citationID":"pDRxjNcs","properties":{"unsorted":false,"formattedCitation":"(12)","plainCitation":"(12)","noteIndex":0},"citationItems":[{"id":676,"uris":["http://zotero.org/users/16875439/items/GJKQGUL6"],"itemData":{"id":676,"type":"article-journal","abstract":"Most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(12)</w:t>
      </w:r>
      <w:r w:rsidRPr="00477612">
        <w:rPr>
          <w:rFonts w:ascii="Arial" w:hAnsi="Arial" w:cs="Arial"/>
          <w:sz w:val="20"/>
          <w:szCs w:val="20"/>
        </w:rPr>
        <w:fldChar w:fldCharType="end"/>
      </w:r>
      <w:r w:rsidRPr="00477612">
        <w:rPr>
          <w:rFonts w:ascii="Arial" w:hAnsi="Arial" w:cs="Arial"/>
          <w:sz w:val="20"/>
          <w:szCs w:val="20"/>
        </w:rPr>
        <w:t xml:space="preserve">, triggering calcium oscillations that activate downstream symbiosis signalling, enabling AMF to colonise the root cortex and form highly branched intracellular feeding structures known as ‘arbuscules’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{"citationID":"euc9il8T","properties":{"unsorted":false,"formattedCitation":"(10, 11, 17, 18)","plainCitation":"(10, 11, 17, 18)","noteIndex":0},"citationItems":[{"id":655,"uris":["http://zotero.org/users/16875439/items/DY664738"],"itemData":{"id":655,"type":"article-journal","abstract":"Plants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(10, 11, 17, 18)</w:t>
      </w:r>
      <w:r w:rsidRPr="00477612">
        <w:rPr>
          <w:rFonts w:ascii="Arial" w:hAnsi="Arial" w:cs="Arial"/>
          <w:sz w:val="20"/>
          <w:szCs w:val="20"/>
        </w:rPr>
        <w:fldChar w:fldCharType="end"/>
      </w:r>
      <w:r w:rsidRPr="00477612">
        <w:rPr>
          <w:rFonts w:ascii="Arial" w:hAnsi="Arial" w:cs="Arial"/>
          <w:sz w:val="20"/>
          <w:szCs w:val="20"/>
        </w:rPr>
        <w:t xml:space="preserve">. These structures provide an extended surface area for nutrient exchange, where the plant supplies carbon sources to the fungus in return for phosphorus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{"citationID":"6tm6Xbev","properties":{"unsorted":false,"formattedCitation":"(12, 19)","plainCitation":"(12, 19)","noteIndex":0},"citationItems":[{"id":676,"uris":["http://zotero.org/users/16875439/items/GJKQGUL6"],"itemData":{"id":676,"type":"article-journal","abstract":"Most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(12, 19)</w:t>
      </w:r>
      <w:r w:rsidRPr="00477612">
        <w:rPr>
          <w:rFonts w:ascii="Arial" w:hAnsi="Arial" w:cs="Arial"/>
          <w:sz w:val="20"/>
          <w:szCs w:val="20"/>
        </w:rPr>
        <w:fldChar w:fldCharType="end"/>
      </w:r>
      <w:r w:rsidRPr="00477612">
        <w:rPr>
          <w:rFonts w:ascii="Arial" w:hAnsi="Arial" w:cs="Arial"/>
          <w:sz w:val="20"/>
          <w:szCs w:val="20"/>
        </w:rPr>
        <w:t xml:space="preserve">. In contrast, SNF with nitrogen-fixing bacteria is far less widespread, occurring mostly in legumes, with a few non-legumes forming nodules with </w:t>
      </w:r>
      <w:r w:rsidRPr="00477612">
        <w:rPr>
          <w:rFonts w:ascii="Arial" w:hAnsi="Arial" w:cs="Arial"/>
          <w:i/>
          <w:iCs/>
          <w:sz w:val="20"/>
          <w:szCs w:val="20"/>
        </w:rPr>
        <w:t>Frankia</w:t>
      </w:r>
      <w:r w:rsidRPr="00477612">
        <w:rPr>
          <w:rFonts w:ascii="Arial" w:hAnsi="Arial" w:cs="Arial"/>
          <w:sz w:val="20"/>
          <w:szCs w:val="20"/>
        </w:rPr>
        <w:t xml:space="preserve">, and the tree </w:t>
      </w:r>
      <w:r w:rsidRPr="00477612">
        <w:rPr>
          <w:rFonts w:ascii="Arial" w:hAnsi="Arial" w:cs="Arial"/>
          <w:i/>
          <w:iCs/>
          <w:sz w:val="20"/>
          <w:szCs w:val="20"/>
        </w:rPr>
        <w:t>Parasponia</w:t>
      </w:r>
      <w:r w:rsidRPr="00477612">
        <w:rPr>
          <w:rFonts w:ascii="Arial" w:hAnsi="Arial" w:cs="Arial"/>
          <w:sz w:val="20"/>
          <w:szCs w:val="20"/>
        </w:rPr>
        <w:t xml:space="preserve"> representing the only non-legume that nodulates with rhizobia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{"citationID":"YqCV8B4w","properties":{"unsorted":false,"formattedCitation":"(20, 21)","plainCitation":"(20, 21)","noteIndex":0},"citationItems":[{"id":693,"uris":["http://zotero.org/users/16875439/items/47I442CR"],"itemData":{"id":693,"type":"article-journal","abstract":"Plants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(20, 21)</w:t>
      </w:r>
      <w:r w:rsidRPr="00477612">
        <w:rPr>
          <w:rFonts w:ascii="Arial" w:hAnsi="Arial" w:cs="Arial"/>
          <w:sz w:val="20"/>
          <w:szCs w:val="20"/>
        </w:rPr>
        <w:fldChar w:fldCharType="end"/>
      </w:r>
      <w:r w:rsidRPr="00477612">
        <w:rPr>
          <w:rFonts w:ascii="Arial" w:hAnsi="Arial" w:cs="Arial"/>
          <w:sz w:val="20"/>
          <w:szCs w:val="20"/>
        </w:rPr>
        <w:t xml:space="preserve">. Legumes release flavonoids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{"citationID":"rmrgm9vw","properties":{"unsorted":false,"formattedCitation":"(10, 22, 23)","plainCitation":"(10, 22, 23)","noteIndex":0},"citationItems":[{"id":655,"uris":["http://zotero.org/users/16875439/items/DY664738"],"itemData":{"id":655,"type":"article-journal","abstract":"Plants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(10, 22, 23)</w:t>
      </w:r>
      <w:r w:rsidRPr="00477612">
        <w:rPr>
          <w:rFonts w:ascii="Arial" w:hAnsi="Arial" w:cs="Arial"/>
          <w:sz w:val="20"/>
          <w:szCs w:val="20"/>
        </w:rPr>
        <w:fldChar w:fldCharType="end"/>
      </w:r>
      <w:r w:rsidRPr="00477612">
        <w:rPr>
          <w:rFonts w:ascii="Arial" w:hAnsi="Arial" w:cs="Arial"/>
          <w:sz w:val="20"/>
          <w:szCs w:val="20"/>
        </w:rPr>
        <w:t xml:space="preserve"> that are detected by nitrogen-fixing bacteria in the soil and activate bacterial production of Nod-factors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{"citationID":"Ota85plY","properties":{"unsorted":false,"formattedCitation":"(23, 24)","plainCitation":"(23, 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(23, 24)</w:t>
      </w:r>
      <w:r w:rsidRPr="00477612">
        <w:rPr>
          <w:rFonts w:ascii="Arial" w:hAnsi="Arial" w:cs="Arial"/>
          <w:sz w:val="20"/>
          <w:szCs w:val="20"/>
        </w:rPr>
        <w:fldChar w:fldCharType="end"/>
      </w:r>
      <w:r w:rsidRPr="00477612">
        <w:rPr>
          <w:rFonts w:ascii="Arial" w:hAnsi="Arial" w:cs="Arial"/>
          <w:sz w:val="20"/>
          <w:szCs w:val="20"/>
        </w:rPr>
        <w:t xml:space="preserve">. These signals are perceived by the plant, triggering symbiosis signalling, as seen in AMS, but leading to the development of specialised root-derived organelles called ‘nodules’, inside which nitrogen-fixing rhizobia are endocytosed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{"citationID":"f5tpVyFt","properties":{"unsorted":false,"formattedCitation":"(10)","plainCitation":"(10)","noteIndex":0},"citationItems":[{"id":655,"uris":["http://zotero.org/users/16875439/items/DY664738"],"itemData":{"id":655,"type":"article-journal","abstract":"Plants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w:t>
      </w:r>
      <w:r w:rsidRPr="00477612">
        <w:rPr>
          <w:rFonts w:ascii="Arial" w:hAnsi="Arial" w:cs="Arial"/>
          <w:sz w:val="20"/>
          <w:szCs w:val="20"/>
        </w:rPr>
        <w:fldChar w:fldCharType="end"/>
      </w:r>
      <w:r w:rsidRPr="00477612">
        <w:rPr>
          <w:rFonts w:ascii="Arial" w:hAnsi="Arial" w:cs="Arial"/>
          <w:sz w:val="20"/>
          <w:szCs w:val="20"/>
        </w:rPr>
        <w:t xml:space="preserve">. Nitrogen fixation is then facilitated by host-supplied sugars and tightly controlled oxygen levels mediated by leghemoglobin </w:t>
      </w:r>
      <w:r w:rsidRPr="00477612">
        <w:rPr>
          <w:rFonts w:ascii="Arial" w:hAnsi="Arial" w:cs="Arial"/>
          <w:sz w:val="20"/>
          <w:szCs w:val="20"/>
          <w:highlight w:val="red"/>
        </w:rPr>
        <w:fldChar w:fldCharType="begin"/>
      </w:r>
      <w:r w:rsidRPr="00477612">
        <w:rPr>
          <w:rFonts w:ascii="Arial" w:hAnsi="Arial" w:cs="Arial"/>
          <w:sz w:val="20"/>
          <w:szCs w:val="20"/>
          <w:highlight w:val="red"/>
        </w:rPr>
        <w:instrText xml:space="preserve"> ADDIN ZOTERO_ITEM CSL_CITATION {"citationID":"bhqAC8VG","properties":{"unsorted":false,"formattedCitation":"(25\\uc0\\u8211{}29)","plainCitation":"(25–29)","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Pr="00477612">
        <w:rPr>
          <w:rFonts w:ascii="Arial" w:hAnsi="Arial" w:cs="Arial"/>
          <w:sz w:val="20"/>
          <w:szCs w:val="20"/>
          <w:highlight w:val="red"/>
        </w:rPr>
        <w:fldChar w:fldCharType="separate"/>
      </w:r>
      <w:r w:rsidRPr="00477612">
        <w:rPr>
          <w:rFonts w:ascii="Arial" w:hAnsi="Arial" w:cs="Arial"/>
          <w:sz w:val="20"/>
          <w:szCs w:val="20"/>
        </w:rPr>
        <w:t>(25–29)</w:t>
      </w:r>
      <w:r w:rsidRPr="00477612">
        <w:rPr>
          <w:rFonts w:ascii="Arial" w:hAnsi="Arial" w:cs="Arial"/>
          <w:sz w:val="20"/>
          <w:szCs w:val="20"/>
          <w:highlight w:val="red"/>
        </w:rPr>
        <w:fldChar w:fldCharType="end"/>
      </w:r>
      <w:r w:rsidRPr="00477612">
        <w:rPr>
          <w:rFonts w:ascii="Arial" w:hAnsi="Arial" w:cs="Arial"/>
          <w:sz w:val="20"/>
          <w:szCs w:val="20"/>
        </w:rPr>
        <w:t>. Together, SNF and AMS are essential strategies enabling plants to acquire nutrients critical for growth and reproduction.</w:t>
      </w:r>
    </w:p>
    <w:p w14:paraId="5F5563FA" w14:textId="77777777"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Both symbioses are controlled by a shared genetic pathway known as the ‘Common Symbiosis Signalling Pathway’ (CSSP), which is conserved across land plants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{"citationID":"LwNTrGcS","properties":{"unsorted":false,"formattedCitation":"(10, 11, 30\\uc0\\u8211{}33)","plainCitation":"(10, 11, 30–33)","noteIndex":0},"citationItems":[{"id":655,"uris":["http://zotero.org/users/16875439/items/DY664738"],"itemData":{"id":655,"type":"article-journal","abstract":"Plants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(10, 11, 30–33)</w:t>
      </w:r>
      <w:r w:rsidRPr="00477612">
        <w:rPr>
          <w:rFonts w:ascii="Arial" w:hAnsi="Arial" w:cs="Arial"/>
          <w:sz w:val="20"/>
          <w:szCs w:val="20"/>
        </w:rPr>
        <w:fldChar w:fldCharType="end"/>
      </w:r>
      <w:r w:rsidRPr="00477612">
        <w:rPr>
          <w:rFonts w:ascii="Arial" w:hAnsi="Arial" w:cs="Arial"/>
          <w:sz w:val="20"/>
          <w:szCs w:val="20"/>
        </w:rPr>
        <w:t xml:space="preserve">. The CSSP is fundamental to both symbioses and operates not only in legumes, which facilitate both SNF and AMS, but also in cereals, which establish only AMS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{"citationID":"pNmhwcWm","properties":{"unsorted":false,"formattedCitation":"(33)","plainCitation":"(33)","noteIndex":0},"citationItems":[{"id":723,"uris":["http://zotero.org/users/16875439/items/D5DTQEUZ"],"itemData":{"id":723,"type":"article-journal","abstract":"Establishment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(33)</w:t>
      </w:r>
      <w:r w:rsidRPr="00477612">
        <w:rPr>
          <w:rFonts w:ascii="Arial" w:hAnsi="Arial" w:cs="Arial"/>
          <w:sz w:val="20"/>
          <w:szCs w:val="20"/>
        </w:rPr>
        <w:fldChar w:fldCharType="end"/>
      </w:r>
      <w:r w:rsidRPr="00477612">
        <w:rPr>
          <w:rFonts w:ascii="Arial" w:hAnsi="Arial" w:cs="Arial"/>
          <w:sz w:val="20"/>
          <w:szCs w:val="20"/>
        </w:rPr>
        <w:t>. A key CSSP gene is SYMRK, encoding a receptor-like kinase that acts as the first shared component of the pathway, interacting with Myc- and Nod-factor receptors and associating with regulatory proteins to trigger the release of calcium (Ca</w:t>
      </w:r>
      <w:r w:rsidRPr="00477612">
        <w:rPr>
          <w:rFonts w:ascii="Arial" w:hAnsi="Arial" w:cs="Arial"/>
          <w:sz w:val="20"/>
          <w:szCs w:val="20"/>
          <w:vertAlign w:val="superscript"/>
        </w:rPr>
        <w:t>2+</w:t>
      </w:r>
      <w:r w:rsidRPr="00477612">
        <w:rPr>
          <w:rFonts w:ascii="Arial" w:hAnsi="Arial" w:cs="Arial"/>
          <w:sz w:val="20"/>
          <w:szCs w:val="20"/>
        </w:rPr>
        <w:t xml:space="preserve">) signals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RNgjR6YG","properties":{"unsorted":false,"formattedCitation":"(34\\uc0\\u8211{}37)","plainCitation":"(34–37)","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(34–37)</w:t>
      </w:r>
      <w:r w:rsidRPr="00477612">
        <w:rPr>
          <w:rFonts w:ascii="Arial" w:hAnsi="Arial" w:cs="Arial"/>
          <w:sz w:val="20"/>
          <w:szCs w:val="20"/>
        </w:rPr>
        <w:fldChar w:fldCharType="end"/>
      </w:r>
      <w:r w:rsidRPr="00477612">
        <w:rPr>
          <w:rFonts w:ascii="Arial" w:hAnsi="Arial" w:cs="Arial"/>
          <w:sz w:val="20"/>
          <w:szCs w:val="20"/>
        </w:rPr>
        <w:t>. These Ca</w:t>
      </w:r>
      <w:r w:rsidRPr="00477612">
        <w:rPr>
          <w:rFonts w:ascii="Arial" w:hAnsi="Arial" w:cs="Arial"/>
          <w:sz w:val="20"/>
          <w:szCs w:val="20"/>
          <w:vertAlign w:val="superscript"/>
        </w:rPr>
        <w:t>2+</w:t>
      </w:r>
      <w:r w:rsidRPr="00477612">
        <w:rPr>
          <w:rFonts w:ascii="Arial" w:hAnsi="Arial" w:cs="Arial"/>
          <w:sz w:val="20"/>
          <w:szCs w:val="20"/>
        </w:rPr>
        <w:t xml:space="preserve"> signals are decoded by the nucleus-localised calcium- and calmodulin-dependent serine/threonine protein kinase CCaMK, which is considered the central regulator of symbiosis signal transduction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ccUZ9Acz","properties":{"unsorted":false,"formattedCitation":"(38\\uc0\\u8211{}41)","plainCitation":"(38–41)","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(38–41)</w:t>
      </w:r>
      <w:r w:rsidRPr="00477612">
        <w:rPr>
          <w:rFonts w:ascii="Arial" w:hAnsi="Arial" w:cs="Arial"/>
          <w:sz w:val="20"/>
          <w:szCs w:val="20"/>
        </w:rPr>
        <w:fldChar w:fldCharType="end"/>
      </w:r>
      <w:r w:rsidRPr="00477612">
        <w:rPr>
          <w:rFonts w:ascii="Arial" w:hAnsi="Arial" w:cs="Arial"/>
          <w:sz w:val="20"/>
          <w:szCs w:val="20"/>
        </w:rPr>
        <w:t>. CCaMK acts as pacemaker, interpreting Ca</w:t>
      </w:r>
      <w:r w:rsidRPr="00477612">
        <w:rPr>
          <w:rFonts w:ascii="Arial" w:hAnsi="Arial" w:cs="Arial"/>
          <w:sz w:val="20"/>
          <w:szCs w:val="20"/>
          <w:vertAlign w:val="superscript"/>
        </w:rPr>
        <w:t>2+</w:t>
      </w:r>
      <w:r w:rsidRPr="00477612">
        <w:rPr>
          <w:rFonts w:ascii="Arial" w:hAnsi="Arial" w:cs="Arial"/>
          <w:sz w:val="20"/>
          <w:szCs w:val="20"/>
        </w:rPr>
        <w:t xml:space="preserve"> oscillations to activate endosymbiotic programs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{"citationID":"fRLxDvza","properties":{"unsorted":false,"formattedCitation":"(42)","plainCitation":"(42)","noteIndex":0},"citationItems":[{"id":609,"uris":["http://zotero.org/users/16875439/items/3DR3LB7T"],"itemData":{"id":609,"type":"article-journal","abstract":"Nutrient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w:t>
      </w:r>
      <w:r w:rsidRPr="00477612">
        <w:rPr>
          <w:rFonts w:ascii="Arial" w:hAnsi="Arial" w:cs="Arial"/>
          <w:sz w:val="20"/>
          <w:szCs w:val="20"/>
        </w:rPr>
        <w:fldChar w:fldCharType="end"/>
      </w:r>
      <w:r w:rsidRPr="00477612">
        <w:rPr>
          <w:rFonts w:ascii="Arial" w:hAnsi="Arial" w:cs="Arial"/>
          <w:sz w:val="20"/>
          <w:szCs w:val="20"/>
        </w:rPr>
        <w:t xml:space="preserve">. CCaMK activates a complex transcriptional network involving genes essential for one or both symbioses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{"citationID":"tffu4RBG","properties":{"unsorted":false,"formattedCitation":"(40, 43\\uc0\\u8211{}45)","plainCitation":"(40, 43–45)","noteIndex":0},"citationItems":[{"id":739,"uris":["http://zotero.org/users/16875439/items/2E7Z79GD"],"itemData":{"id":739,"type":"article-journal","abstract":"In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(40, 43–45)</w:t>
      </w:r>
      <w:r w:rsidRPr="00477612">
        <w:rPr>
          <w:rFonts w:ascii="Arial" w:hAnsi="Arial" w:cs="Arial"/>
          <w:sz w:val="20"/>
          <w:szCs w:val="20"/>
        </w:rPr>
        <w:fldChar w:fldCharType="end"/>
      </w:r>
      <w:r w:rsidRPr="00477612">
        <w:rPr>
          <w:rFonts w:ascii="Arial" w:hAnsi="Arial" w:cs="Arial"/>
          <w:sz w:val="20"/>
          <w:szCs w:val="20"/>
        </w:rPr>
        <w:t xml:space="preserve">. Among these, the GRAS-domain transcription factors Nodulation Signalling Pathway1 (NSP1) and NSP2 are crucial. These proteins regulate nodule formation and bacterial infection during SNF and play a key role in strigolactone biosynthesis during early AMS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{"citationID":"SU2xSpdV","properties":{"unsorted":false,"formattedCitation":"(10, 46\\uc0\\u8211{}49)","plainCitation":"(10, 46–49)","noteIndex":0},"citationItems":[{"id":655,"uris":["http://zotero.org/users/16875439/items/DY664738"],"itemData":{"id":655,"type":"article-journal","abstract":"Plants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(10, 46–49)</w:t>
      </w:r>
      <w:r w:rsidRPr="00477612">
        <w:rPr>
          <w:rFonts w:ascii="Arial" w:hAnsi="Arial" w:cs="Arial"/>
          <w:sz w:val="20"/>
          <w:szCs w:val="20"/>
        </w:rPr>
        <w:fldChar w:fldCharType="end"/>
      </w:r>
      <w:r w:rsidRPr="00477612">
        <w:rPr>
          <w:rFonts w:ascii="Arial" w:hAnsi="Arial" w:cs="Arial"/>
          <w:sz w:val="20"/>
          <w:szCs w:val="20"/>
        </w:rPr>
        <w:t xml:space="preserve">. In conclusion, the CSSP is the central regulatory network governing both SNF and AMS. A growing research field focuses on elucidating individual CSSP gene functions to enhance plant nitrogen and phosphorus uptake, with the goal of improving agricultural productivity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{"citationID":"pRYidVkH","properties":{"unsorted":false,"formattedCitation":"(36, 50\\uc0\\u8211{}53)","plainCitation":"(36, 50–53)","noteIndex":0},"citationItems":[{"id":664,"uris":["http://zotero.org/users/16875439/items/N3YMASZK"],"itemData":{"id":664,"type":"article-journal","abstract":"Receptor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(36, 50–53)</w:t>
      </w:r>
      <w:r w:rsidRPr="00477612">
        <w:rPr>
          <w:rFonts w:ascii="Arial" w:hAnsi="Arial" w:cs="Arial"/>
          <w:sz w:val="20"/>
          <w:szCs w:val="20"/>
        </w:rPr>
        <w:fldChar w:fldCharType="end"/>
      </w:r>
      <w:r w:rsidRPr="00477612">
        <w:rPr>
          <w:rFonts w:ascii="Arial" w:hAnsi="Arial" w:cs="Arial"/>
          <w:sz w:val="20"/>
          <w:szCs w:val="20"/>
        </w:rPr>
        <w:t>.</w:t>
      </w:r>
    </w:p>
    <w:p w14:paraId="69E94C61" w14:textId="77777777"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Recent studies have begun exploring whether individual CSSP genes may influence not only the establishment of symbioses but also broader microbial associations. Mutations in CSSP genes have been shown to alter bacterial and fungal communities in legumes, highlighting a potential role for these genes beyond symbiosis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sajeYqHS","properties":{"unsorted":false,"formattedCitation":"(54\\uc0\\u8211{}58)","plainCitation":"(54–58)","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(54–58)</w:t>
      </w:r>
      <w:r w:rsidRPr="00477612">
        <w:rPr>
          <w:rFonts w:ascii="Arial" w:hAnsi="Arial" w:cs="Arial"/>
          <w:sz w:val="20"/>
          <w:szCs w:val="20"/>
        </w:rPr>
        <w:fldChar w:fldCharType="end"/>
      </w:r>
      <w:r w:rsidRPr="00477612">
        <w:rPr>
          <w:rFonts w:ascii="Arial" w:hAnsi="Arial" w:cs="Arial"/>
          <w:sz w:val="20"/>
          <w:szCs w:val="20"/>
        </w:rPr>
        <w:t>. Whether similar effects occur in non-leguminous plants, such as cereals, remains unclear. Cereals lack the ability to facilitate SNF and often suffer from nitrogen deficiencies, making it particularly interesting to investigate whether the CSSP also influences colonisation by other beneficial soil bacteria, such as free-living nitrogen-fixing isolates.</w:t>
      </w:r>
    </w:p>
    <w:p w14:paraId="35430539" w14:textId="362407EB" w:rsidR="00E6133D" w:rsidRPr="00477612" w:rsidRDefault="00477612" w:rsidP="00477612">
      <w:pPr>
        <w:keepNext/>
        <w:pBdr>
          <w:top w:val="nil"/>
          <w:left w:val="nil"/>
          <w:bottom w:val="nil"/>
          <w:right w:val="nil"/>
          <w:between w:val="nil"/>
        </w:pBdr>
        <w:spacing w:before="240" w:after="60"/>
        <w:contextualSpacing/>
        <w:jc w:val="both"/>
        <w:rPr>
          <w:rFonts w:ascii="Arial" w:hAnsi="Arial" w:cs="Arial"/>
          <w:color w:val="000000"/>
          <w:sz w:val="20"/>
          <w:szCs w:val="20"/>
        </w:rPr>
      </w:pPr>
      <w:r w:rsidRPr="00477612">
        <w:rPr>
          <w:rFonts w:ascii="Arial" w:hAnsi="Arial" w:cs="Arial"/>
          <w:sz w:val="20"/>
          <w:szCs w:val="20"/>
        </w:rPr>
        <w:t>Here, we tested the hypothesis that the CSSP shapes root-associated microbial communities in both a legume (</w:t>
      </w:r>
      <w:r w:rsidRPr="00477612">
        <w:rPr>
          <w:rFonts w:ascii="Arial" w:hAnsi="Arial" w:cs="Arial"/>
          <w:i/>
          <w:iCs/>
          <w:sz w:val="20"/>
          <w:szCs w:val="20"/>
        </w:rPr>
        <w:t>Lotus japonicus</w:t>
      </w:r>
      <w:r w:rsidRPr="00477612">
        <w:rPr>
          <w:rFonts w:ascii="Arial" w:hAnsi="Arial" w:cs="Arial"/>
          <w:sz w:val="20"/>
          <w:szCs w:val="20"/>
        </w:rPr>
        <w:t>) and a cereal (</w:t>
      </w:r>
      <w:r w:rsidRPr="00477612">
        <w:rPr>
          <w:rFonts w:ascii="Arial" w:hAnsi="Arial" w:cs="Arial"/>
          <w:i/>
          <w:iCs/>
          <w:sz w:val="20"/>
          <w:szCs w:val="20"/>
        </w:rPr>
        <w:t>Hordeum vulgare</w:t>
      </w:r>
      <w:r w:rsidRPr="00477612">
        <w:rPr>
          <w:rFonts w:ascii="Arial" w:hAnsi="Arial" w:cs="Arial"/>
          <w:sz w:val="20"/>
          <w:szCs w:val="20"/>
        </w:rPr>
        <w:t>). Using mutants impaired in orthologous CSSP genes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w:t>
      </w:r>
      <w:r w:rsidRPr="00477612">
        <w:rPr>
          <w:rFonts w:ascii="Arial" w:hAnsi="Arial" w:cs="Arial"/>
          <w:i/>
          <w:iCs/>
          <w:sz w:val="20"/>
          <w:szCs w:val="20"/>
        </w:rPr>
        <w:t>nsp2</w:t>
      </w:r>
      <w:r w:rsidRPr="00477612">
        <w:rPr>
          <w:rFonts w:ascii="Arial" w:hAnsi="Arial" w:cs="Arial"/>
          <w:sz w:val="20"/>
          <w:szCs w:val="20"/>
        </w:rPr>
        <w:t xml:space="preserve">), we examined how disrupted symbiosis signalling influences root microbiota composition, root exudate profiles, and plant growth. We combined these genetic perturbations with soils subjected to long-term differential nitrogen and phosphorus fertilisation. This revealed that soil nutrient status strongly affects root-associated bacterial communities and that microbiota composition can accurately predict the plant’s nutritional state. Independent of nutrient availability, active symbiosis signalling exerts a strong influence on </w:t>
      </w:r>
      <w:r w:rsidRPr="00477612">
        <w:rPr>
          <w:rFonts w:ascii="Arial" w:hAnsi="Arial" w:cs="Arial"/>
          <w:sz w:val="20"/>
          <w:szCs w:val="20"/>
        </w:rPr>
        <w:lastRenderedPageBreak/>
        <w:t xml:space="preserve">bacterial community assembly in both hosts. In </w:t>
      </w:r>
      <w:r w:rsidRPr="00477612">
        <w:rPr>
          <w:rFonts w:ascii="Arial" w:hAnsi="Arial" w:cs="Arial"/>
          <w:i/>
          <w:iCs/>
          <w:sz w:val="20"/>
          <w:szCs w:val="20"/>
        </w:rPr>
        <w:t>Lotus</w:t>
      </w:r>
      <w:r w:rsidRPr="00477612">
        <w:rPr>
          <w:rFonts w:ascii="Arial" w:hAnsi="Arial" w:cs="Arial"/>
          <w:sz w:val="20"/>
          <w:szCs w:val="20"/>
        </w:rPr>
        <w:t xml:space="preserve">, CSSP mutants primarily lose symbiont colonisation, creating opportunities for other microbes to occupy available niches, whereas in </w:t>
      </w:r>
      <w:r w:rsidRPr="00477612">
        <w:rPr>
          <w:rFonts w:ascii="Arial" w:hAnsi="Arial" w:cs="Arial"/>
          <w:i/>
          <w:iCs/>
          <w:sz w:val="20"/>
          <w:szCs w:val="20"/>
        </w:rPr>
        <w:t>Hordeum</w:t>
      </w:r>
      <w:r w:rsidRPr="00477612">
        <w:rPr>
          <w:rFonts w:ascii="Arial" w:hAnsi="Arial" w:cs="Arial"/>
          <w:sz w:val="20"/>
          <w:szCs w:val="20"/>
        </w:rPr>
        <w:t>, colonisation by diverse bacterial taxa is broadly altered. These community shifts appear to be linked to CSSP-dependent changes in root exudation, particularly affecting phenylpropanoids and phenolic acids. Together, our findings demonstrate that CSSP genes play a broader role in plant</w:t>
      </w:r>
      <w:r w:rsidRPr="00477612">
        <w:rPr>
          <w:rFonts w:ascii="Arial" w:hAnsi="Arial" w:cs="Arial"/>
          <w:color w:val="000000" w:themeColor="text1"/>
          <w:sz w:val="20"/>
          <w:szCs w:val="20"/>
        </w:rPr>
        <w:t>-</w:t>
      </w:r>
      <w:r w:rsidRPr="00477612">
        <w:rPr>
          <w:rFonts w:ascii="Arial" w:hAnsi="Arial" w:cs="Arial"/>
          <w:sz w:val="20"/>
          <w:szCs w:val="20"/>
        </w:rPr>
        <w:t>microbe interactions beyond their known functions in SNF and AMS. These insights have implications for enhancing nutrient uptake and for the development of host-tailored microbiome management strategies.</w:t>
      </w:r>
    </w:p>
    <w:p w14:paraId="672C2236" w14:textId="77777777" w:rsid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7EAD10B7" w14:textId="3EBD99FD"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Long-term effects of soil fertilisation on soil bacterial communities</w:t>
      </w:r>
      <w:r w:rsidR="00F24A94">
        <w:rPr>
          <w:rFonts w:ascii="Arial" w:hAnsi="Arial" w:cs="Arial"/>
          <w:b/>
          <w:bCs/>
          <w:sz w:val="20"/>
          <w:szCs w:val="20"/>
        </w:rPr>
        <w:t xml:space="preserve">. </w:t>
      </w:r>
      <w:r w:rsidRPr="00477612">
        <w:rPr>
          <w:rFonts w:ascii="Arial" w:hAnsi="Arial" w:cs="Arial"/>
          <w:sz w:val="20"/>
          <w:szCs w:val="20"/>
        </w:rPr>
        <w:t xml:space="preserve">The soils used in this study were sampled from the Askov long-term field experiment in Denmark, where plots had been consistently treated with specific fertiliser combinations for over 125 years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{"citationID":"jGzfJ1H3","properties":{"unsorted":false,"formattedCitation":"(59)","plainCitation":"(59)","noteIndex":0},"citationItems":[{"id":511,"uris":["http://zotero.org/users/16875439/items/HBBTIG79"],"itemData":{"id":511,"type":"article-journal","abstract":"Long-term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(59)</w:t>
      </w:r>
      <w:r w:rsidRPr="00477612">
        <w:rPr>
          <w:rFonts w:ascii="Arial" w:hAnsi="Arial" w:cs="Arial"/>
          <w:sz w:val="20"/>
          <w:szCs w:val="20"/>
        </w:rPr>
        <w:fldChar w:fldCharType="end"/>
      </w:r>
      <w:r w:rsidRPr="00477612">
        <w:rPr>
          <w:rFonts w:ascii="Arial" w:hAnsi="Arial" w:cs="Arial"/>
          <w:sz w:val="20"/>
          <w:szCs w:val="20"/>
        </w:rPr>
        <w:t>. We focused on three soils (hereafter soil types) that had been subjected to different treatments: (1) nitrogen, phosphorus, and potassium fertilisation (NPK); (2) nitrogen-deficient soil (PK); and (3) unfertilised soil (UF). All soils followed the same crop rotation and agricultural practices over time. Given the long-term fertilisation history, we first asked whether these treatments had influenced soil bacterial communities. Profiling the soil microbiota using 16S V5-V7 rRNA amplicon sequencing (</w:t>
      </w:r>
      <w:r w:rsidRPr="00477612">
        <w:rPr>
          <w:rFonts w:ascii="Arial" w:hAnsi="Arial" w:cs="Arial"/>
          <w:sz w:val="20"/>
          <w:szCs w:val="20"/>
          <w:highlight w:val="cyan"/>
        </w:rPr>
        <w:t>Fig.</w:t>
      </w:r>
      <w:r w:rsidRPr="00477612">
        <w:rPr>
          <w:rFonts w:ascii="Arial" w:hAnsi="Arial" w:cs="Arial"/>
          <w:color w:val="FF0000"/>
          <w:sz w:val="20"/>
          <w:szCs w:val="20"/>
          <w:highlight w:val="cyan"/>
        </w:rPr>
        <w:t xml:space="preserve"> </w:t>
      </w:r>
      <w:r w:rsidRPr="00477612">
        <w:rPr>
          <w:rFonts w:ascii="Arial" w:hAnsi="Arial" w:cs="Arial"/>
          <w:sz w:val="20"/>
          <w:szCs w:val="20"/>
          <w:highlight w:val="cyan"/>
        </w:rPr>
        <w:t>1</w:t>
      </w:r>
      <w:r w:rsidRPr="00477612">
        <w:rPr>
          <w:rFonts w:ascii="Arial" w:hAnsi="Arial" w:cs="Arial"/>
          <w:sz w:val="20"/>
          <w:szCs w:val="20"/>
        </w:rPr>
        <w:t>) revealed similar within-sample diversity (alpha diversity, Chao1 index) across the three soils (</w:t>
      </w:r>
      <w:r w:rsidRPr="00477612">
        <w:rPr>
          <w:rFonts w:ascii="Arial" w:hAnsi="Arial" w:cs="Arial"/>
          <w:sz w:val="20"/>
          <w:szCs w:val="20"/>
          <w:highlight w:val="cyan"/>
        </w:rPr>
        <w:t>Fig. 1B</w:t>
      </w:r>
      <w:r w:rsidRPr="00477612">
        <w:rPr>
          <w:rFonts w:ascii="Arial" w:hAnsi="Arial" w:cs="Arial"/>
          <w:sz w:val="20"/>
          <w:szCs w:val="20"/>
        </w:rPr>
        <w:t xml:space="preserve">), but substantial differences in community composition (between-sample diversity, beta diversity; Bray-Curtis dissimilarities, </w:t>
      </w:r>
      <w:r w:rsidRPr="00477612">
        <w:rPr>
          <w:rFonts w:ascii="Arial" w:hAnsi="Arial" w:cs="Arial"/>
          <w:sz w:val="20"/>
          <w:szCs w:val="20"/>
          <w:highlight w:val="cyan"/>
        </w:rPr>
        <w:t>Fig. 1C</w:t>
      </w:r>
      <w:r w:rsidRPr="00477612">
        <w:rPr>
          <w:rFonts w:ascii="Arial" w:hAnsi="Arial" w:cs="Arial"/>
          <w:sz w:val="20"/>
          <w:szCs w:val="20"/>
        </w:rPr>
        <w:t xml:space="preserve">). Several well-known bacterial orders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{"citationID":"PzFgZAQ9","properties":{"unsorted":false,"formattedCitation":"(60)","plainCitation":"(60)","noteIndex":0},"citationItems":[{"id":565,"uris":["http://zotero.org/users/16875439/items/SXAZQ5JI"],"itemData":{"id":565,"type":"article-journal","abstract":"The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(60)</w:t>
      </w:r>
      <w:r w:rsidRPr="00477612">
        <w:rPr>
          <w:rFonts w:ascii="Arial" w:hAnsi="Arial" w:cs="Arial"/>
          <w:sz w:val="20"/>
          <w:szCs w:val="20"/>
        </w:rPr>
        <w:fldChar w:fldCharType="end"/>
      </w:r>
      <w:r w:rsidRPr="00477612">
        <w:rPr>
          <w:rFonts w:ascii="Arial" w:hAnsi="Arial" w:cs="Arial"/>
          <w:sz w:val="20"/>
          <w:szCs w:val="20"/>
        </w:rPr>
        <w:t xml:space="preserve"> were among the most abundant taxa (</w:t>
      </w:r>
      <w:r w:rsidRPr="00477612">
        <w:rPr>
          <w:rFonts w:ascii="Arial" w:hAnsi="Arial" w:cs="Arial"/>
          <w:sz w:val="20"/>
          <w:szCs w:val="20"/>
          <w:highlight w:val="cyan"/>
        </w:rPr>
        <w:t>Fig. 1D</w:t>
      </w:r>
      <w:r w:rsidRPr="00477612">
        <w:rPr>
          <w:rFonts w:ascii="Arial" w:hAnsi="Arial" w:cs="Arial"/>
          <w:sz w:val="20"/>
          <w:szCs w:val="20"/>
        </w:rPr>
        <w:t xml:space="preserve">), with some showing differential abundance across soil types; for example, </w:t>
      </w:r>
      <w:r w:rsidRPr="00477612">
        <w:rPr>
          <w:rFonts w:ascii="Arial" w:hAnsi="Arial" w:cs="Arial"/>
          <w:i/>
          <w:iCs/>
          <w:sz w:val="20"/>
          <w:szCs w:val="20"/>
        </w:rPr>
        <w:t xml:space="preserve">Pseudomonadales </w:t>
      </w:r>
      <w:r w:rsidRPr="00477612">
        <w:rPr>
          <w:rFonts w:ascii="Arial" w:hAnsi="Arial" w:cs="Arial"/>
          <w:sz w:val="20"/>
          <w:szCs w:val="20"/>
        </w:rPr>
        <w:t xml:space="preserve">were enriched in UF, whereas </w:t>
      </w:r>
      <w:r w:rsidRPr="00477612">
        <w:rPr>
          <w:rFonts w:ascii="Arial" w:hAnsi="Arial" w:cs="Arial"/>
          <w:i/>
          <w:iCs/>
          <w:sz w:val="20"/>
          <w:szCs w:val="20"/>
        </w:rPr>
        <w:t>Bacillales</w:t>
      </w:r>
      <w:r w:rsidRPr="00477612">
        <w:rPr>
          <w:rFonts w:ascii="Arial" w:hAnsi="Arial" w:cs="Arial"/>
          <w:sz w:val="20"/>
          <w:szCs w:val="20"/>
        </w:rPr>
        <w:t xml:space="preserve">, </w:t>
      </w:r>
      <w:r w:rsidRPr="00477612">
        <w:rPr>
          <w:rFonts w:ascii="Arial" w:hAnsi="Arial" w:cs="Arial"/>
          <w:i/>
          <w:iCs/>
          <w:sz w:val="20"/>
          <w:szCs w:val="20"/>
        </w:rPr>
        <w:t>Gaiellales</w:t>
      </w:r>
      <w:r w:rsidRPr="00477612">
        <w:rPr>
          <w:rFonts w:ascii="Arial" w:hAnsi="Arial" w:cs="Arial"/>
          <w:sz w:val="20"/>
          <w:szCs w:val="20"/>
        </w:rPr>
        <w:t xml:space="preserve">, and </w:t>
      </w:r>
      <w:r w:rsidRPr="00477612">
        <w:rPr>
          <w:rFonts w:ascii="Arial" w:hAnsi="Arial" w:cs="Arial"/>
          <w:i/>
          <w:iCs/>
          <w:sz w:val="20"/>
          <w:szCs w:val="20"/>
        </w:rPr>
        <w:t>Xanthomonadales</w:t>
      </w:r>
      <w:r w:rsidRPr="00477612">
        <w:rPr>
          <w:rFonts w:ascii="Arial" w:hAnsi="Arial" w:cs="Arial"/>
          <w:sz w:val="20"/>
          <w:szCs w:val="20"/>
        </w:rPr>
        <w:t xml:space="preserve"> were more abundant in NPK soil (</w:t>
      </w:r>
      <w:r w:rsidRPr="00477612">
        <w:rPr>
          <w:rFonts w:ascii="Arial" w:hAnsi="Arial" w:cs="Arial"/>
          <w:sz w:val="20"/>
          <w:szCs w:val="20"/>
          <w:highlight w:val="cyan"/>
        </w:rPr>
        <w:t>Fig. 1E</w:t>
      </w:r>
      <w:r w:rsidRPr="00477612">
        <w:rPr>
          <w:rFonts w:ascii="Arial" w:hAnsi="Arial" w:cs="Arial"/>
          <w:sz w:val="20"/>
          <w:szCs w:val="20"/>
        </w:rPr>
        <w:t>). Similar numbers of</w:t>
      </w:r>
      <w:r w:rsidRPr="00477612">
        <w:rPr>
          <w:rFonts w:ascii="Arial" w:hAnsi="Arial" w:cs="Arial"/>
          <w:color w:val="000000" w:themeColor="text1"/>
          <w:sz w:val="20"/>
          <w:szCs w:val="20"/>
        </w:rPr>
        <w:t xml:space="preserve"> amplicon sequence variants (</w:t>
      </w:r>
      <w:r w:rsidRPr="00477612">
        <w:rPr>
          <w:rFonts w:ascii="Arial" w:hAnsi="Arial" w:cs="Arial"/>
          <w:sz w:val="20"/>
          <w:szCs w:val="20"/>
        </w:rPr>
        <w:t>ASVs; ~1200) were identified in all soils. Of these, fewer than 40% were shared across soil types (</w:t>
      </w:r>
      <w:r w:rsidRPr="00477612">
        <w:rPr>
          <w:rFonts w:ascii="Arial" w:hAnsi="Arial" w:cs="Arial"/>
          <w:sz w:val="20"/>
          <w:szCs w:val="20"/>
          <w:highlight w:val="cyan"/>
        </w:rPr>
        <w:t>Fig. 1F, Suppl. Table 1</w:t>
      </w:r>
      <w:r w:rsidRPr="00477612">
        <w:rPr>
          <w:rFonts w:ascii="Arial" w:hAnsi="Arial" w:cs="Arial"/>
          <w:sz w:val="20"/>
          <w:szCs w:val="20"/>
        </w:rPr>
        <w:t>). Both unique and shared ASVs spanned a broad range of bacterial orders, indicating that long-term fertilisation influenced community composition at both low and higher taxonomic levels (</w:t>
      </w:r>
      <w:r w:rsidRPr="00477612">
        <w:rPr>
          <w:rFonts w:ascii="Arial" w:hAnsi="Arial" w:cs="Arial"/>
          <w:sz w:val="20"/>
          <w:szCs w:val="20"/>
          <w:highlight w:val="cyan"/>
        </w:rPr>
        <w:t>Fig. 1F</w:t>
      </w:r>
      <w:r w:rsidRPr="00477612">
        <w:rPr>
          <w:rFonts w:ascii="Arial" w:hAnsi="Arial" w:cs="Arial"/>
          <w:sz w:val="20"/>
          <w:szCs w:val="20"/>
        </w:rPr>
        <w:t>). This demonstrates that long-term fertilisation maintains overall diversity while shaping bacterial community composition, resulting in distinct communities likely adapted to the specific soil conditions imposed by different fertilisation regimes.</w:t>
      </w:r>
    </w:p>
    <w:p w14:paraId="70CF2203" w14:textId="77777777" w:rsidR="00F24A94" w:rsidRPr="00F24A94" w:rsidRDefault="00F24A94" w:rsidP="00F24A94">
      <w:pPr>
        <w:spacing w:after="0"/>
        <w:jc w:val="both"/>
        <w:rPr>
          <w:rFonts w:ascii="Arial" w:hAnsi="Arial" w:cs="Arial"/>
          <w:b/>
          <w:bCs/>
          <w:sz w:val="20"/>
          <w:szCs w:val="20"/>
        </w:rPr>
      </w:pPr>
    </w:p>
    <w:p w14:paraId="681E0F9D" w14:textId="53C9DCFF" w:rsidR="00477612" w:rsidRDefault="00477612" w:rsidP="00F24A94">
      <w:pPr>
        <w:spacing w:after="0"/>
        <w:jc w:val="both"/>
        <w:rPr>
          <w:rFonts w:ascii="Arial" w:hAnsi="Arial" w:cs="Arial"/>
          <w:sz w:val="20"/>
          <w:szCs w:val="20"/>
        </w:rPr>
      </w:pPr>
      <w:r w:rsidRPr="00477612">
        <w:rPr>
          <w:rFonts w:ascii="Arial" w:hAnsi="Arial" w:cs="Arial"/>
          <w:b/>
          <w:bCs/>
          <w:sz w:val="20"/>
          <w:szCs w:val="20"/>
        </w:rPr>
        <w:t>Host-specific colonisation by distinct soil microbiota members</w:t>
      </w:r>
      <w:r w:rsidR="00F24A94">
        <w:rPr>
          <w:rFonts w:ascii="Arial" w:hAnsi="Arial" w:cs="Arial"/>
          <w:b/>
          <w:bCs/>
          <w:sz w:val="20"/>
          <w:szCs w:val="20"/>
        </w:rPr>
        <w:t xml:space="preserve">. </w:t>
      </w:r>
      <w:r w:rsidRPr="00477612">
        <w:rPr>
          <w:rFonts w:ascii="Arial" w:hAnsi="Arial" w:cs="Arial"/>
          <w:sz w:val="20"/>
          <w:szCs w:val="20"/>
        </w:rPr>
        <w:t xml:space="preserve">Next, we cultivated </w:t>
      </w:r>
      <w:r w:rsidRPr="00477612">
        <w:rPr>
          <w:rFonts w:ascii="Arial" w:hAnsi="Arial" w:cs="Arial"/>
          <w:i/>
          <w:iCs/>
          <w:sz w:val="20"/>
          <w:szCs w:val="20"/>
        </w:rPr>
        <w:t xml:space="preserve">Lotus </w:t>
      </w:r>
      <w:r w:rsidRPr="00477612">
        <w:rPr>
          <w:rFonts w:ascii="Arial" w:hAnsi="Arial" w:cs="Arial"/>
          <w:sz w:val="20"/>
          <w:szCs w:val="20"/>
        </w:rPr>
        <w:t xml:space="preserve">and </w:t>
      </w:r>
      <w:r w:rsidRPr="00477612">
        <w:rPr>
          <w:rFonts w:ascii="Arial" w:hAnsi="Arial" w:cs="Arial"/>
          <w:i/>
          <w:iCs/>
          <w:sz w:val="20"/>
          <w:szCs w:val="20"/>
        </w:rPr>
        <w:t>Hordeum</w:t>
      </w:r>
      <w:r w:rsidRPr="00477612">
        <w:rPr>
          <w:rFonts w:ascii="Arial" w:hAnsi="Arial" w:cs="Arial"/>
          <w:sz w:val="20"/>
          <w:szCs w:val="20"/>
        </w:rPr>
        <w:t xml:space="preserve"> wild-type in the three soils (NPK, PK and UF) for three weeks (</w:t>
      </w:r>
      <w:r w:rsidRPr="00477612">
        <w:rPr>
          <w:rFonts w:ascii="Arial" w:hAnsi="Arial" w:cs="Arial"/>
          <w:sz w:val="20"/>
          <w:szCs w:val="20"/>
          <w:highlight w:val="cyan"/>
        </w:rPr>
        <w:t>Fig. 2A</w:t>
      </w:r>
      <w:r w:rsidRPr="00477612">
        <w:rPr>
          <w:rFonts w:ascii="Arial" w:hAnsi="Arial" w:cs="Arial"/>
          <w:sz w:val="20"/>
          <w:szCs w:val="20"/>
        </w:rPr>
        <w:t xml:space="preserve">) and assessed their phenotype and associated microbiota. Shoot fresh weight revealed that, as expected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{"citationID":"zfummPwO","properties":{"unsorted":false,"formattedCitation":"(61)","plainCitation":"(61)","noteIndex":0},"citationItems":[{"id":573,"uris":["http://zotero.org/users/16875439/items/WBTKLK9P"],"itemData":{"id":573,"type":"article-journal","abstract":"Macronutrients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(61)</w:t>
      </w:r>
      <w:r w:rsidRPr="00477612">
        <w:rPr>
          <w:rFonts w:ascii="Arial" w:hAnsi="Arial" w:cs="Arial"/>
          <w:sz w:val="20"/>
          <w:szCs w:val="20"/>
        </w:rPr>
        <w:fldChar w:fldCharType="end"/>
      </w:r>
      <w:r w:rsidRPr="00477612">
        <w:rPr>
          <w:rFonts w:ascii="Arial" w:hAnsi="Arial" w:cs="Arial"/>
          <w:sz w:val="20"/>
          <w:szCs w:val="20"/>
        </w:rPr>
        <w:t>, fertilisation levels had a significant effect on plant growth, with reduced growth as nutrient availability decreased (</w:t>
      </w:r>
      <w:r w:rsidRPr="00477612">
        <w:rPr>
          <w:rFonts w:ascii="Arial" w:hAnsi="Arial" w:cs="Arial"/>
          <w:sz w:val="20"/>
          <w:szCs w:val="20"/>
          <w:highlight w:val="cyan"/>
        </w:rPr>
        <w:t>Fig. 2B</w:t>
      </w:r>
      <w:r w:rsidRPr="00477612">
        <w:rPr>
          <w:rFonts w:ascii="Arial" w:hAnsi="Arial" w:cs="Arial"/>
          <w:sz w:val="20"/>
          <w:szCs w:val="20"/>
        </w:rPr>
        <w:t xml:space="preserve">). </w:t>
      </w:r>
      <w:r w:rsidRPr="00477612">
        <w:rPr>
          <w:rFonts w:ascii="Arial" w:hAnsi="Arial" w:cs="Arial"/>
          <w:i/>
          <w:iCs/>
          <w:sz w:val="20"/>
          <w:szCs w:val="20"/>
        </w:rPr>
        <w:t xml:space="preserve">Lotus </w:t>
      </w:r>
      <w:r w:rsidRPr="00477612">
        <w:rPr>
          <w:rFonts w:ascii="Arial" w:hAnsi="Arial" w:cs="Arial"/>
          <w:sz w:val="20"/>
          <w:szCs w:val="20"/>
        </w:rPr>
        <w:t>formed pink root nodules in all soils, although nodule numbers were significantly higher in PK and UF than in NPK, reflecting nitrogen repression of symbiosis (</w:t>
      </w:r>
      <w:r w:rsidRPr="00477612">
        <w:rPr>
          <w:rFonts w:ascii="Arial" w:hAnsi="Arial" w:cs="Arial"/>
          <w:sz w:val="20"/>
          <w:szCs w:val="20"/>
          <w:highlight w:val="cyan"/>
        </w:rPr>
        <w:t>Fig.2C</w:t>
      </w:r>
      <w:r w:rsidRPr="00477612">
        <w:rPr>
          <w:rFonts w:ascii="Arial" w:hAnsi="Arial" w:cs="Arial"/>
          <w:sz w:val="20"/>
          <w:szCs w:val="20"/>
        </w:rPr>
        <w:t xml:space="preserve">). The highest nodule counts were observed in PK, likely due to sufficient phosphorus supporting SNF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{"citationID":"n3fVcX90","properties":{"unsorted":false,"formattedCitation":"(62)","plainCitation":"(62)","noteIndex":0},"citationItems":[{"id":570,"uris":["http://zotero.org/users/16875439/items/PS5SHXCM"],"itemData":{"id":570,"type":"article-journal","abstract":"Access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(62)</w:t>
      </w:r>
      <w:r w:rsidRPr="00477612">
        <w:rPr>
          <w:rFonts w:ascii="Arial" w:hAnsi="Arial" w:cs="Arial"/>
          <w:sz w:val="20"/>
          <w:szCs w:val="20"/>
        </w:rPr>
        <w:fldChar w:fldCharType="end"/>
      </w:r>
      <w:r w:rsidRPr="00477612">
        <w:rPr>
          <w:rFonts w:ascii="Arial" w:hAnsi="Arial" w:cs="Arial"/>
          <w:sz w:val="20"/>
          <w:szCs w:val="20"/>
        </w:rPr>
        <w:t xml:space="preserve">. We collected rhizosphere, root, and nodule samples for microbiome analysis. As expected, alpha diversity was highest in rhizosphere samples of both hosts, followed by root and then nodule samples (Chao1 index, </w:t>
      </w:r>
      <w:r w:rsidRPr="00477612">
        <w:rPr>
          <w:rFonts w:ascii="Arial" w:hAnsi="Arial" w:cs="Arial"/>
          <w:sz w:val="20"/>
          <w:szCs w:val="20"/>
          <w:highlight w:val="cyan"/>
        </w:rPr>
        <w:t>Suppl. Fig. 1A,B</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{"citationID":"ehYt9TqX","properties":{"unsorted":false,"formattedCitation":"(55)","plainCitation":"(55)","noteIndex":0},"citationItems":[{"id":575,"uris":["http://zotero.org/users/16875439/items/634WQWZN"],"itemData":{"id":575,"type":"article-journal","abstract":"Lotus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(55)</w:t>
      </w:r>
      <w:r w:rsidRPr="00477612">
        <w:rPr>
          <w:rFonts w:ascii="Arial" w:hAnsi="Arial" w:cs="Arial"/>
          <w:sz w:val="20"/>
          <w:szCs w:val="20"/>
        </w:rPr>
        <w:fldChar w:fldCharType="end"/>
      </w:r>
      <w:r w:rsidRPr="00477612">
        <w:rPr>
          <w:rFonts w:ascii="Arial" w:hAnsi="Arial" w:cs="Arial"/>
          <w:sz w:val="20"/>
          <w:szCs w:val="20"/>
        </w:rPr>
        <w:t xml:space="preserve">. Fertilisation history did not affect alpha diversity in </w:t>
      </w:r>
      <w:r w:rsidRPr="00477612">
        <w:rPr>
          <w:rFonts w:ascii="Arial" w:hAnsi="Arial" w:cs="Arial"/>
          <w:i/>
          <w:iCs/>
          <w:sz w:val="20"/>
          <w:szCs w:val="20"/>
        </w:rPr>
        <w:t>Hordeum</w:t>
      </w:r>
      <w:r w:rsidRPr="00477612">
        <w:rPr>
          <w:rFonts w:ascii="Arial" w:hAnsi="Arial" w:cs="Arial"/>
          <w:sz w:val="20"/>
          <w:szCs w:val="20"/>
        </w:rPr>
        <w:t xml:space="preserve">, but </w:t>
      </w:r>
      <w:r w:rsidRPr="00477612">
        <w:rPr>
          <w:rFonts w:ascii="Arial" w:hAnsi="Arial" w:cs="Arial"/>
          <w:i/>
          <w:iCs/>
          <w:sz w:val="20"/>
          <w:szCs w:val="20"/>
        </w:rPr>
        <w:t>Lotus</w:t>
      </w:r>
      <w:r w:rsidRPr="00477612">
        <w:rPr>
          <w:rFonts w:ascii="Arial" w:hAnsi="Arial" w:cs="Arial"/>
          <w:sz w:val="20"/>
          <w:szCs w:val="20"/>
        </w:rPr>
        <w:t xml:space="preserve"> rhizosphere communities exhibited reduced diversity in PK and UF soils (</w:t>
      </w:r>
      <w:r w:rsidRPr="00477612">
        <w:rPr>
          <w:rFonts w:ascii="Arial" w:hAnsi="Arial" w:cs="Arial"/>
          <w:sz w:val="20"/>
          <w:szCs w:val="20"/>
          <w:highlight w:val="cyan"/>
        </w:rPr>
        <w:t>Suppl. Fig. 1A,B</w:t>
      </w:r>
      <w:r w:rsidRPr="00477612">
        <w:rPr>
          <w:rFonts w:ascii="Arial" w:hAnsi="Arial" w:cs="Arial"/>
          <w:sz w:val="20"/>
          <w:szCs w:val="20"/>
        </w:rPr>
        <w:t>), coinciding with higher nodule numbers (</w:t>
      </w:r>
      <w:r w:rsidRPr="00477612">
        <w:rPr>
          <w:rFonts w:ascii="Arial" w:hAnsi="Arial" w:cs="Arial"/>
          <w:sz w:val="20"/>
          <w:szCs w:val="20"/>
          <w:highlight w:val="cyan"/>
        </w:rPr>
        <w:t>Fig.2C</w:t>
      </w:r>
      <w:r w:rsidRPr="00477612">
        <w:rPr>
          <w:rFonts w:ascii="Arial" w:hAnsi="Arial" w:cs="Arial"/>
          <w:sz w:val="20"/>
          <w:szCs w:val="20"/>
        </w:rPr>
        <w:t xml:space="preserve">), consistent with SNF contributing to rhizosphere microbiota structuring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{"citationID":"Y0XR0WL3","properties":{"unsorted":false,"formattedCitation":"(54)","plainCitation":"(54)","noteIndex":0},"citationItems":[{"id":577,"uris":["http://zotero.org/users/16875439/items/4YKUMNYH"],"itemData":{"id":577,"type":"article-journal","abstract":"Symbiosis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(54)</w:t>
      </w:r>
      <w:r w:rsidRPr="00477612">
        <w:rPr>
          <w:rFonts w:ascii="Arial" w:hAnsi="Arial" w:cs="Arial"/>
          <w:sz w:val="20"/>
          <w:szCs w:val="20"/>
        </w:rPr>
        <w:fldChar w:fldCharType="end"/>
      </w:r>
      <w:r w:rsidRPr="00477612">
        <w:rPr>
          <w:rFonts w:ascii="Arial" w:hAnsi="Arial" w:cs="Arial"/>
          <w:sz w:val="20"/>
          <w:szCs w:val="20"/>
        </w:rPr>
        <w:t>. Beta diversity was significantly influenced by both sample fraction and soil type in both plants (</w:t>
      </w:r>
      <w:r w:rsidRPr="00477612">
        <w:rPr>
          <w:rFonts w:ascii="Arial" w:hAnsi="Arial" w:cs="Arial"/>
          <w:sz w:val="20"/>
          <w:szCs w:val="20"/>
          <w:highlight w:val="cyan"/>
        </w:rPr>
        <w:t>Fig. 2D</w:t>
      </w:r>
      <w:r w:rsidRPr="00477612">
        <w:rPr>
          <w:rFonts w:ascii="Arial" w:hAnsi="Arial" w:cs="Arial"/>
          <w:sz w:val="20"/>
          <w:szCs w:val="20"/>
        </w:rPr>
        <w:t xml:space="preserve">), with clear separation of rhizosphere and root communities. </w:t>
      </w:r>
      <w:r w:rsidRPr="00477612">
        <w:rPr>
          <w:rFonts w:ascii="Arial" w:hAnsi="Arial" w:cs="Arial"/>
          <w:i/>
          <w:iCs/>
          <w:sz w:val="20"/>
          <w:szCs w:val="20"/>
        </w:rPr>
        <w:t>Lotus</w:t>
      </w:r>
      <w:r w:rsidRPr="00477612">
        <w:rPr>
          <w:rFonts w:ascii="Arial" w:hAnsi="Arial" w:cs="Arial"/>
          <w:sz w:val="20"/>
          <w:szCs w:val="20"/>
        </w:rPr>
        <w:t xml:space="preserve"> nodule communities displayed similar beta diversity patterns across soils (</w:t>
      </w:r>
      <w:r w:rsidRPr="00477612">
        <w:rPr>
          <w:rFonts w:ascii="Arial" w:hAnsi="Arial" w:cs="Arial"/>
          <w:sz w:val="20"/>
          <w:szCs w:val="20"/>
          <w:highlight w:val="cyan"/>
        </w:rPr>
        <w:t>Fig. 2D</w:t>
      </w:r>
      <w:r w:rsidRPr="00477612">
        <w:rPr>
          <w:rFonts w:ascii="Arial" w:hAnsi="Arial" w:cs="Arial"/>
          <w:sz w:val="20"/>
          <w:szCs w:val="20"/>
        </w:rPr>
        <w:t xml:space="preserve">). Community structure analysis revealed common features in both hosts. </w:t>
      </w:r>
      <w:r w:rsidRPr="00477612">
        <w:rPr>
          <w:rFonts w:ascii="Arial" w:hAnsi="Arial" w:cs="Arial"/>
          <w:i/>
          <w:iCs/>
          <w:sz w:val="20"/>
          <w:szCs w:val="20"/>
        </w:rPr>
        <w:t>Burkholderiales</w:t>
      </w:r>
      <w:r w:rsidRPr="00477612">
        <w:rPr>
          <w:rFonts w:ascii="Arial" w:hAnsi="Arial" w:cs="Arial"/>
          <w:sz w:val="20"/>
          <w:szCs w:val="20"/>
        </w:rPr>
        <w:t xml:space="preserve"> was the most abundant order, while </w:t>
      </w:r>
      <w:r w:rsidRPr="00477612">
        <w:rPr>
          <w:rFonts w:ascii="Arial" w:hAnsi="Arial" w:cs="Arial"/>
          <w:i/>
          <w:iCs/>
          <w:sz w:val="20"/>
          <w:szCs w:val="20"/>
        </w:rPr>
        <w:t>Rhizobiales</w:t>
      </w:r>
      <w:r w:rsidRPr="00477612">
        <w:rPr>
          <w:rFonts w:ascii="Arial" w:hAnsi="Arial" w:cs="Arial"/>
          <w:sz w:val="20"/>
          <w:szCs w:val="20"/>
        </w:rPr>
        <w:t xml:space="preserve"> was particularly enriched in </w:t>
      </w:r>
      <w:r w:rsidRPr="00477612">
        <w:rPr>
          <w:rFonts w:ascii="Arial" w:hAnsi="Arial" w:cs="Arial"/>
          <w:i/>
          <w:iCs/>
          <w:sz w:val="20"/>
          <w:szCs w:val="20"/>
        </w:rPr>
        <w:t>Lotus</w:t>
      </w:r>
      <w:r w:rsidRPr="00477612">
        <w:rPr>
          <w:rFonts w:ascii="Arial" w:hAnsi="Arial" w:cs="Arial"/>
          <w:sz w:val="20"/>
          <w:szCs w:val="20"/>
        </w:rPr>
        <w:t xml:space="preserve"> root and nodule fractions due to highly competitive symbionts (</w:t>
      </w:r>
      <w:r w:rsidRPr="00477612">
        <w:rPr>
          <w:rFonts w:ascii="Arial" w:hAnsi="Arial" w:cs="Arial"/>
          <w:sz w:val="20"/>
          <w:szCs w:val="20"/>
          <w:highlight w:val="cyan"/>
        </w:rPr>
        <w:t>Fig. 2E, Suppl. Fig. 1C,D</w:t>
      </w:r>
      <w:r w:rsidRPr="00477612">
        <w:rPr>
          <w:rFonts w:ascii="Arial" w:hAnsi="Arial" w:cs="Arial"/>
          <w:sz w:val="20"/>
          <w:szCs w:val="20"/>
        </w:rPr>
        <w:t xml:space="preserve">). Additional host-specific colonisation patterns were observed, including a higher abundance of </w:t>
      </w:r>
      <w:r w:rsidRPr="00477612">
        <w:rPr>
          <w:rFonts w:ascii="Arial" w:hAnsi="Arial" w:cs="Arial"/>
          <w:i/>
          <w:iCs/>
          <w:sz w:val="20"/>
          <w:szCs w:val="20"/>
        </w:rPr>
        <w:t>Pseudomonadales</w:t>
      </w:r>
      <w:r w:rsidRPr="00477612">
        <w:rPr>
          <w:rFonts w:ascii="Arial" w:hAnsi="Arial" w:cs="Arial"/>
          <w:sz w:val="20"/>
          <w:szCs w:val="20"/>
        </w:rPr>
        <w:t xml:space="preserve"> in </w:t>
      </w:r>
      <w:r w:rsidRPr="00477612">
        <w:rPr>
          <w:rFonts w:ascii="Arial" w:hAnsi="Arial" w:cs="Arial"/>
          <w:i/>
          <w:iCs/>
          <w:sz w:val="20"/>
          <w:szCs w:val="20"/>
        </w:rPr>
        <w:t>Lotus</w:t>
      </w:r>
      <w:r w:rsidRPr="00477612">
        <w:rPr>
          <w:rFonts w:ascii="Arial" w:hAnsi="Arial" w:cs="Arial"/>
          <w:sz w:val="20"/>
          <w:szCs w:val="20"/>
        </w:rPr>
        <w:t xml:space="preserve">, whereas </w:t>
      </w:r>
      <w:r w:rsidRPr="00477612">
        <w:rPr>
          <w:rFonts w:ascii="Arial" w:hAnsi="Arial" w:cs="Arial"/>
          <w:i/>
          <w:iCs/>
          <w:sz w:val="20"/>
          <w:szCs w:val="20"/>
        </w:rPr>
        <w:t>Flavobacteriales</w:t>
      </w:r>
      <w:r w:rsidRPr="00477612">
        <w:rPr>
          <w:rFonts w:ascii="Arial" w:hAnsi="Arial" w:cs="Arial"/>
          <w:sz w:val="20"/>
          <w:szCs w:val="20"/>
        </w:rPr>
        <w:t xml:space="preserve"> and </w:t>
      </w:r>
      <w:r w:rsidRPr="00477612">
        <w:rPr>
          <w:rFonts w:ascii="Arial" w:hAnsi="Arial" w:cs="Arial"/>
          <w:i/>
          <w:iCs/>
          <w:sz w:val="20"/>
          <w:szCs w:val="20"/>
        </w:rPr>
        <w:t>Streptomycetales</w:t>
      </w:r>
      <w:r w:rsidRPr="00477612">
        <w:rPr>
          <w:rFonts w:ascii="Arial" w:hAnsi="Arial" w:cs="Arial"/>
          <w:sz w:val="20"/>
          <w:szCs w:val="20"/>
        </w:rPr>
        <w:t xml:space="preserve"> were more prevalent in </w:t>
      </w:r>
      <w:r w:rsidRPr="00477612">
        <w:rPr>
          <w:rFonts w:ascii="Arial" w:hAnsi="Arial" w:cs="Arial"/>
          <w:i/>
          <w:iCs/>
          <w:sz w:val="20"/>
          <w:szCs w:val="20"/>
        </w:rPr>
        <w:t>Hordeum</w:t>
      </w:r>
      <w:r w:rsidRPr="00477612">
        <w:rPr>
          <w:rFonts w:ascii="Arial" w:hAnsi="Arial" w:cs="Arial"/>
          <w:sz w:val="20"/>
          <w:szCs w:val="20"/>
        </w:rPr>
        <w:t xml:space="preserve">, with the latter particularly enriched in roots. Soil-dependent community </w:t>
      </w:r>
      <w:r w:rsidRPr="00477612">
        <w:rPr>
          <w:rFonts w:ascii="Arial" w:hAnsi="Arial" w:cs="Arial"/>
          <w:sz w:val="20"/>
          <w:szCs w:val="20"/>
        </w:rPr>
        <w:lastRenderedPageBreak/>
        <w:t xml:space="preserve">shifts were also detected. For instance, </w:t>
      </w:r>
      <w:r w:rsidRPr="00477612">
        <w:rPr>
          <w:rFonts w:ascii="Arial" w:hAnsi="Arial" w:cs="Arial"/>
          <w:i/>
          <w:iCs/>
          <w:sz w:val="20"/>
          <w:szCs w:val="20"/>
        </w:rPr>
        <w:t>Burkholderiales</w:t>
      </w:r>
      <w:r w:rsidRPr="00477612">
        <w:rPr>
          <w:rFonts w:ascii="Arial" w:hAnsi="Arial" w:cs="Arial"/>
          <w:sz w:val="20"/>
          <w:szCs w:val="20"/>
        </w:rPr>
        <w:t xml:space="preserve"> were the most abundant in PK and UF in both hosts. In </w:t>
      </w:r>
      <w:r w:rsidRPr="00477612">
        <w:rPr>
          <w:rFonts w:ascii="Arial" w:hAnsi="Arial" w:cs="Arial"/>
          <w:i/>
          <w:iCs/>
          <w:sz w:val="20"/>
          <w:szCs w:val="20"/>
        </w:rPr>
        <w:t>Lotus</w:t>
      </w:r>
      <w:r w:rsidRPr="00477612">
        <w:rPr>
          <w:rFonts w:ascii="Arial" w:hAnsi="Arial" w:cs="Arial"/>
          <w:sz w:val="20"/>
          <w:szCs w:val="20"/>
        </w:rPr>
        <w:t xml:space="preserve">, </w:t>
      </w:r>
      <w:r w:rsidRPr="00477612">
        <w:rPr>
          <w:rFonts w:ascii="Arial" w:hAnsi="Arial" w:cs="Arial"/>
          <w:i/>
          <w:iCs/>
          <w:sz w:val="20"/>
          <w:szCs w:val="20"/>
        </w:rPr>
        <w:t>Chloroflexales</w:t>
      </w:r>
      <w:r w:rsidRPr="00477612">
        <w:rPr>
          <w:rFonts w:ascii="Arial" w:hAnsi="Arial" w:cs="Arial"/>
          <w:sz w:val="20"/>
          <w:szCs w:val="20"/>
        </w:rPr>
        <w:t xml:space="preserve"> were enriched in rhizosphere and root fractions when plants were grown in UF soil, while </w:t>
      </w:r>
      <w:r w:rsidRPr="00477612">
        <w:rPr>
          <w:rFonts w:ascii="Arial" w:hAnsi="Arial" w:cs="Arial"/>
          <w:i/>
          <w:iCs/>
          <w:sz w:val="20"/>
          <w:szCs w:val="20"/>
        </w:rPr>
        <w:t>Sphingomonadales</w:t>
      </w:r>
      <w:r w:rsidRPr="00477612">
        <w:rPr>
          <w:rFonts w:ascii="Arial" w:hAnsi="Arial" w:cs="Arial"/>
          <w:sz w:val="20"/>
          <w:szCs w:val="20"/>
        </w:rPr>
        <w:t xml:space="preserve"> (root) and </w:t>
      </w:r>
      <w:r w:rsidRPr="00477612">
        <w:rPr>
          <w:rFonts w:ascii="Arial" w:hAnsi="Arial" w:cs="Arial"/>
          <w:i/>
          <w:iCs/>
          <w:sz w:val="20"/>
          <w:szCs w:val="20"/>
        </w:rPr>
        <w:t>Streptomycetales</w:t>
      </w:r>
      <w:r w:rsidRPr="00477612">
        <w:rPr>
          <w:rFonts w:ascii="Arial" w:hAnsi="Arial" w:cs="Arial"/>
          <w:sz w:val="20"/>
          <w:szCs w:val="20"/>
        </w:rPr>
        <w:t xml:space="preserve"> (rhizosphere) were more abundant in NPK. In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Caulobacterales</w:t>
      </w:r>
      <w:r w:rsidRPr="00477612">
        <w:rPr>
          <w:rFonts w:ascii="Arial" w:hAnsi="Arial" w:cs="Arial"/>
          <w:sz w:val="20"/>
          <w:szCs w:val="20"/>
        </w:rPr>
        <w:t xml:space="preserve"> were reduced in NPK roots, while </w:t>
      </w:r>
      <w:r w:rsidRPr="00477612">
        <w:rPr>
          <w:rFonts w:ascii="Arial" w:hAnsi="Arial" w:cs="Arial"/>
          <w:i/>
          <w:iCs/>
          <w:sz w:val="20"/>
          <w:szCs w:val="20"/>
        </w:rPr>
        <w:t>Flavobacteriales</w:t>
      </w:r>
      <w:r w:rsidRPr="00477612">
        <w:rPr>
          <w:rFonts w:ascii="Arial" w:hAnsi="Arial" w:cs="Arial"/>
          <w:sz w:val="20"/>
          <w:szCs w:val="20"/>
        </w:rPr>
        <w:t xml:space="preserve"> increased in PK and UF (</w:t>
      </w:r>
      <w:r w:rsidRPr="00477612">
        <w:rPr>
          <w:rFonts w:ascii="Arial" w:hAnsi="Arial" w:cs="Arial"/>
          <w:sz w:val="20"/>
          <w:szCs w:val="20"/>
          <w:highlight w:val="cyan"/>
        </w:rPr>
        <w:t>Fig. 2E, Suppl. Fig. 1C</w:t>
      </w:r>
      <w:r w:rsidRPr="00477612">
        <w:rPr>
          <w:rFonts w:ascii="Arial" w:hAnsi="Arial" w:cs="Arial"/>
          <w:sz w:val="20"/>
          <w:szCs w:val="20"/>
        </w:rPr>
        <w:t xml:space="preserve">). </w:t>
      </w:r>
      <w:r w:rsidRPr="00477612">
        <w:rPr>
          <w:rFonts w:ascii="Arial" w:hAnsi="Arial" w:cs="Arial"/>
          <w:i/>
          <w:iCs/>
          <w:sz w:val="20"/>
          <w:szCs w:val="20"/>
        </w:rPr>
        <w:t>Lotus</w:t>
      </w:r>
      <w:r w:rsidRPr="00477612">
        <w:rPr>
          <w:rFonts w:ascii="Arial" w:hAnsi="Arial" w:cs="Arial"/>
          <w:sz w:val="20"/>
          <w:szCs w:val="20"/>
        </w:rPr>
        <w:t xml:space="preserve"> nodules were colonised by </w:t>
      </w:r>
      <w:r w:rsidRPr="00477612">
        <w:rPr>
          <w:rFonts w:ascii="Arial" w:hAnsi="Arial" w:cs="Arial"/>
          <w:i/>
          <w:iCs/>
          <w:sz w:val="20"/>
          <w:szCs w:val="20"/>
        </w:rPr>
        <w:t>Mesorhizobium</w:t>
      </w:r>
      <w:r w:rsidRPr="00477612">
        <w:rPr>
          <w:rFonts w:ascii="Arial" w:hAnsi="Arial" w:cs="Arial"/>
          <w:sz w:val="20"/>
          <w:szCs w:val="20"/>
        </w:rPr>
        <w:t xml:space="preserve"> and </w:t>
      </w:r>
      <w:r w:rsidRPr="00477612">
        <w:rPr>
          <w:rFonts w:ascii="Arial" w:hAnsi="Arial" w:cs="Arial"/>
          <w:i/>
          <w:iCs/>
          <w:sz w:val="20"/>
          <w:szCs w:val="20"/>
        </w:rPr>
        <w:t>Pseudomonas</w:t>
      </w:r>
      <w:r w:rsidRPr="00477612">
        <w:rPr>
          <w:rFonts w:ascii="Arial" w:hAnsi="Arial" w:cs="Arial"/>
          <w:sz w:val="20"/>
          <w:szCs w:val="20"/>
        </w:rPr>
        <w:t xml:space="preserve"> ASVs, which largely overlapped between soils but differed in individual abundances in the nodules (</w:t>
      </w:r>
      <w:r w:rsidRPr="00477612">
        <w:rPr>
          <w:rFonts w:ascii="Arial" w:hAnsi="Arial" w:cs="Arial"/>
          <w:sz w:val="20"/>
          <w:szCs w:val="20"/>
          <w:highlight w:val="cyan"/>
        </w:rPr>
        <w:t>Suppl. Fig. 1D</w:t>
      </w:r>
      <w:r w:rsidRPr="00477612">
        <w:rPr>
          <w:rFonts w:ascii="Arial" w:hAnsi="Arial" w:cs="Arial"/>
          <w:sz w:val="20"/>
          <w:szCs w:val="20"/>
        </w:rPr>
        <w:t xml:space="preserve">). Together, these results show that long-term fertilisation regimes significantly impact plant fitness and associated root microbiota, and that different hosts adapt to the given differences and selectively recruit specific bacterial members, reinforcing the concept of host preference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{"citationID":"mKvyHJh6","properties":{"unsorted":false,"formattedCitation":"(63)","plainCitation":"(63)","noteIndex":0},"citationItems":[{"id":580,"uris":["http://zotero.org/users/16875439/items/97Y2M4HL"],"itemData":{"id":580,"type":"article-journal","abstract":"Roots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(63)</w:t>
      </w:r>
      <w:r w:rsidRPr="00477612">
        <w:rPr>
          <w:rFonts w:ascii="Arial" w:hAnsi="Arial" w:cs="Arial"/>
          <w:sz w:val="20"/>
          <w:szCs w:val="20"/>
        </w:rPr>
        <w:fldChar w:fldCharType="end"/>
      </w:r>
      <w:r w:rsidRPr="00477612">
        <w:rPr>
          <w:rFonts w:ascii="Arial" w:hAnsi="Arial" w:cs="Arial"/>
          <w:sz w:val="20"/>
          <w:szCs w:val="20"/>
        </w:rPr>
        <w:t>.</w:t>
      </w:r>
    </w:p>
    <w:p w14:paraId="6126E90F" w14:textId="77777777" w:rsidR="00F24A94" w:rsidRPr="00F24A94" w:rsidRDefault="00F24A94" w:rsidP="00F24A94">
      <w:pPr>
        <w:spacing w:after="0"/>
        <w:jc w:val="both"/>
        <w:rPr>
          <w:rFonts w:ascii="Arial" w:hAnsi="Arial" w:cs="Arial"/>
          <w:b/>
          <w:bCs/>
          <w:sz w:val="20"/>
          <w:szCs w:val="20"/>
        </w:rPr>
      </w:pPr>
    </w:p>
    <w:p w14:paraId="47AA2713" w14:textId="426E64BB" w:rsidR="00477612" w:rsidRDefault="00477612" w:rsidP="00F24A94">
      <w:pPr>
        <w:spacing w:after="0"/>
        <w:jc w:val="both"/>
        <w:rPr>
          <w:rFonts w:ascii="Arial" w:hAnsi="Arial" w:cs="Arial"/>
          <w:sz w:val="20"/>
          <w:szCs w:val="20"/>
        </w:rPr>
      </w:pPr>
      <w:r w:rsidRPr="00477612">
        <w:rPr>
          <w:rFonts w:ascii="Arial" w:hAnsi="Arial" w:cs="Arial"/>
          <w:b/>
          <w:bCs/>
          <w:sz w:val="20"/>
          <w:szCs w:val="20"/>
        </w:rPr>
        <w:t>High accuracy prediction of plant nutrient status based on bacterial community composition</w:t>
      </w:r>
      <w:r w:rsidR="00F24A94">
        <w:rPr>
          <w:rFonts w:ascii="Arial" w:hAnsi="Arial" w:cs="Arial"/>
          <w:b/>
          <w:bCs/>
          <w:sz w:val="20"/>
          <w:szCs w:val="20"/>
        </w:rPr>
        <w:t xml:space="preserve">. </w:t>
      </w:r>
      <w:r w:rsidRPr="00477612">
        <w:rPr>
          <w:rFonts w:ascii="Arial" w:hAnsi="Arial" w:cs="Arial"/>
          <w:sz w:val="20"/>
          <w:szCs w:val="20"/>
        </w:rPr>
        <w:t xml:space="preserve">Following the observed large differences in rhizosphere and root microbiota across the different soils, we asked whether these microbial signatures could be used to predict the nutritional state of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sz w:val="20"/>
          <w:szCs w:val="20"/>
        </w:rPr>
        <w:t>Hordeum</w:t>
      </w:r>
      <w:r w:rsidRPr="00477612">
        <w:rPr>
          <w:rFonts w:ascii="Arial" w:hAnsi="Arial" w:cs="Arial"/>
          <w:iCs/>
          <w:sz w:val="20"/>
          <w:szCs w:val="20"/>
        </w:rPr>
        <w:t>.</w:t>
      </w:r>
      <w:r w:rsidRPr="00477612">
        <w:rPr>
          <w:rFonts w:ascii="Arial" w:hAnsi="Arial" w:cs="Arial"/>
          <w:sz w:val="20"/>
          <w:szCs w:val="20"/>
        </w:rPr>
        <w:t xml:space="preserve"> We developed a two-step classification model trained on bacterial community profiles from plants grown in NPK, PK, and UF soils. The first model distinguishes plants grown in NPK soil from those in non-NPK soil, while the second model further separated PK from UF samples (</w:t>
      </w:r>
      <w:r w:rsidRPr="00477612">
        <w:rPr>
          <w:rFonts w:ascii="Arial" w:hAnsi="Arial" w:cs="Arial"/>
          <w:sz w:val="20"/>
          <w:szCs w:val="20"/>
          <w:highlight w:val="cyan"/>
        </w:rPr>
        <w:t>Fig. 3A</w:t>
      </w:r>
      <w:r w:rsidRPr="00477612">
        <w:rPr>
          <w:rFonts w:ascii="Arial" w:hAnsi="Arial" w:cs="Arial"/>
          <w:sz w:val="20"/>
          <w:szCs w:val="20"/>
        </w:rPr>
        <w:t>). Predictions were based on log-ratios of relative abundances of specific ASV combinations from rhizosphere or root microbiomes (</w:t>
      </w:r>
      <w:r w:rsidRPr="00477612">
        <w:rPr>
          <w:rFonts w:ascii="Arial" w:hAnsi="Arial" w:cs="Arial"/>
          <w:sz w:val="20"/>
          <w:szCs w:val="20"/>
          <w:highlight w:val="cyan"/>
        </w:rPr>
        <w:t>Fig. 3C; Suppl. Table 2</w:t>
      </w:r>
      <w:r w:rsidRPr="00477612">
        <w:rPr>
          <w:rFonts w:ascii="Arial" w:hAnsi="Arial" w:cs="Arial"/>
          <w:sz w:val="20"/>
          <w:szCs w:val="20"/>
        </w:rPr>
        <w:t>). Although these ASVs represented between 1-12% of the total relative abundance (</w:t>
      </w:r>
      <w:r w:rsidRPr="00477612">
        <w:rPr>
          <w:rFonts w:ascii="Arial" w:hAnsi="Arial" w:cs="Arial"/>
          <w:sz w:val="20"/>
          <w:szCs w:val="20"/>
          <w:highlight w:val="cyan"/>
        </w:rPr>
        <w:t>Fig. 3D</w:t>
      </w:r>
      <w:r w:rsidRPr="00477612">
        <w:rPr>
          <w:rFonts w:ascii="Arial" w:hAnsi="Arial" w:cs="Arial"/>
          <w:sz w:val="20"/>
          <w:szCs w:val="20"/>
        </w:rPr>
        <w:t xml:space="preserve">), their ratios were strong indicators of plant nutrient status. Remarkably, the model achieved an overall accuracy of 93.3% using </w:t>
      </w:r>
      <w:r w:rsidRPr="00477612">
        <w:rPr>
          <w:rFonts w:ascii="Arial" w:hAnsi="Arial" w:cs="Arial"/>
          <w:i/>
          <w:iCs/>
          <w:sz w:val="20"/>
          <w:szCs w:val="20"/>
        </w:rPr>
        <w:t>Lotus</w:t>
      </w:r>
      <w:r w:rsidRPr="00477612">
        <w:rPr>
          <w:rFonts w:ascii="Arial" w:hAnsi="Arial" w:cs="Arial"/>
          <w:sz w:val="20"/>
          <w:szCs w:val="20"/>
        </w:rPr>
        <w:t xml:space="preserve"> and 80-83.3% using </w:t>
      </w:r>
      <w:r w:rsidRPr="00477612">
        <w:rPr>
          <w:rFonts w:ascii="Arial" w:hAnsi="Arial" w:cs="Arial"/>
          <w:i/>
          <w:iCs/>
          <w:sz w:val="20"/>
          <w:szCs w:val="20"/>
        </w:rPr>
        <w:t>Hordeum</w:t>
      </w:r>
      <w:r w:rsidRPr="00477612">
        <w:rPr>
          <w:rFonts w:ascii="Arial" w:hAnsi="Arial" w:cs="Arial"/>
          <w:sz w:val="20"/>
          <w:szCs w:val="20"/>
        </w:rPr>
        <w:t xml:space="preserve"> rhizosphere and root microbiome data, with only 15 out of 120 samples not previously seen by the model being misclassified (</w:t>
      </w:r>
      <w:r w:rsidRPr="00477612">
        <w:rPr>
          <w:rFonts w:ascii="Arial" w:hAnsi="Arial" w:cs="Arial"/>
          <w:sz w:val="20"/>
          <w:szCs w:val="20"/>
          <w:highlight w:val="cyan"/>
        </w:rPr>
        <w:t>Fig. 3B,C</w:t>
      </w:r>
      <w:r w:rsidRPr="00477612">
        <w:rPr>
          <w:rFonts w:ascii="Arial" w:hAnsi="Arial" w:cs="Arial"/>
          <w:sz w:val="20"/>
          <w:szCs w:val="20"/>
        </w:rPr>
        <w:t xml:space="preserve">). For </w:t>
      </w:r>
      <w:r w:rsidRPr="00477612">
        <w:rPr>
          <w:rFonts w:ascii="Arial" w:hAnsi="Arial" w:cs="Arial"/>
          <w:i/>
          <w:iCs/>
          <w:sz w:val="20"/>
          <w:szCs w:val="20"/>
        </w:rPr>
        <w:t>Lotus</w:t>
      </w:r>
      <w:r w:rsidRPr="00477612">
        <w:rPr>
          <w:rFonts w:ascii="Arial" w:hAnsi="Arial" w:cs="Arial"/>
          <w:sz w:val="20"/>
          <w:szCs w:val="20"/>
        </w:rPr>
        <w:t xml:space="preserve">, influential ASVs belonged to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Oxalobacteraceae</w:t>
      </w:r>
      <w:r w:rsidRPr="00477612">
        <w:rPr>
          <w:rFonts w:ascii="Arial" w:hAnsi="Arial" w:cs="Arial"/>
          <w:sz w:val="20"/>
          <w:szCs w:val="20"/>
        </w:rPr>
        <w:t xml:space="preserve">, </w:t>
      </w:r>
      <w:r w:rsidRPr="00477612">
        <w:rPr>
          <w:rFonts w:ascii="Arial" w:hAnsi="Arial" w:cs="Arial"/>
          <w:i/>
          <w:iCs/>
          <w:sz w:val="20"/>
          <w:szCs w:val="20"/>
        </w:rPr>
        <w:t>Comamonadaceae</w:t>
      </w:r>
      <w:r w:rsidRPr="00477612">
        <w:rPr>
          <w:rFonts w:ascii="Arial" w:hAnsi="Arial" w:cs="Arial"/>
          <w:sz w:val="20"/>
          <w:szCs w:val="20"/>
        </w:rPr>
        <w:t xml:space="preserve">), along with </w:t>
      </w:r>
      <w:r w:rsidRPr="00477612">
        <w:rPr>
          <w:rFonts w:ascii="Arial" w:hAnsi="Arial" w:cs="Arial"/>
          <w:i/>
          <w:iCs/>
          <w:sz w:val="20"/>
          <w:szCs w:val="20"/>
        </w:rPr>
        <w:t>Pseudomonadales</w:t>
      </w:r>
      <w:r w:rsidRPr="00477612">
        <w:rPr>
          <w:rFonts w:ascii="Arial" w:hAnsi="Arial" w:cs="Arial"/>
          <w:sz w:val="20"/>
          <w:szCs w:val="20"/>
        </w:rPr>
        <w:t xml:space="preserve"> and </w:t>
      </w:r>
      <w:r w:rsidRPr="00477612">
        <w:rPr>
          <w:rFonts w:ascii="Arial" w:hAnsi="Arial" w:cs="Arial"/>
          <w:i/>
          <w:iCs/>
          <w:sz w:val="20"/>
          <w:szCs w:val="20"/>
        </w:rPr>
        <w:t>Rhizobiales</w:t>
      </w:r>
      <w:r w:rsidRPr="00477612">
        <w:rPr>
          <w:rFonts w:ascii="Arial" w:hAnsi="Arial" w:cs="Arial"/>
          <w:sz w:val="20"/>
          <w:szCs w:val="20"/>
        </w:rPr>
        <w:t>, each displaying compartment- and soil-type-specific associations (</w:t>
      </w:r>
      <w:r w:rsidRPr="00477612">
        <w:rPr>
          <w:rFonts w:ascii="Arial" w:hAnsi="Arial" w:cs="Arial"/>
          <w:sz w:val="20"/>
          <w:szCs w:val="20"/>
          <w:highlight w:val="cyan"/>
        </w:rPr>
        <w:t>Fig. 3D, Suppl. Table 2</w:t>
      </w:r>
      <w:r w:rsidRPr="00477612">
        <w:rPr>
          <w:rFonts w:ascii="Arial" w:hAnsi="Arial" w:cs="Arial"/>
          <w:sz w:val="20"/>
          <w:szCs w:val="20"/>
        </w:rPr>
        <w:t xml:space="preserve">). In </w:t>
      </w:r>
      <w:r w:rsidRPr="00477612">
        <w:rPr>
          <w:rFonts w:ascii="Arial" w:hAnsi="Arial" w:cs="Arial"/>
          <w:i/>
          <w:iCs/>
          <w:sz w:val="20"/>
          <w:szCs w:val="20"/>
        </w:rPr>
        <w:t>Hordeum</w:t>
      </w:r>
      <w:r w:rsidRPr="00477612">
        <w:rPr>
          <w:rFonts w:ascii="Arial" w:hAnsi="Arial" w:cs="Arial"/>
          <w:sz w:val="20"/>
          <w:szCs w:val="20"/>
        </w:rPr>
        <w:t xml:space="preserve">, a broader taxonomic range contributed to prediction accuracy, with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Caulobacterales</w:t>
      </w:r>
      <w:r w:rsidRPr="00477612">
        <w:rPr>
          <w:rFonts w:ascii="Arial" w:hAnsi="Arial" w:cs="Arial"/>
          <w:sz w:val="20"/>
          <w:szCs w:val="20"/>
        </w:rPr>
        <w:t xml:space="preserve">, </w:t>
      </w:r>
      <w:r w:rsidRPr="00477612">
        <w:rPr>
          <w:rFonts w:ascii="Arial" w:hAnsi="Arial" w:cs="Arial"/>
          <w:i/>
          <w:iCs/>
          <w:sz w:val="20"/>
          <w:szCs w:val="20"/>
        </w:rPr>
        <w:t>Flavobacteriales</w:t>
      </w:r>
      <w:r w:rsidRPr="00477612">
        <w:rPr>
          <w:rFonts w:ascii="Arial" w:hAnsi="Arial" w:cs="Arial"/>
          <w:sz w:val="20"/>
          <w:szCs w:val="20"/>
        </w:rPr>
        <w:t xml:space="preserve">, </w:t>
      </w:r>
      <w:r w:rsidRPr="00477612">
        <w:rPr>
          <w:rFonts w:ascii="Arial" w:hAnsi="Arial" w:cs="Arial"/>
          <w:i/>
          <w:iCs/>
          <w:sz w:val="20"/>
          <w:szCs w:val="20"/>
        </w:rPr>
        <w:t>Pseudomonadales</w:t>
      </w:r>
      <w:r w:rsidRPr="00477612">
        <w:rPr>
          <w:rFonts w:ascii="Arial" w:hAnsi="Arial" w:cs="Arial"/>
          <w:sz w:val="20"/>
          <w:szCs w:val="20"/>
        </w:rPr>
        <w:t xml:space="preserve">, and </w:t>
      </w:r>
      <w:r w:rsidRPr="00477612">
        <w:rPr>
          <w:rFonts w:ascii="Arial" w:hAnsi="Arial" w:cs="Arial"/>
          <w:i/>
          <w:iCs/>
          <w:sz w:val="20"/>
          <w:szCs w:val="20"/>
        </w:rPr>
        <w:t>Streptomycetales</w:t>
      </w:r>
      <w:r w:rsidRPr="00477612">
        <w:rPr>
          <w:rFonts w:ascii="Arial" w:hAnsi="Arial" w:cs="Arial"/>
          <w:sz w:val="20"/>
          <w:szCs w:val="20"/>
        </w:rPr>
        <w:t xml:space="preserve"> ASVs particularly important across all soil-compartment combinations. </w:t>
      </w:r>
      <w:r w:rsidRPr="00477612">
        <w:rPr>
          <w:rFonts w:ascii="Arial" w:hAnsi="Arial" w:cs="Arial"/>
          <w:i/>
          <w:iCs/>
          <w:sz w:val="20"/>
          <w:szCs w:val="20"/>
        </w:rPr>
        <w:t>Pseudonocardiales</w:t>
      </w:r>
      <w:r w:rsidRPr="00477612">
        <w:rPr>
          <w:rFonts w:ascii="Arial" w:hAnsi="Arial" w:cs="Arial"/>
          <w:sz w:val="20"/>
          <w:szCs w:val="20"/>
        </w:rPr>
        <w:t xml:space="preserve"> ASVs were additional predictors of PK cultivation in rhizosphere samples, while </w:t>
      </w:r>
      <w:r w:rsidRPr="00477612">
        <w:rPr>
          <w:rFonts w:ascii="Arial" w:hAnsi="Arial" w:cs="Arial"/>
          <w:i/>
          <w:iCs/>
          <w:sz w:val="20"/>
          <w:szCs w:val="20"/>
        </w:rPr>
        <w:t>Cellvibrionales</w:t>
      </w:r>
      <w:r w:rsidRPr="00477612">
        <w:rPr>
          <w:rFonts w:ascii="Arial" w:hAnsi="Arial" w:cs="Arial"/>
          <w:sz w:val="20"/>
          <w:szCs w:val="20"/>
        </w:rPr>
        <w:t xml:space="preserve"> ASVs were used for PK predictions for root samples (</w:t>
      </w:r>
      <w:r w:rsidRPr="00477612">
        <w:rPr>
          <w:rFonts w:ascii="Arial" w:hAnsi="Arial" w:cs="Arial"/>
          <w:sz w:val="20"/>
          <w:szCs w:val="20"/>
          <w:highlight w:val="cyan"/>
        </w:rPr>
        <w:t>Fig. 3D, Suppl. Table 2)</w:t>
      </w:r>
      <w:r w:rsidRPr="00477612">
        <w:rPr>
          <w:rFonts w:ascii="Arial" w:hAnsi="Arial" w:cs="Arial"/>
          <w:sz w:val="20"/>
          <w:szCs w:val="20"/>
        </w:rPr>
        <w:t>. Predictive ASVs differed substantially between the two hosts and were only partially conserved across fertilisation regimes, suggesting that each plant species recruits distinct microbial indicators of nutrient status rather than relying on universal predictors. In summary, our model based on bacterial community profiles provides a robust tool for predicting plant nutrient status with high accuracy, highlighting the plant-specific recruitment of indicator taxa and the intricate interplay between host species, soil type, and microbial community composition.</w:t>
      </w:r>
    </w:p>
    <w:p w14:paraId="49583181" w14:textId="77777777" w:rsidR="00F24A94" w:rsidRPr="00F24A94" w:rsidRDefault="00F24A94" w:rsidP="00F24A94">
      <w:pPr>
        <w:spacing w:after="0"/>
        <w:jc w:val="both"/>
        <w:rPr>
          <w:rFonts w:ascii="Arial" w:hAnsi="Arial" w:cs="Arial"/>
          <w:b/>
          <w:bCs/>
          <w:sz w:val="20"/>
          <w:szCs w:val="20"/>
        </w:rPr>
      </w:pPr>
    </w:p>
    <w:p w14:paraId="42925DD7" w14:textId="679BD2D7"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Impairment of symbiosis signalling genes alters microbiome assemblies</w:t>
      </w:r>
      <w:r w:rsidR="00F24A94">
        <w:rPr>
          <w:rFonts w:ascii="Arial" w:hAnsi="Arial" w:cs="Arial"/>
          <w:b/>
          <w:bCs/>
          <w:sz w:val="20"/>
          <w:szCs w:val="20"/>
        </w:rPr>
        <w:t xml:space="preserve">. </w:t>
      </w:r>
      <w:r w:rsidRPr="00477612">
        <w:rPr>
          <w:rFonts w:ascii="Arial" w:hAnsi="Arial" w:cs="Arial"/>
          <w:sz w:val="20"/>
          <w:szCs w:val="20"/>
        </w:rPr>
        <w:t xml:space="preserve">Building on the observed effects of soil nutrient levels and host-determined root-associated communities, we tested whether active symbiosis signalling in wild-type </w:t>
      </w:r>
      <w:r w:rsidRPr="00477612">
        <w:rPr>
          <w:rFonts w:ascii="Arial" w:hAnsi="Arial" w:cs="Arial"/>
          <w:i/>
          <w:sz w:val="20"/>
          <w:szCs w:val="20"/>
        </w:rPr>
        <w:t>Lotus</w:t>
      </w:r>
      <w:r w:rsidRPr="00477612">
        <w:rPr>
          <w:rFonts w:ascii="Arial" w:hAnsi="Arial" w:cs="Arial"/>
          <w:iCs/>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contributes to the assembly of their associated microbial communities. To address this, we compared CSSP mutants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and </w:t>
      </w:r>
      <w:r w:rsidRPr="00477612">
        <w:rPr>
          <w:rFonts w:ascii="Arial" w:hAnsi="Arial" w:cs="Arial"/>
          <w:i/>
          <w:iCs/>
          <w:sz w:val="20"/>
          <w:szCs w:val="20"/>
        </w:rPr>
        <w:t>nsp2</w:t>
      </w:r>
      <w:r w:rsidRPr="00477612">
        <w:rPr>
          <w:rFonts w:ascii="Arial" w:hAnsi="Arial" w:cs="Arial"/>
          <w:sz w:val="20"/>
          <w:szCs w:val="20"/>
        </w:rPr>
        <w:t>) cultivated in the three soil types with their corresponding wild-type plants (</w:t>
      </w:r>
      <w:r w:rsidRPr="00477612">
        <w:rPr>
          <w:rFonts w:ascii="Arial" w:hAnsi="Arial" w:cs="Arial"/>
          <w:sz w:val="20"/>
          <w:szCs w:val="20"/>
          <w:highlight w:val="cyan"/>
        </w:rPr>
        <w:t>Fig. 4A</w:t>
      </w:r>
      <w:r w:rsidRPr="00477612">
        <w:rPr>
          <w:rFonts w:ascii="Arial" w:hAnsi="Arial" w:cs="Arial"/>
          <w:sz w:val="20"/>
          <w:szCs w:val="20"/>
        </w:rPr>
        <w:t xml:space="preserve">). In </w:t>
      </w:r>
      <w:r w:rsidRPr="00477612">
        <w:rPr>
          <w:rFonts w:ascii="Arial" w:hAnsi="Arial" w:cs="Arial"/>
          <w:i/>
          <w:iCs/>
          <w:sz w:val="20"/>
          <w:szCs w:val="20"/>
        </w:rPr>
        <w:t>Lotus</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nsp1</w:t>
      </w:r>
      <w:r w:rsidRPr="00477612">
        <w:rPr>
          <w:rFonts w:ascii="Arial" w:hAnsi="Arial" w:cs="Arial"/>
          <w:sz w:val="20"/>
          <w:szCs w:val="20"/>
        </w:rPr>
        <w:t xml:space="preserve"> mutants showed significantly reduced growth in NPK soil, while all mutants exhibited reduced growth in PK and UF soils (</w:t>
      </w:r>
      <w:r w:rsidRPr="00477612">
        <w:rPr>
          <w:rFonts w:ascii="Arial" w:hAnsi="Arial" w:cs="Arial"/>
          <w:sz w:val="20"/>
          <w:szCs w:val="20"/>
          <w:highlight w:val="cyan"/>
        </w:rPr>
        <w:t>Fig. 4B</w:t>
      </w:r>
      <w:r w:rsidRPr="00477612">
        <w:rPr>
          <w:rFonts w:ascii="Arial" w:hAnsi="Arial" w:cs="Arial"/>
          <w:sz w:val="20"/>
          <w:szCs w:val="20"/>
        </w:rPr>
        <w:t>). This growth reduction likely reflects the loss of SNF, consistent with their defective symbioses (</w:t>
      </w:r>
      <w:r w:rsidRPr="00477612">
        <w:rPr>
          <w:rFonts w:ascii="Arial" w:hAnsi="Arial" w:cs="Arial"/>
          <w:sz w:val="20"/>
          <w:szCs w:val="20"/>
          <w:highlight w:val="cyan"/>
        </w:rPr>
        <w:t>Suppl. Fig. 2A</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{"citationID":"WLmcIDvH","properties":{"unsorted":true,"formattedCitation":"(46, 56, 64\\uc0\\u8211{}67, 10)","plainCitation":"(46, 56, 64–67, 10)","noteIndex":0},"citationItems":[{"id":751,"uris":["http://zotero.org/users/16875439/items/HN2WYETT"],"itemData":{"id":751,"type":"article-journal","abstract":"A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770,"uris":["http://zotero.org/users/16875439/items/PN476AEH"],"itemData":{"id":770,"type":"article-journal","abstract":"Most higher plant species can enter a root symbiosis with arbuscular mycorrhizal fungi, in which plant carbon is traded for fungal phosphate1,2. This is an ancient symbiosis, which has been detected in fossils of early land plants3. In contrast, the nitrogen-fixing root nodule symbioses of plants with bacteria evolved more recently, and are phylogenetically restricted to the rosid I clade of plants4. Both symbioses rely on partially overlapping genetic programmes5,6. We have identified the molecular basis for this convergence by cloning orthologous SYMRK (‘symbiosis receptor-like kinase’) genes from Lotus and pea, which are required for both fungal and bacterial recognition. SYMRK is predicted to have a signal peptide, an extracellular domain comprising leucine-rich repeats, a transmembrane and an intracellular protein kinase domain. Lotus SYMRK is required for a symbiotic signal transduction pathway leading from the perception of microbial signal molecules to rapid symbiosis-related gene activation. The perception of symbiotic fungi and bacteria is mediated by at least one common signalling component, which could have been recruited during the evolution of root nodule symbioses from the already existing arbuscular mycorrhiza symbiosis.","container-title":"Nature","DOI":"10.1038/nature00841","ISSN":"1476-4687","issue":"6892","language":"en","license":"2002 Macmillan Magazines Ltd.","page":"959-962","publisher":"Nature Publishing Group","source":"www.nature.com","title":"A plant receptor-like kinase required for both bacterial and fungal symbiosis","volume":"417","author":[{"family":"Stracke","given":"Silke"},{"family":"Kistner","given":"Catherine"},{"family":"Yoshida","given":"Satoko"},{"family":"Mulder","given":"Lonneke"},{"family":"Sato","given":"Shusei"},{"family":"Kaneko","given":"Takakazu"},{"family":"Tabata","given":"Satoshi"},{"family":"Sandal","given":"Niels"},{"family":"Stougaard","given":"Jens"},{"family":"Szczyglowski","given":"Krzysztof"},{"family":"Parniske","given":"Martin"}],"issued":{"date-parts":[["2002",6]]}}},{"id":772,"uris":["http://zotero.org/users/16875439/items/7XXFSMMJ"],"itemData":{"id":772,"type":"article-journal","abstract":"Induced development of a new plant organ in response to rhizobia is the most prominent manifestation of legume root-nodule symbiosis with nitrogen-fixing bacteria. Here we show that the complex root-nodule organogenic programme can be genetically deregulated to trigger de novo nodule formation in the absence of rhizobia or exogenous rhizobial signals. In an ethylmethane sulphonate-induced snf1 (spontaneous nodule formation) mutant of Lotus japonicus, a single amino-acid replacement in a Ca2+/calmodulin-dependent protein kinase (CCaMK) is sufficient to turn fully differentiated root cortical cells into meristematic founder cells of root nodule primordia. These spontaneous nodules are genuine nodules with an ontogeny similar to that of rhizobial-induced root nodules, corroborating previous physiological studies. Using two receptor-deficient genetic backgrounds we provide evidence for a developmentally integrated spontaneous nodulation process that is independent of lipochitin-oligosaccharide signal perception and oscillations in Ca2+ second messenger levels. Our results reveal a key regulatory position of CCaMK upstream of all components required for cell-cycle activation, and a phenotypically divergent series of mutant alleles demonstrates positive and negative regulation of the process.","container-title":"Nature","DOI":"10.1038/nature04862","ISSN":"1476-4687","issue":"7097","journalAbbreviation":"Nature","language":"eng","page":"1153-1156","PMID":"16810257","source":"PubMed","title":"Deregulation of a Ca2+/calmodulin-dependent kinase leads to spontaneous nodule development","volume":"441","author":[{"family":"Tirichine","given":"Leïla"},{"family":"Imaizumi-Anraku","given":"Haruko"},{"family":"Yoshida","given":"Satoko"},{"family":"Murakami","given":"Yasuhiro"},{"family":"Madsen","given":"Lene H."},{"family":"Miwa","given":"Hiroki"},{"family":"Nakagawa","given":"Tomomi"},{"family":"Sandal","given":"Niels"},{"family":"Albrektsen","given":"Anita S."},{"family":"Kawaguchi","given":"Masayoshi"},{"family":"Downie","given":"Allan"},{"family":"Sato","given":"Shusei"},{"family":"Tabata","given":"Satoshi"},{"family":"Kouchi","given":"Hiroshi"},{"family":"Parniske","given":"Martin"},{"family":"Kawasaki","given":"Shinji"},{"family":"Stougaard","given":"Jens"}],"issued":{"date-parts":[["2006",6,29]]}}},{"id":774,"uris":["http://zotero.org/users/16875439/items/652VCK8V"],"itemData":{"id":774,"type":"article-journal","abstract":"Arbuscular mycorrhizal symbiosis (AMS) and root nodule symbiosis (RNS) are mutualistic plant-microbe interactions that confer nutritional benefits to both partners. Leguminous plants possess a common genetic system for intracellular symbiosis with AM fungi and with rhizobia. Here we show that CERBERUS and NSP1, which respectively encode an E3 ubiquitin ligase and a GRAS transcriptional regulator and which have previously only been implicated in RNS, are involved in AM fungal infection in Lotus japonicus. Hyphal elongation along the longitudinal axis of the root was reduced in the cerberus mutant, giving rise to a lower colonization level. Knockout of NSP1 decreased the frequency of plants colonized by AM fungi or rhizobia. CERBERUS and NSP1 showed different patterns of expression in response to infection with symbiotic microbes. A low constitutive level of CERBERUS expression was observed in the root and an increased level of NSP1 expression was detected in arbuscule-containing cells. Induction of AM marker gene was triggered in both cerberus and nsp1 mutants by infection with symbiotic microbes; however, the mutants showed a weaker induction of marker gene expression than the wild type, mirroring their lower level of colonization. The common symbiosis genes are believed to act in an early signaling pathway for recognition of symbionts and for triggering early symbiotic responses. Our quantitative analysis of symbiotic phenotypes revealed developmental defects of the novel common symbiosis mutants in both symbioses, which demonstrates that common symbiosis mechanisms also contribute to a range of functions at later or different stages of symbiont infection.","container-title":"Plant &amp; Cell Physiology","DOI":"10.1093/pcp/pct114","ISSN":"1471-9053","issue":"10","journalAbbreviation":"Plant Cell Physiol","language":"eng","page":"1711-1723","PMID":"23926062","source":"PubMed","title":"CERBERUS and NSP1 of Lotus japonicus are common symbiosis genes that modulate arbuscular mycorrhiza development","volume":"54","author":[{"family":"Takeda","given":"Naoya"},{"family":"Tsuzuki","given":"Syusaku"},{"family":"Suzaki","given":"Takuya"},{"family":"Parniske","given":"Martin"},{"family":"Kawaguchi","given":"Masayoshi"}],"issued":{"date-parts":[["2013",10]]}}},{"id":776,"uris":["http://zotero.org/users/16875439/items/QPEJC337"],"itemData":{"id":776,"type":"article-journal","abstract":"Rhizobia-secreted Nod-factors (NFs) are required for nodulation. In the early developmental process of nodulation, a large number of changes occur in gene expression. Lotus japonicus nsp2 mutants isolated from Gifu B-129 ecotype have defects in nodule initiation and display non-nodulating phenotype. Here, we describe positional cloning of LjNSP2 as a component of the nodulation-specific signaling pathway. LjNSP2 was mapped near the translocation site of chromosome 1 where the recombination is severely suppressed. To circumvent this problem, we introduced Lotus burttii as an alternative crossing partner in place of L. japonicus Miyakojima. The development of the high-resolution map using a total of 11 481 F2 plants, in combination with newly developed DNA markers and construction of BAC library, enabled us to identify the gene responsible for mutant phenotype. LjNSP2 encodes a putative transcription factor of the GRAS family that constitutes a subfamily with Medicago truncatula NSP2. LjNSP2 was expressed in roots and early nodules, but strongly suppressed in matured nodules. The expression analysis of NIN and LjENOD40-1 genes in Ljnsp2 mutants indicates that LjNSP2 functions upstream of these genes. These results suggest that LjNSP2 acts as a transcription factor to directly or indirectly switch on the NF-induced genes required for nodule initiation.","container-title":"DNA Research","DOI":"10.1093/dnares/dsl017","ISSN":"1340-2838","issue":"6","journalAbbreviation":"DNA Res","page":"255-265","source":"Silverchair","title":"Positional Cloning Identifies Lotus japonicus NSP2, A Putative Transcription Factor of the GRAS Family, Required for NIN and ENOD40 Gene Expression in Nodule Initiation","volume":"13","author":[{"family":"Murakami","given":"Yasuhiro"},{"family":"Miwa","given":"Hiroki"},{"family":"Imaizumi-Anraku","given":"Haruko"},{"family":"Kouchi","given":"Hiroshi"},{"family":"Downie","given":"J. Allan"},{"family":"Kawaguchi","given":"Masayoshi"},{"family":"Kawasaki","given":"Shinji"}],"issued":{"date-parts":[["2006",1,1]]}}},{"id":655,"uris":["http://zotero.org/users/16875439/items/DY664738"],"itemData":{"id":655,"type":"article-journal","abstract":"Plants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(46, 56, 64–67, 10)</w:t>
      </w:r>
      <w:r w:rsidRPr="00477612">
        <w:rPr>
          <w:rFonts w:ascii="Arial" w:hAnsi="Arial" w:cs="Arial"/>
          <w:sz w:val="20"/>
          <w:szCs w:val="20"/>
        </w:rPr>
        <w:fldChar w:fldCharType="end"/>
      </w:r>
      <w:r w:rsidRPr="00477612">
        <w:rPr>
          <w:rFonts w:ascii="Arial" w:hAnsi="Arial" w:cs="Arial"/>
          <w:sz w:val="20"/>
          <w:szCs w:val="20"/>
        </w:rPr>
        <w:t xml:space="preserve">. In </w:t>
      </w:r>
      <w:r w:rsidRPr="00477612">
        <w:rPr>
          <w:rFonts w:ascii="Arial" w:hAnsi="Arial" w:cs="Arial"/>
          <w:i/>
          <w:iCs/>
          <w:sz w:val="20"/>
          <w:szCs w:val="20"/>
        </w:rPr>
        <w:t>Hordeum</w:t>
      </w:r>
      <w:r w:rsidRPr="00477612">
        <w:rPr>
          <w:rFonts w:ascii="Arial" w:hAnsi="Arial" w:cs="Arial"/>
          <w:sz w:val="20"/>
          <w:szCs w:val="20"/>
        </w:rPr>
        <w:t xml:space="preserve">, growth was significantly reduced in </w:t>
      </w:r>
      <w:r w:rsidRPr="00477612">
        <w:rPr>
          <w:rFonts w:ascii="Arial" w:hAnsi="Arial" w:cs="Arial"/>
          <w:i/>
          <w:iCs/>
          <w:sz w:val="20"/>
          <w:szCs w:val="20"/>
        </w:rPr>
        <w:t>ccamk</w:t>
      </w:r>
      <w:r w:rsidRPr="00477612">
        <w:rPr>
          <w:rFonts w:ascii="Arial" w:hAnsi="Arial" w:cs="Arial"/>
          <w:sz w:val="20"/>
          <w:szCs w:val="20"/>
        </w:rPr>
        <w:t xml:space="preserve"> mutants across all soils, whereas other mutants showed milder effects (</w:t>
      </w:r>
      <w:r w:rsidRPr="00477612">
        <w:rPr>
          <w:rFonts w:ascii="Arial" w:hAnsi="Arial" w:cs="Arial"/>
          <w:sz w:val="20"/>
          <w:szCs w:val="20"/>
          <w:highlight w:val="cyan"/>
        </w:rPr>
        <w:t>Fig. 4B</w:t>
      </w:r>
      <w:r w:rsidRPr="00477612">
        <w:rPr>
          <w:rFonts w:ascii="Arial" w:hAnsi="Arial" w:cs="Arial"/>
          <w:sz w:val="20"/>
          <w:szCs w:val="20"/>
        </w:rPr>
        <w:t>). This reduction was not observed under axenic conditions (</w:t>
      </w:r>
      <w:r w:rsidRPr="00477612">
        <w:rPr>
          <w:rFonts w:ascii="Arial" w:hAnsi="Arial" w:cs="Arial"/>
          <w:sz w:val="20"/>
          <w:szCs w:val="20"/>
          <w:highlight w:val="cyan"/>
        </w:rPr>
        <w:t>Suppl. Fig. 2B</w:t>
      </w:r>
      <w:r w:rsidRPr="00477612">
        <w:rPr>
          <w:rFonts w:ascii="Arial" w:hAnsi="Arial" w:cs="Arial"/>
          <w:sz w:val="20"/>
          <w:szCs w:val="20"/>
        </w:rPr>
        <w:t xml:space="preserve">), indicating that the phenotype depends on the presence of soil microbes. Alpha diversity was generally unaffected by CSSP impairment, with only minor differences in the </w:t>
      </w:r>
      <w:r w:rsidRPr="00477612">
        <w:rPr>
          <w:rFonts w:ascii="Arial" w:hAnsi="Arial" w:cs="Arial"/>
          <w:i/>
          <w:iCs/>
          <w:sz w:val="20"/>
          <w:szCs w:val="20"/>
        </w:rPr>
        <w:t>Hordeum</w:t>
      </w:r>
      <w:r w:rsidRPr="00477612">
        <w:rPr>
          <w:rFonts w:ascii="Arial" w:hAnsi="Arial" w:cs="Arial"/>
          <w:sz w:val="20"/>
          <w:szCs w:val="20"/>
        </w:rPr>
        <w:t xml:space="preserve"> rhizosphere of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nsp1</w:t>
      </w:r>
      <w:r w:rsidRPr="00477612">
        <w:rPr>
          <w:rFonts w:ascii="Arial" w:hAnsi="Arial" w:cs="Arial"/>
          <w:sz w:val="20"/>
          <w:szCs w:val="20"/>
        </w:rPr>
        <w:t xml:space="preserve"> mutants (NPK soil) and in the roots of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and </w:t>
      </w:r>
      <w:r w:rsidRPr="00477612">
        <w:rPr>
          <w:rFonts w:ascii="Arial" w:hAnsi="Arial" w:cs="Arial"/>
          <w:i/>
          <w:iCs/>
          <w:sz w:val="20"/>
          <w:szCs w:val="20"/>
        </w:rPr>
        <w:t>nsp2</w:t>
      </w:r>
      <w:r w:rsidRPr="00477612">
        <w:rPr>
          <w:rFonts w:ascii="Arial" w:hAnsi="Arial" w:cs="Arial"/>
          <w:sz w:val="20"/>
          <w:szCs w:val="20"/>
        </w:rPr>
        <w:t xml:space="preserve"> mutants (PK and UF soils, respectively) (</w:t>
      </w:r>
      <w:r w:rsidRPr="00477612">
        <w:rPr>
          <w:rFonts w:ascii="Arial" w:hAnsi="Arial" w:cs="Arial"/>
          <w:sz w:val="20"/>
          <w:szCs w:val="20"/>
          <w:highlight w:val="cyan"/>
        </w:rPr>
        <w:t>Suppl. Fig. 3A,B</w:t>
      </w:r>
      <w:r w:rsidRPr="00477612">
        <w:rPr>
          <w:rFonts w:ascii="Arial" w:hAnsi="Arial" w:cs="Arial"/>
          <w:sz w:val="20"/>
          <w:szCs w:val="20"/>
        </w:rPr>
        <w:t>). Beta diversity was primarily driven by soil type (</w:t>
      </w:r>
      <w:r w:rsidRPr="00477612">
        <w:rPr>
          <w:rFonts w:ascii="Arial" w:hAnsi="Arial" w:cs="Arial"/>
          <w:sz w:val="20"/>
          <w:szCs w:val="20"/>
          <w:highlight w:val="cyan"/>
        </w:rPr>
        <w:t>Fig. 4C, Suppl. Fig. 3C,D</w:t>
      </w:r>
      <w:r w:rsidRPr="00477612">
        <w:rPr>
          <w:rFonts w:ascii="Arial" w:hAnsi="Arial" w:cs="Arial"/>
          <w:sz w:val="20"/>
          <w:szCs w:val="20"/>
        </w:rPr>
        <w:t>), although differential clustering of genotypes was observed across plant-soil-fraction combinations (</w:t>
      </w:r>
      <w:r w:rsidRPr="00477612">
        <w:rPr>
          <w:rFonts w:ascii="Arial" w:hAnsi="Arial" w:cs="Arial"/>
          <w:sz w:val="20"/>
          <w:szCs w:val="20"/>
          <w:highlight w:val="cyan"/>
        </w:rPr>
        <w:t>Fig. 4C, Suppl. Fig. 3E,F</w:t>
      </w:r>
      <w:r w:rsidRPr="00477612">
        <w:rPr>
          <w:rFonts w:ascii="Arial" w:hAnsi="Arial" w:cs="Arial"/>
          <w:sz w:val="20"/>
          <w:szCs w:val="20"/>
        </w:rPr>
        <w:t xml:space="preserve">). </w:t>
      </w:r>
      <w:r w:rsidRPr="00477612">
        <w:rPr>
          <w:rFonts w:ascii="Arial" w:hAnsi="Arial" w:cs="Arial"/>
          <w:sz w:val="20"/>
          <w:szCs w:val="20"/>
        </w:rPr>
        <w:lastRenderedPageBreak/>
        <w:t>Analysis of cumulative relative abundances at the bacterial order level revealed genotype- and soil-specific patterns across wild-type and CSSP mutants (</w:t>
      </w:r>
      <w:r w:rsidRPr="00477612">
        <w:rPr>
          <w:rFonts w:ascii="Arial" w:hAnsi="Arial" w:cs="Arial"/>
          <w:sz w:val="20"/>
          <w:szCs w:val="20"/>
          <w:highlight w:val="cyan"/>
        </w:rPr>
        <w:t>Suppl. Fig. 4A,B</w:t>
      </w:r>
      <w:r w:rsidRPr="00477612">
        <w:rPr>
          <w:rFonts w:ascii="Arial" w:hAnsi="Arial" w:cs="Arial"/>
          <w:sz w:val="20"/>
          <w:szCs w:val="20"/>
        </w:rPr>
        <w:t xml:space="preserve">). In the </w:t>
      </w:r>
      <w:r w:rsidRPr="00477612">
        <w:rPr>
          <w:rFonts w:ascii="Arial" w:hAnsi="Arial" w:cs="Arial"/>
          <w:i/>
          <w:iCs/>
          <w:sz w:val="20"/>
          <w:szCs w:val="20"/>
        </w:rPr>
        <w:t>Lotus</w:t>
      </w:r>
      <w:r w:rsidRPr="00477612">
        <w:rPr>
          <w:rFonts w:ascii="Arial" w:hAnsi="Arial" w:cs="Arial"/>
          <w:sz w:val="20"/>
          <w:szCs w:val="20"/>
        </w:rPr>
        <w:t xml:space="preserve"> rhizosphere, symbiosis impairment affected the abundance of several bacterial orders, while in roots, the order </w:t>
      </w:r>
      <w:r w:rsidRPr="00477612">
        <w:rPr>
          <w:rFonts w:ascii="Arial" w:hAnsi="Arial" w:cs="Arial"/>
          <w:i/>
          <w:iCs/>
          <w:sz w:val="20"/>
          <w:szCs w:val="20"/>
        </w:rPr>
        <w:t>Rhizobiales</w:t>
      </w:r>
      <w:r w:rsidRPr="00477612">
        <w:rPr>
          <w:rFonts w:ascii="Arial" w:hAnsi="Arial" w:cs="Arial"/>
          <w:sz w:val="20"/>
          <w:szCs w:val="20"/>
        </w:rPr>
        <w:t xml:space="preserve"> in particular was reduced in all mutants across all soils, likely due to impaired symbiont colonisation (</w:t>
      </w:r>
      <w:r w:rsidRPr="00477612">
        <w:rPr>
          <w:rFonts w:ascii="Arial" w:hAnsi="Arial" w:cs="Arial"/>
          <w:sz w:val="20"/>
          <w:szCs w:val="20"/>
          <w:highlight w:val="cyan"/>
        </w:rPr>
        <w:t>Suppl. Fig. 4B</w:t>
      </w:r>
      <w:r w:rsidRPr="00477612">
        <w:rPr>
          <w:rFonts w:ascii="Arial" w:hAnsi="Arial" w:cs="Arial"/>
          <w:sz w:val="20"/>
          <w:szCs w:val="20"/>
        </w:rPr>
        <w:t xml:space="preserve">). In </w:t>
      </w:r>
      <w:r w:rsidRPr="00477612">
        <w:rPr>
          <w:rFonts w:ascii="Arial" w:hAnsi="Arial" w:cs="Arial"/>
          <w:i/>
          <w:iCs/>
          <w:sz w:val="20"/>
          <w:szCs w:val="20"/>
        </w:rPr>
        <w:t>Hordeum</w:t>
      </w:r>
      <w:r w:rsidRPr="00477612">
        <w:rPr>
          <w:rFonts w:ascii="Arial" w:hAnsi="Arial" w:cs="Arial"/>
          <w:sz w:val="20"/>
          <w:szCs w:val="20"/>
        </w:rPr>
        <w:t xml:space="preserve">, the strongest effects occurred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in both rhizosphere and root fractions, involving taxa such as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Caulobacterales</w:t>
      </w:r>
      <w:r w:rsidRPr="00477612">
        <w:rPr>
          <w:rFonts w:ascii="Arial" w:hAnsi="Arial" w:cs="Arial"/>
          <w:sz w:val="20"/>
          <w:szCs w:val="20"/>
        </w:rPr>
        <w:t xml:space="preserve">, and </w:t>
      </w:r>
      <w:r w:rsidRPr="00477612">
        <w:rPr>
          <w:rFonts w:ascii="Arial" w:hAnsi="Arial" w:cs="Arial"/>
          <w:i/>
          <w:iCs/>
          <w:sz w:val="20"/>
          <w:szCs w:val="20"/>
        </w:rPr>
        <w:t>Pseudomonadales</w:t>
      </w:r>
      <w:r w:rsidRPr="00477612">
        <w:rPr>
          <w:rFonts w:ascii="Arial" w:hAnsi="Arial" w:cs="Arial"/>
          <w:sz w:val="20"/>
          <w:szCs w:val="20"/>
        </w:rPr>
        <w:t xml:space="preserve"> (</w:t>
      </w:r>
      <w:r w:rsidRPr="00477612">
        <w:rPr>
          <w:rFonts w:ascii="Arial" w:hAnsi="Arial" w:cs="Arial"/>
          <w:sz w:val="20"/>
          <w:szCs w:val="20"/>
          <w:highlight w:val="cyan"/>
        </w:rPr>
        <w:t>Suppl. Fig. 4B</w:t>
      </w:r>
      <w:r w:rsidRPr="00477612">
        <w:rPr>
          <w:rFonts w:ascii="Arial" w:hAnsi="Arial" w:cs="Arial"/>
          <w:sz w:val="20"/>
          <w:szCs w:val="20"/>
        </w:rPr>
        <w:t>).</w:t>
      </w:r>
    </w:p>
    <w:p w14:paraId="0426D494" w14:textId="77777777"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Differential abundance analysis (</w:t>
      </w:r>
      <w:r w:rsidRPr="00477612">
        <w:rPr>
          <w:rFonts w:ascii="Arial" w:hAnsi="Arial" w:cs="Arial"/>
          <w:sz w:val="20"/>
          <w:szCs w:val="20"/>
          <w:highlight w:val="cyan"/>
        </w:rPr>
        <w:t>Fig. 4D, Suppl. Table 3</w:t>
      </w:r>
      <w:r w:rsidRPr="00477612">
        <w:rPr>
          <w:rFonts w:ascii="Arial" w:hAnsi="Arial" w:cs="Arial"/>
          <w:sz w:val="20"/>
          <w:szCs w:val="20"/>
        </w:rPr>
        <w:t xml:space="preserve">) identified ASVs representing approximately 6-20% of the total relative abundance in wild-type roots that showed altered colonisation in CSSP mutants in both hosts. These ASVs spanned a broad taxonomic range. In </w:t>
      </w:r>
      <w:r w:rsidRPr="00477612">
        <w:rPr>
          <w:rFonts w:ascii="Arial" w:hAnsi="Arial" w:cs="Arial"/>
          <w:i/>
          <w:iCs/>
          <w:sz w:val="20"/>
          <w:szCs w:val="20"/>
        </w:rPr>
        <w:t>Lotus</w:t>
      </w:r>
      <w:r w:rsidRPr="00477612">
        <w:rPr>
          <w:rFonts w:ascii="Arial" w:hAnsi="Arial" w:cs="Arial"/>
          <w:sz w:val="20"/>
          <w:szCs w:val="20"/>
        </w:rPr>
        <w:t xml:space="preserve">, all mutants displayed reduced colonisation of </w:t>
      </w:r>
      <w:r w:rsidRPr="00477612">
        <w:rPr>
          <w:rFonts w:ascii="Arial" w:hAnsi="Arial" w:cs="Arial"/>
          <w:i/>
          <w:iCs/>
          <w:sz w:val="20"/>
          <w:szCs w:val="20"/>
        </w:rPr>
        <w:t>Rhizobiales</w:t>
      </w:r>
      <w:r w:rsidRPr="00477612">
        <w:rPr>
          <w:rFonts w:ascii="Arial" w:hAnsi="Arial" w:cs="Arial"/>
          <w:sz w:val="20"/>
          <w:szCs w:val="20"/>
        </w:rPr>
        <w:t xml:space="preserve"> ASVs, most likely symbiotic rhizobia, alongside other taxa that showed genotype-specific shifts. In </w:t>
      </w:r>
      <w:r w:rsidRPr="00477612">
        <w:rPr>
          <w:rFonts w:ascii="Arial" w:hAnsi="Arial" w:cs="Arial"/>
          <w:i/>
          <w:iCs/>
          <w:sz w:val="20"/>
          <w:szCs w:val="20"/>
        </w:rPr>
        <w:t>Hordeum</w:t>
      </w:r>
      <w:r w:rsidRPr="00477612">
        <w:rPr>
          <w:rFonts w:ascii="Arial" w:hAnsi="Arial" w:cs="Arial"/>
          <w:sz w:val="20"/>
          <w:szCs w:val="20"/>
        </w:rPr>
        <w:t xml:space="preserve">, several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Micromonosporales</w:t>
      </w:r>
      <w:r w:rsidRPr="00477612">
        <w:rPr>
          <w:rFonts w:ascii="Arial" w:hAnsi="Arial" w:cs="Arial"/>
          <w:sz w:val="20"/>
          <w:szCs w:val="20"/>
        </w:rPr>
        <w:t xml:space="preserve">, </w:t>
      </w:r>
      <w:r w:rsidRPr="00477612">
        <w:rPr>
          <w:rFonts w:ascii="Arial" w:hAnsi="Arial" w:cs="Arial"/>
          <w:i/>
          <w:iCs/>
          <w:sz w:val="20"/>
          <w:szCs w:val="20"/>
        </w:rPr>
        <w:t>Propionibacteriales</w:t>
      </w:r>
      <w:r w:rsidRPr="00477612">
        <w:rPr>
          <w:rFonts w:ascii="Arial" w:hAnsi="Arial" w:cs="Arial"/>
          <w:sz w:val="20"/>
          <w:szCs w:val="20"/>
        </w:rPr>
        <w:t xml:space="preserve">, and </w:t>
      </w:r>
      <w:r w:rsidRPr="00477612">
        <w:rPr>
          <w:rFonts w:ascii="Arial" w:hAnsi="Arial" w:cs="Arial"/>
          <w:i/>
          <w:iCs/>
          <w:sz w:val="20"/>
          <w:szCs w:val="20"/>
        </w:rPr>
        <w:t>Rhizobiales</w:t>
      </w:r>
      <w:r w:rsidRPr="00477612">
        <w:rPr>
          <w:rFonts w:ascii="Arial" w:hAnsi="Arial" w:cs="Arial"/>
          <w:sz w:val="20"/>
          <w:szCs w:val="20"/>
        </w:rPr>
        <w:t xml:space="preserve"> ASVs were consistently reduced in all mutants (or at least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nsps</w:t>
      </w:r>
      <w:r w:rsidRPr="00477612">
        <w:rPr>
          <w:rFonts w:ascii="Arial" w:hAnsi="Arial" w:cs="Arial"/>
          <w:sz w:val="20"/>
          <w:szCs w:val="20"/>
        </w:rPr>
        <w:t>), while other taxa showed mutant-specific enrichment or depletion patterns.</w:t>
      </w:r>
    </w:p>
    <w:p w14:paraId="3F27F62D" w14:textId="0E8F9B59" w:rsidR="00477612" w:rsidRPr="00477612" w:rsidRDefault="00477612" w:rsidP="00477612">
      <w:pPr>
        <w:jc w:val="both"/>
        <w:rPr>
          <w:rFonts w:ascii="Arial" w:hAnsi="Arial" w:cs="Arial"/>
          <w:sz w:val="20"/>
          <w:szCs w:val="20"/>
        </w:rPr>
      </w:pPr>
      <w:r w:rsidRPr="00477612">
        <w:rPr>
          <w:rFonts w:ascii="Arial" w:hAnsi="Arial" w:cs="Arial"/>
          <w:sz w:val="20"/>
          <w:szCs w:val="20"/>
        </w:rPr>
        <w:t xml:space="preserve">Overall, impairment of the CSSP at different stages not only impacted plant growth but also significantly influenced the colonisation of a diverse range of bacteria in the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rhizosphere and roots. The distinct microbiome shifts observed across individual mutants indicate that CSSP genes contribute more broadly to plant</w:t>
      </w:r>
      <w:r w:rsidRPr="00477612">
        <w:rPr>
          <w:rFonts w:ascii="Arial" w:hAnsi="Arial" w:cs="Arial"/>
          <w:color w:val="000000" w:themeColor="text1"/>
          <w:sz w:val="20"/>
          <w:szCs w:val="20"/>
        </w:rPr>
        <w:t>-</w:t>
      </w:r>
      <w:r w:rsidRPr="00477612">
        <w:rPr>
          <w:rFonts w:ascii="Arial" w:hAnsi="Arial" w:cs="Arial"/>
          <w:sz w:val="20"/>
          <w:szCs w:val="20"/>
        </w:rPr>
        <w:t xml:space="preserve">microbe interactions beyond their established symbiotic roles. The particularly strong growth defect of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in the presence of microbes suggests an additional, yet poorly characterised, function of this gene in regulating plant performance when grown in complex microbial environments.</w:t>
      </w:r>
    </w:p>
    <w:p w14:paraId="79FCE9E6" w14:textId="2FF1A5F8"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Symbiosis signalling pathways can be linked to differential root exudation in both hosts</w:t>
      </w:r>
      <w:r w:rsidR="00F24A94">
        <w:rPr>
          <w:rFonts w:ascii="Arial" w:hAnsi="Arial" w:cs="Arial"/>
          <w:b/>
          <w:bCs/>
          <w:sz w:val="20"/>
          <w:szCs w:val="20"/>
        </w:rPr>
        <w:t xml:space="preserve">. </w:t>
      </w:r>
      <w:r w:rsidRPr="00477612">
        <w:rPr>
          <w:rFonts w:ascii="Arial" w:hAnsi="Arial" w:cs="Arial"/>
          <w:sz w:val="20"/>
          <w:szCs w:val="20"/>
        </w:rPr>
        <w:t>Root exudates are key drivers of interactions at the root</w:t>
      </w:r>
      <w:r w:rsidRPr="00477612">
        <w:rPr>
          <w:rFonts w:ascii="Arial" w:hAnsi="Arial" w:cs="Arial"/>
          <w:color w:val="000000" w:themeColor="text1"/>
          <w:sz w:val="20"/>
          <w:szCs w:val="20"/>
        </w:rPr>
        <w:t>-</w:t>
      </w:r>
      <w:r w:rsidRPr="00477612">
        <w:rPr>
          <w:rFonts w:ascii="Arial" w:hAnsi="Arial" w:cs="Arial"/>
          <w:sz w:val="20"/>
          <w:szCs w:val="20"/>
        </w:rPr>
        <w:t xml:space="preserve">soil interface, forming a diverse chemical pool that fosters microbial competition and cooperation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0PNyKhj","properties":{"unsorted":false,"formattedCitation":"(68\\uc0\\u8211{}70)","plainCitation":"(68–70)","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(68–70)</w:t>
      </w:r>
      <w:r w:rsidRPr="00477612">
        <w:rPr>
          <w:rFonts w:ascii="Arial" w:hAnsi="Arial" w:cs="Arial"/>
          <w:sz w:val="20"/>
          <w:szCs w:val="20"/>
        </w:rPr>
        <w:fldChar w:fldCharType="end"/>
      </w:r>
      <w:r w:rsidRPr="00477612">
        <w:rPr>
          <w:rFonts w:ascii="Arial" w:hAnsi="Arial" w:cs="Arial"/>
          <w:sz w:val="20"/>
          <w:szCs w:val="20"/>
        </w:rPr>
        <w:t xml:space="preserve">. Beyond serving as a nutrient source, root exudates contain defence-related metabolites with antimicrobial properties, as well as signalling molecules that are important for communication with beneficial microbes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{"citationID":"WSgItRE2","properties":{"unsorted":false,"formattedCitation":"(9, 70)","plainCitation":"(9, 70)","noteIndex":0},"citationItems":[{"id":652,"uris":["http://zotero.org/users/16875439/items/463EKNQL"],"itemData":{"id":652,"type":"article-journal","abstract":"The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(9, 70)</w:t>
      </w:r>
      <w:r w:rsidRPr="00477612">
        <w:rPr>
          <w:rFonts w:ascii="Arial" w:hAnsi="Arial" w:cs="Arial"/>
          <w:sz w:val="20"/>
          <w:szCs w:val="20"/>
        </w:rPr>
        <w:fldChar w:fldCharType="end"/>
      </w:r>
      <w:r w:rsidRPr="00477612">
        <w:rPr>
          <w:rFonts w:ascii="Arial" w:hAnsi="Arial" w:cs="Arial"/>
          <w:sz w:val="20"/>
          <w:szCs w:val="20"/>
        </w:rPr>
        <w:t xml:space="preserve">. Previous work has shown that NSP1/NSP2 genes modulate strigolactone production, and CCaMK modulates phenylpropanoid biosynthesis during symbiosis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{"citationID":"blDdbZvx","properties":{"unsorted":false,"formattedCitation":"(42, 48)","plainCitation":"(42, 48)","noteIndex":0},"citationItems":[{"id":609,"uris":["http://zotero.org/users/16875439/items/3DR3LB7T"],"itemData":{"id":609,"type":"article-journal","abstract":"Nutrient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(42, 48)</w:t>
      </w:r>
      <w:r w:rsidRPr="00477612">
        <w:rPr>
          <w:rFonts w:ascii="Arial" w:hAnsi="Arial" w:cs="Arial"/>
          <w:sz w:val="20"/>
          <w:szCs w:val="20"/>
        </w:rPr>
        <w:fldChar w:fldCharType="end"/>
      </w:r>
      <w:r w:rsidRPr="00477612">
        <w:rPr>
          <w:rFonts w:ascii="Arial" w:hAnsi="Arial" w:cs="Arial"/>
          <w:sz w:val="20"/>
          <w:szCs w:val="20"/>
        </w:rPr>
        <w:t xml:space="preserve">. To assess whether the observed effects of CSSP mutations on root-associated bacterial communities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 xml:space="preserve">Hordeum </w:t>
      </w:r>
      <w:r w:rsidRPr="00477612">
        <w:rPr>
          <w:rFonts w:ascii="Arial" w:hAnsi="Arial" w:cs="Arial"/>
          <w:sz w:val="20"/>
          <w:szCs w:val="20"/>
        </w:rPr>
        <w:t xml:space="preserve">are linked to alterations in root exudates, we analysed root exudate composition in CSSP mutants and wild-type plants under sterile, low-nutrient conditions using non-targeted liquid chromatography-mass spectrometry (LC-MS/MS). Due to differences in plant phenology, two distinct methods for extracting root exudates were used for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hence, only comparisons between genotypes of the same species are presented here.</w:t>
      </w:r>
    </w:p>
    <w:p w14:paraId="76A627FE" w14:textId="77777777"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After removal of background signals based on negative controls, we </w:t>
      </w:r>
      <w:r w:rsidRPr="00477612">
        <w:rPr>
          <w:rFonts w:ascii="Arial" w:hAnsi="Arial" w:cs="Arial"/>
          <w:sz w:val="20"/>
          <w:szCs w:val="20"/>
          <w:highlight w:val="red"/>
        </w:rPr>
        <w:t xml:space="preserve">detected 767 and 678 metabolic </w:t>
      </w:r>
      <w:commentRangeStart w:id="2"/>
      <w:r w:rsidRPr="00477612">
        <w:rPr>
          <w:rFonts w:ascii="Arial" w:hAnsi="Arial" w:cs="Arial"/>
          <w:sz w:val="20"/>
          <w:szCs w:val="20"/>
          <w:highlight w:val="red"/>
        </w:rPr>
        <w:t>features</w:t>
      </w:r>
      <w:commentRangeEnd w:id="2"/>
      <w:r w:rsidRPr="00477612">
        <w:rPr>
          <w:rStyle w:val="CommentReference"/>
          <w:rFonts w:ascii="Arial" w:hAnsi="Arial" w:cs="Arial"/>
          <w:sz w:val="20"/>
          <w:szCs w:val="20"/>
        </w:rPr>
        <w:commentReference w:id="2"/>
      </w:r>
      <w:r w:rsidRPr="00477612">
        <w:rPr>
          <w:rFonts w:ascii="Arial" w:hAnsi="Arial" w:cs="Arial"/>
          <w:sz w:val="20"/>
          <w:szCs w:val="20"/>
        </w:rPr>
        <w:t xml:space="preserve"> across all genotypes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respectively. These metabolites spanned diverse chemical classes, including alkaloids, amino acids and peptides, carbohydrates, fatty acids, polyketides, shikimates and phenylpropanoids, as well as terpenoids (</w:t>
      </w:r>
      <w:r w:rsidRPr="00477612">
        <w:rPr>
          <w:rFonts w:ascii="Arial" w:hAnsi="Arial" w:cs="Arial"/>
          <w:sz w:val="20"/>
          <w:szCs w:val="20"/>
          <w:highlight w:val="cyan"/>
        </w:rPr>
        <w:t>Suppl. Fig. 5</w:t>
      </w:r>
      <w:r w:rsidRPr="00477612">
        <w:rPr>
          <w:rFonts w:ascii="Arial" w:hAnsi="Arial" w:cs="Arial"/>
          <w:sz w:val="20"/>
          <w:szCs w:val="20"/>
        </w:rPr>
        <w:t xml:space="preserve">). The exudate profiles of all CSSP mutants, except for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symrk</w:t>
      </w:r>
      <w:r w:rsidRPr="00477612">
        <w:rPr>
          <w:rFonts w:ascii="Arial" w:hAnsi="Arial" w:cs="Arial"/>
          <w:sz w:val="20"/>
          <w:szCs w:val="20"/>
        </w:rPr>
        <w:t>, displayed distinct clustering relative to their respective wild-type (</w:t>
      </w:r>
      <w:r w:rsidRPr="00477612">
        <w:rPr>
          <w:rFonts w:ascii="Arial" w:hAnsi="Arial" w:cs="Arial"/>
          <w:sz w:val="20"/>
          <w:szCs w:val="20"/>
          <w:highlight w:val="cyan"/>
        </w:rPr>
        <w:t>Fig. 5A</w:t>
      </w:r>
      <w:r w:rsidRPr="00477612">
        <w:rPr>
          <w:rFonts w:ascii="Arial" w:hAnsi="Arial" w:cs="Arial"/>
          <w:sz w:val="20"/>
          <w:szCs w:val="20"/>
        </w:rPr>
        <w:t>).</w:t>
      </w:r>
    </w:p>
    <w:p w14:paraId="5F593CD3" w14:textId="77777777" w:rsidR="00477612" w:rsidRPr="00477612" w:rsidRDefault="00477612" w:rsidP="00477612">
      <w:pPr>
        <w:jc w:val="both"/>
        <w:rPr>
          <w:rFonts w:ascii="Arial" w:hAnsi="Arial" w:cs="Arial"/>
          <w:sz w:val="20"/>
          <w:szCs w:val="20"/>
        </w:rPr>
      </w:pPr>
      <w:r w:rsidRPr="00477612">
        <w:rPr>
          <w:rFonts w:ascii="Arial" w:hAnsi="Arial" w:cs="Arial"/>
          <w:sz w:val="20"/>
          <w:szCs w:val="20"/>
        </w:rPr>
        <w:t xml:space="preserve">In </w:t>
      </w:r>
      <w:r w:rsidRPr="00477612">
        <w:rPr>
          <w:rFonts w:ascii="Arial" w:hAnsi="Arial" w:cs="Arial"/>
          <w:i/>
          <w:iCs/>
          <w:sz w:val="20"/>
          <w:szCs w:val="20"/>
        </w:rPr>
        <w:t>Lotus</w:t>
      </w:r>
      <w:r w:rsidRPr="00477612">
        <w:rPr>
          <w:rFonts w:ascii="Arial" w:hAnsi="Arial" w:cs="Arial"/>
          <w:sz w:val="20"/>
          <w:szCs w:val="20"/>
        </w:rPr>
        <w:t xml:space="preserve">, shikimates and phenylpropanoids were significantly reduced in CSSP mutants, particularly in </w:t>
      </w:r>
      <w:r w:rsidRPr="00477612">
        <w:rPr>
          <w:rFonts w:ascii="Arial" w:hAnsi="Arial" w:cs="Arial"/>
          <w:i/>
          <w:iCs/>
          <w:sz w:val="20"/>
          <w:szCs w:val="20"/>
        </w:rPr>
        <w:t>nsps</w:t>
      </w:r>
      <w:r w:rsidRPr="00477612">
        <w:rPr>
          <w:rFonts w:ascii="Arial" w:hAnsi="Arial" w:cs="Arial"/>
          <w:sz w:val="20"/>
          <w:szCs w:val="20"/>
        </w:rPr>
        <w:t xml:space="preserve"> compared to WT (</w:t>
      </w:r>
      <w:r w:rsidRPr="00477612">
        <w:rPr>
          <w:rFonts w:ascii="Arial" w:hAnsi="Arial" w:cs="Arial"/>
          <w:sz w:val="20"/>
          <w:szCs w:val="20"/>
          <w:highlight w:val="cyan"/>
        </w:rPr>
        <w:t>Suppl. Fig. 5</w:t>
      </w:r>
      <w:r w:rsidRPr="00477612">
        <w:rPr>
          <w:rFonts w:ascii="Arial" w:hAnsi="Arial" w:cs="Arial"/>
          <w:sz w:val="20"/>
          <w:szCs w:val="20"/>
        </w:rPr>
        <w:t xml:space="preserve">). We identified between 125 and 335 metabolites with differential intensity in individual </w:t>
      </w:r>
      <w:r w:rsidRPr="00477612">
        <w:rPr>
          <w:rFonts w:ascii="Arial" w:hAnsi="Arial" w:cs="Arial"/>
          <w:i/>
          <w:iCs/>
          <w:sz w:val="20"/>
          <w:szCs w:val="20"/>
        </w:rPr>
        <w:t>Lotus</w:t>
      </w:r>
      <w:r w:rsidRPr="00477612">
        <w:rPr>
          <w:rFonts w:ascii="Arial" w:hAnsi="Arial" w:cs="Arial"/>
          <w:sz w:val="20"/>
          <w:szCs w:val="20"/>
        </w:rPr>
        <w:t xml:space="preserve"> CSSP mutants relative to the wild-type (hereafter differentially exuded metabolites, DEM), spanning multiple compound classes and indicating a broad impact of CSSP mutations (</w:t>
      </w:r>
      <w:r w:rsidRPr="00477612">
        <w:rPr>
          <w:rFonts w:ascii="Arial" w:hAnsi="Arial" w:cs="Arial"/>
          <w:sz w:val="20"/>
          <w:szCs w:val="20"/>
          <w:highlight w:val="cyan"/>
        </w:rPr>
        <w:t>Fig. 5B,C, Suppl. Table 4</w:t>
      </w:r>
      <w:r w:rsidRPr="00477612">
        <w:rPr>
          <w:rFonts w:ascii="Arial" w:hAnsi="Arial" w:cs="Arial"/>
          <w:sz w:val="20"/>
          <w:szCs w:val="20"/>
        </w:rPr>
        <w:t>). Notably, phenylpropanoids, including cinnamic acids and derivatives, isoflavonoids, and flavonoids, were strongly reduced across all mutants (</w:t>
      </w:r>
      <w:r w:rsidRPr="00477612">
        <w:rPr>
          <w:rFonts w:ascii="Arial" w:hAnsi="Arial" w:cs="Arial"/>
          <w:sz w:val="20"/>
          <w:szCs w:val="20"/>
          <w:highlight w:val="cyan"/>
        </w:rPr>
        <w:t>Fig. 5C</w:t>
      </w:r>
      <w:r w:rsidRPr="00477612">
        <w:rPr>
          <w:rFonts w:ascii="Arial" w:hAnsi="Arial" w:cs="Arial"/>
          <w:sz w:val="20"/>
          <w:szCs w:val="20"/>
        </w:rPr>
        <w:t xml:space="preserve">). </w:t>
      </w:r>
      <w:commentRangeStart w:id="3"/>
      <w:r w:rsidRPr="00477612">
        <w:rPr>
          <w:rFonts w:ascii="Arial" w:hAnsi="Arial" w:cs="Arial"/>
          <w:sz w:val="20"/>
          <w:szCs w:val="20"/>
        </w:rPr>
        <w:t>Structural predictions identified several well-known components of the phenylpropanoid pathway</w:t>
      </w:r>
      <w:commentRangeEnd w:id="3"/>
      <w:r w:rsidRPr="00477612">
        <w:rPr>
          <w:rStyle w:val="CommentReference"/>
          <w:rFonts w:ascii="Arial" w:hAnsi="Arial" w:cs="Arial"/>
          <w:sz w:val="20"/>
          <w:szCs w:val="20"/>
        </w:rPr>
        <w:commentReference w:id="3"/>
      </w:r>
      <w:r w:rsidRPr="00477612">
        <w:rPr>
          <w:rFonts w:ascii="Arial" w:hAnsi="Arial" w:cs="Arial"/>
          <w:sz w:val="20"/>
          <w:szCs w:val="20"/>
        </w:rPr>
        <w:t xml:space="preserve">, including Coumaric acid (Feature269), Ferulic acid (455), Vanillic acid (285), Naringenin (973), Vestitione (1053), Biochanin A (1047), Formononetin (945), Vestitol (976), Dehydroquercetin (1177), Diosmetin (1182), Wogonin (1046), and Velutin (1320), most of which were present at lower levels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compared to wild-type plants (</w:t>
      </w:r>
      <w:r w:rsidRPr="00477612">
        <w:rPr>
          <w:rFonts w:ascii="Arial" w:hAnsi="Arial" w:cs="Arial"/>
          <w:sz w:val="20"/>
          <w:szCs w:val="20"/>
          <w:highlight w:val="cyan"/>
        </w:rPr>
        <w:t>Fig. 5D</w:t>
      </w:r>
      <w:r w:rsidRPr="00477612">
        <w:rPr>
          <w:rFonts w:ascii="Arial" w:hAnsi="Arial" w:cs="Arial"/>
          <w:sz w:val="20"/>
          <w:szCs w:val="20"/>
        </w:rPr>
        <w:t>).</w:t>
      </w:r>
    </w:p>
    <w:p w14:paraId="7D7F46BC" w14:textId="77777777"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lastRenderedPageBreak/>
        <w:t xml:space="preserve">In </w:t>
      </w:r>
      <w:r w:rsidRPr="00477612">
        <w:rPr>
          <w:rFonts w:ascii="Arial" w:hAnsi="Arial" w:cs="Arial"/>
          <w:i/>
          <w:iCs/>
          <w:sz w:val="20"/>
          <w:szCs w:val="20"/>
        </w:rPr>
        <w:t>Hordeum</w:t>
      </w:r>
      <w:r w:rsidRPr="00477612">
        <w:rPr>
          <w:rFonts w:ascii="Arial" w:hAnsi="Arial" w:cs="Arial"/>
          <w:sz w:val="20"/>
          <w:szCs w:val="20"/>
        </w:rPr>
        <w:t xml:space="preserve">, the wild-type and </w:t>
      </w:r>
      <w:r w:rsidRPr="00477612">
        <w:rPr>
          <w:rFonts w:ascii="Arial" w:hAnsi="Arial" w:cs="Arial"/>
          <w:i/>
          <w:iCs/>
          <w:sz w:val="20"/>
          <w:szCs w:val="20"/>
        </w:rPr>
        <w:t>symrk</w:t>
      </w:r>
      <w:r w:rsidRPr="00477612">
        <w:rPr>
          <w:rFonts w:ascii="Arial" w:hAnsi="Arial" w:cs="Arial"/>
          <w:sz w:val="20"/>
          <w:szCs w:val="20"/>
        </w:rPr>
        <w:t xml:space="preserve"> exudate profiles were similar, whereas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exhibited pronounced metabolic shifts (</w:t>
      </w:r>
      <w:r w:rsidRPr="00477612">
        <w:rPr>
          <w:rFonts w:ascii="Arial" w:hAnsi="Arial" w:cs="Arial"/>
          <w:sz w:val="20"/>
          <w:szCs w:val="20"/>
          <w:highlight w:val="cyan"/>
        </w:rPr>
        <w:t>Fig. 5A</w:t>
      </w:r>
      <w:r w:rsidRPr="00477612">
        <w:rPr>
          <w:rFonts w:ascii="Arial" w:hAnsi="Arial" w:cs="Arial"/>
          <w:sz w:val="20"/>
          <w:szCs w:val="20"/>
        </w:rPr>
        <w:t xml:space="preserve">). The number of DEM was low in </w:t>
      </w:r>
      <w:r w:rsidRPr="00477612">
        <w:rPr>
          <w:rFonts w:ascii="Arial" w:hAnsi="Arial" w:cs="Arial"/>
          <w:i/>
          <w:iCs/>
          <w:sz w:val="20"/>
          <w:szCs w:val="20"/>
        </w:rPr>
        <w:t>symrk</w:t>
      </w:r>
      <w:r w:rsidRPr="00477612">
        <w:rPr>
          <w:rFonts w:ascii="Arial" w:hAnsi="Arial" w:cs="Arial"/>
          <w:sz w:val="20"/>
          <w:szCs w:val="20"/>
        </w:rPr>
        <w:t xml:space="preserve"> mutants (12), but up to 277 DEM were detected in other mutants (</w:t>
      </w:r>
      <w:r w:rsidRPr="00477612">
        <w:rPr>
          <w:rFonts w:ascii="Arial" w:hAnsi="Arial" w:cs="Arial"/>
          <w:sz w:val="20"/>
          <w:szCs w:val="20"/>
          <w:highlight w:val="cyan"/>
        </w:rPr>
        <w:t>Fig. 5B</w:t>
      </w:r>
      <w:r w:rsidRPr="00477612">
        <w:rPr>
          <w:rFonts w:ascii="Arial" w:hAnsi="Arial" w:cs="Arial"/>
          <w:sz w:val="20"/>
          <w:szCs w:val="20"/>
        </w:rPr>
        <w:t>), spanning several compound classes (</w:t>
      </w:r>
      <w:r w:rsidRPr="00477612">
        <w:rPr>
          <w:rFonts w:ascii="Arial" w:hAnsi="Arial" w:cs="Arial"/>
          <w:sz w:val="20"/>
          <w:szCs w:val="20"/>
          <w:highlight w:val="cyan"/>
        </w:rPr>
        <w:t>Fig. 5C, Suppl. Table 5</w:t>
      </w:r>
      <w:r w:rsidRPr="00477612">
        <w:rPr>
          <w:rFonts w:ascii="Arial" w:hAnsi="Arial" w:cs="Arial"/>
          <w:sz w:val="20"/>
          <w:szCs w:val="20"/>
        </w:rPr>
        <w:t>). Well-characterised compounds included Gibberellin (2546), Abscisic acid (2889), and phenylpropanoids Esculetin (495), Paeonin C (3095), Isoorientin (3069), and Sapopharin (3288) (</w:t>
      </w:r>
      <w:r w:rsidRPr="00477612">
        <w:rPr>
          <w:rFonts w:ascii="Arial" w:hAnsi="Arial" w:cs="Arial"/>
          <w:sz w:val="20"/>
          <w:szCs w:val="20"/>
          <w:highlight w:val="cyan"/>
        </w:rPr>
        <w:t>Fig. 5D</w:t>
      </w:r>
      <w:r w:rsidRPr="00477612">
        <w:rPr>
          <w:rFonts w:ascii="Arial" w:hAnsi="Arial" w:cs="Arial"/>
          <w:sz w:val="20"/>
          <w:szCs w:val="20"/>
        </w:rPr>
        <w:t xml:space="preserve">). Most of these compounds were less abundant in </w:t>
      </w:r>
      <w:r w:rsidRPr="00477612">
        <w:rPr>
          <w:rFonts w:ascii="Arial" w:hAnsi="Arial" w:cs="Arial"/>
          <w:i/>
          <w:iCs/>
          <w:sz w:val="20"/>
          <w:szCs w:val="20"/>
        </w:rPr>
        <w:t>ccamk</w:t>
      </w:r>
      <w:r w:rsidRPr="00477612">
        <w:rPr>
          <w:rFonts w:ascii="Arial" w:hAnsi="Arial" w:cs="Arial"/>
          <w:sz w:val="20"/>
          <w:szCs w:val="20"/>
        </w:rPr>
        <w:t xml:space="preserve"> and/or </w:t>
      </w:r>
      <w:r w:rsidRPr="00477612">
        <w:rPr>
          <w:rFonts w:ascii="Arial" w:hAnsi="Arial" w:cs="Arial"/>
          <w:i/>
          <w:iCs/>
          <w:sz w:val="20"/>
          <w:szCs w:val="20"/>
        </w:rPr>
        <w:t>nsp</w:t>
      </w:r>
      <w:r w:rsidRPr="00477612">
        <w:rPr>
          <w:rFonts w:ascii="Arial" w:hAnsi="Arial" w:cs="Arial"/>
          <w:sz w:val="20"/>
          <w:szCs w:val="20"/>
        </w:rPr>
        <w:t xml:space="preserve"> mutants compared to wild-type plants, except for Abscisic acid, which was exuded at higher levels in </w:t>
      </w:r>
      <w:r w:rsidRPr="00477612">
        <w:rPr>
          <w:rFonts w:ascii="Arial" w:hAnsi="Arial" w:cs="Arial"/>
          <w:i/>
          <w:iCs/>
          <w:sz w:val="20"/>
          <w:szCs w:val="20"/>
        </w:rPr>
        <w:t>nsp</w:t>
      </w:r>
      <w:r w:rsidRPr="00477612">
        <w:rPr>
          <w:rFonts w:ascii="Arial" w:hAnsi="Arial" w:cs="Arial"/>
          <w:sz w:val="20"/>
          <w:szCs w:val="20"/>
        </w:rPr>
        <w:t xml:space="preserve"> mutants.</w:t>
      </w:r>
    </w:p>
    <w:p w14:paraId="16C9A391" w14:textId="77777777"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Although direct comparisons between species cannot be made due to differences in plant phenology, phenylpropanoids were consistently affected in CSSP mutants of both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sz w:val="20"/>
          <w:szCs w:val="20"/>
          <w:highlight w:val="cyan"/>
        </w:rPr>
        <w:t>Fig. 5C,D</w:t>
      </w:r>
      <w:r w:rsidRPr="00477612">
        <w:rPr>
          <w:rFonts w:ascii="Arial" w:hAnsi="Arial" w:cs="Arial"/>
          <w:sz w:val="20"/>
          <w:szCs w:val="20"/>
        </w:rPr>
        <w:t xml:space="preserve">), suggesting a conserved role of CSSP genes in regulating their biosynthesis. However, the specific phenylpropanoid compounds altered were host-specific. In </w:t>
      </w:r>
      <w:r w:rsidRPr="00477612">
        <w:rPr>
          <w:rFonts w:ascii="Arial" w:hAnsi="Arial" w:cs="Arial"/>
          <w:i/>
          <w:iCs/>
          <w:sz w:val="20"/>
          <w:szCs w:val="20"/>
        </w:rPr>
        <w:t>Lotus</w:t>
      </w:r>
      <w:r w:rsidRPr="00477612">
        <w:rPr>
          <w:rFonts w:ascii="Arial" w:hAnsi="Arial" w:cs="Arial"/>
          <w:sz w:val="20"/>
          <w:szCs w:val="20"/>
        </w:rPr>
        <w:t xml:space="preserve">, isoflavonoid biosynthesis was primarily affected, whereas in </w:t>
      </w:r>
      <w:r w:rsidRPr="00477612">
        <w:rPr>
          <w:rFonts w:ascii="Arial" w:hAnsi="Arial" w:cs="Arial"/>
          <w:i/>
          <w:iCs/>
          <w:sz w:val="20"/>
          <w:szCs w:val="20"/>
        </w:rPr>
        <w:t>Hordeum</w:t>
      </w:r>
      <w:r w:rsidRPr="00477612">
        <w:rPr>
          <w:rFonts w:ascii="Arial" w:hAnsi="Arial" w:cs="Arial"/>
          <w:sz w:val="20"/>
          <w:szCs w:val="20"/>
        </w:rPr>
        <w:t xml:space="preserve">, coumarins and glycosylated flavonoids showed the strongest changes. Beyond phenylpropanoids, certain metabolites such as plant hormones gibberellin and abscisic acid were modulated in </w:t>
      </w:r>
      <w:r w:rsidRPr="00477612">
        <w:rPr>
          <w:rFonts w:ascii="Arial" w:hAnsi="Arial" w:cs="Arial"/>
          <w:i/>
          <w:iCs/>
          <w:sz w:val="20"/>
          <w:szCs w:val="20"/>
        </w:rPr>
        <w:t>Hordeum</w:t>
      </w:r>
      <w:r w:rsidRPr="00477612">
        <w:rPr>
          <w:rFonts w:ascii="Arial" w:hAnsi="Arial" w:cs="Arial"/>
          <w:sz w:val="20"/>
          <w:szCs w:val="20"/>
        </w:rPr>
        <w:t xml:space="preserve">, whereas these compounds did not show significant changes in </w:t>
      </w:r>
      <w:r w:rsidRPr="00477612">
        <w:rPr>
          <w:rFonts w:ascii="Arial" w:hAnsi="Arial" w:cs="Arial"/>
          <w:i/>
          <w:iCs/>
          <w:sz w:val="20"/>
          <w:szCs w:val="20"/>
        </w:rPr>
        <w:t>Lotus</w:t>
      </w:r>
      <w:r w:rsidRPr="00477612">
        <w:rPr>
          <w:rFonts w:ascii="Arial" w:hAnsi="Arial" w:cs="Arial"/>
          <w:sz w:val="20"/>
          <w:szCs w:val="20"/>
        </w:rPr>
        <w:t xml:space="preserve"> (considering only metabolites with confidently assigned molecular formulas).</w:t>
      </w:r>
    </w:p>
    <w:p w14:paraId="75F76824" w14:textId="124AAF5E" w:rsidR="00477612" w:rsidRPr="00477612" w:rsidRDefault="00477612" w:rsidP="00477612">
      <w:pPr>
        <w:jc w:val="both"/>
        <w:rPr>
          <w:rFonts w:ascii="Arial" w:hAnsi="Arial" w:cs="Arial"/>
          <w:sz w:val="20"/>
          <w:szCs w:val="20"/>
        </w:rPr>
      </w:pPr>
      <w:r w:rsidRPr="00477612">
        <w:rPr>
          <w:rFonts w:ascii="Arial" w:hAnsi="Arial" w:cs="Arial"/>
          <w:sz w:val="20"/>
          <w:szCs w:val="20"/>
        </w:rPr>
        <w:t xml:space="preserve">In summary, CSSP mutations affect hundreds of metabolites across diverse chemical classes. Some shifts are conserved across hosts (phenylpropanoids), whereas others are species-specific (isoflavonoids in </w:t>
      </w:r>
      <w:r w:rsidRPr="00477612">
        <w:rPr>
          <w:rFonts w:ascii="Arial" w:hAnsi="Arial" w:cs="Arial"/>
          <w:i/>
          <w:iCs/>
          <w:sz w:val="20"/>
          <w:szCs w:val="20"/>
        </w:rPr>
        <w:t>Lotus</w:t>
      </w:r>
      <w:r w:rsidRPr="00477612">
        <w:rPr>
          <w:rFonts w:ascii="Arial" w:hAnsi="Arial" w:cs="Arial"/>
          <w:sz w:val="20"/>
          <w:szCs w:val="20"/>
        </w:rPr>
        <w:t xml:space="preserve">; gibberellins and abscisic acid in </w:t>
      </w:r>
      <w:r w:rsidRPr="00477612">
        <w:rPr>
          <w:rFonts w:ascii="Arial" w:hAnsi="Arial" w:cs="Arial"/>
          <w:i/>
          <w:iCs/>
          <w:sz w:val="20"/>
          <w:szCs w:val="20"/>
        </w:rPr>
        <w:t>Hordeum</w:t>
      </w:r>
      <w:r w:rsidRPr="00477612">
        <w:rPr>
          <w:rFonts w:ascii="Arial" w:hAnsi="Arial" w:cs="Arial"/>
          <w:sz w:val="20"/>
          <w:szCs w:val="20"/>
        </w:rPr>
        <w:t>) and genotype-specific. These findings suggest that CSSP genes regulate not only the biosynthesis of well-characterised symbiosis-related compounds but also broader metabolic processes. The observed genotype- and species-specific differences in exudate profiles could explain the shifts in root-associated microbial communities.</w:t>
      </w:r>
    </w:p>
    <w:p w14:paraId="0A1ABCED" w14:textId="654440A4"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Community shifts were replicated in gnotobiotic systems with synthetic bacterial communities</w:t>
      </w:r>
      <w:r w:rsidR="00F24A94">
        <w:rPr>
          <w:rFonts w:ascii="Arial" w:hAnsi="Arial" w:cs="Arial"/>
          <w:b/>
          <w:bCs/>
          <w:sz w:val="20"/>
          <w:szCs w:val="20"/>
        </w:rPr>
        <w:t xml:space="preserve">. </w:t>
      </w:r>
      <w:r w:rsidRPr="00477612">
        <w:rPr>
          <w:rFonts w:ascii="Arial" w:hAnsi="Arial" w:cs="Arial"/>
          <w:sz w:val="20"/>
          <w:szCs w:val="20"/>
        </w:rPr>
        <w:t xml:space="preserve">Our findings demonstrate a significant effect of symbiosis signalling on bacterial community establishment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grown in soil, as well as on their root exudate profiles under sterile conditions. However, soil is a complex environment, making it difficult to dissect individual plant-microbe interactions and uncover possible mechanisms underlying the observed community shifts.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are directly plant-mediated, likely via altered root exudation, and independent of other soil environmental factors. We used SynComs composed of bacterial isolates derived from healthy, soil-grown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plants, representing native members of their respective core microbiota (</w:t>
      </w:r>
      <w:r w:rsidRPr="00477612">
        <w:rPr>
          <w:rFonts w:ascii="Arial" w:hAnsi="Arial" w:cs="Arial"/>
          <w:i/>
          <w:iCs/>
          <w:sz w:val="20"/>
          <w:szCs w:val="20"/>
        </w:rPr>
        <w:t>Lotus</w:t>
      </w:r>
      <w:r w:rsidRPr="00477612">
        <w:rPr>
          <w:rFonts w:ascii="Arial" w:hAnsi="Arial" w:cs="Arial"/>
          <w:sz w:val="20"/>
          <w:szCs w:val="20"/>
        </w:rPr>
        <w:t xml:space="preserve"> collection: Lj-SPHERE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{"citationID":"0hxeo0WA","properties":{"unsorted":false,"formattedCitation":"(63)","plainCitation":"(63)","noteIndex":0},"citationItems":[{"id":580,"uris":["http://zotero.org/users/16875439/items/97Y2M4HL"],"itemData":{"id":580,"type":"article-journal","abstract":"Roots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(63)</w:t>
      </w:r>
      <w:r w:rsidRPr="00477612">
        <w:rPr>
          <w:rFonts w:ascii="Arial" w:hAnsi="Arial" w:cs="Arial"/>
          <w:sz w:val="20"/>
          <w:szCs w:val="20"/>
        </w:rPr>
        <w:fldChar w:fldCharType="end"/>
      </w:r>
      <w:r w:rsidRPr="00477612">
        <w:rPr>
          <w:rFonts w:ascii="Arial" w:hAnsi="Arial" w:cs="Arial"/>
          <w:sz w:val="20"/>
          <w:szCs w:val="20"/>
        </w:rPr>
        <w:t xml:space="preserve">; </w:t>
      </w:r>
      <w:r w:rsidRPr="00477612">
        <w:rPr>
          <w:rFonts w:ascii="Arial" w:hAnsi="Arial" w:cs="Arial"/>
          <w:i/>
          <w:iCs/>
          <w:sz w:val="20"/>
          <w:szCs w:val="20"/>
        </w:rPr>
        <w:t>Hordeum</w:t>
      </w:r>
      <w:r w:rsidRPr="00477612">
        <w:rPr>
          <w:rFonts w:ascii="Arial" w:hAnsi="Arial" w:cs="Arial"/>
          <w:sz w:val="20"/>
          <w:szCs w:val="20"/>
        </w:rPr>
        <w:t xml:space="preserve"> collection: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{"citationID":"1nECalt0","properties":{"unsorted":false,"formattedCitation":"(71)","plainCitation":"(71)","noteIndex":0},"citationItems":[{"id":662,"uris":["http://zotero.org/users/16875439/items/APJU6DYA"],"itemData":{"id":662,"type":"article","abstract":"Host-associated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(71)</w:t>
      </w:r>
      <w:r w:rsidRPr="00477612">
        <w:rPr>
          <w:rFonts w:ascii="Arial" w:hAnsi="Arial" w:cs="Arial"/>
          <w:sz w:val="20"/>
          <w:szCs w:val="20"/>
        </w:rPr>
        <w:fldChar w:fldCharType="end"/>
      </w:r>
      <w:r w:rsidRPr="00477612">
        <w:rPr>
          <w:rFonts w:ascii="Arial" w:hAnsi="Arial" w:cs="Arial"/>
          <w:sz w:val="20"/>
          <w:szCs w:val="20"/>
        </w:rPr>
        <w:t xml:space="preserve">; Methods; </w:t>
      </w:r>
      <w:r w:rsidRPr="00477612">
        <w:rPr>
          <w:rFonts w:ascii="Arial" w:hAnsi="Arial" w:cs="Arial"/>
          <w:sz w:val="20"/>
          <w:szCs w:val="20"/>
          <w:highlight w:val="cyan"/>
        </w:rPr>
        <w:t>Suppl. Tables 8, 9</w:t>
      </w:r>
      <w:r w:rsidRPr="00477612">
        <w:rPr>
          <w:rFonts w:ascii="Arial" w:hAnsi="Arial" w:cs="Arial"/>
          <w:sz w:val="20"/>
          <w:szCs w:val="20"/>
        </w:rPr>
        <w:t>). Wild-type plants and CSSP mutants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w:t>
      </w:r>
      <w:r w:rsidRPr="00477612">
        <w:rPr>
          <w:rFonts w:ascii="Arial" w:hAnsi="Arial" w:cs="Arial"/>
          <w:i/>
          <w:iCs/>
          <w:sz w:val="20"/>
          <w:szCs w:val="20"/>
        </w:rPr>
        <w:t>nsp2</w:t>
      </w:r>
      <w:r w:rsidRPr="00477612">
        <w:rPr>
          <w:rFonts w:ascii="Arial" w:hAnsi="Arial" w:cs="Arial"/>
          <w:sz w:val="20"/>
          <w:szCs w:val="20"/>
        </w:rPr>
        <w:t xml:space="preserve">) were cultivated under sterile, low-nutrient conditions and inoculated with either the Lj-SPHERE SynCom (291 isolates) or the </w:t>
      </w:r>
      <w:r w:rsidRPr="00477612">
        <w:rPr>
          <w:rFonts w:ascii="Arial" w:hAnsi="Arial" w:cs="Arial"/>
          <w:i/>
          <w:iCs/>
          <w:sz w:val="20"/>
          <w:szCs w:val="20"/>
        </w:rPr>
        <w:t>Hordeum</w:t>
      </w:r>
      <w:r w:rsidRPr="00477612">
        <w:rPr>
          <w:rFonts w:ascii="Arial" w:hAnsi="Arial" w:cs="Arial"/>
          <w:sz w:val="20"/>
          <w:szCs w:val="20"/>
        </w:rPr>
        <w:t xml:space="preserve"> SynCom (316 isolates), respectively (</w:t>
      </w:r>
      <w:r w:rsidRPr="00477612">
        <w:rPr>
          <w:rFonts w:ascii="Arial" w:hAnsi="Arial" w:cs="Arial"/>
          <w:sz w:val="20"/>
          <w:szCs w:val="20"/>
          <w:highlight w:val="cyan"/>
        </w:rPr>
        <w:t>Fig. 6A</w:t>
      </w:r>
      <w:r w:rsidRPr="00477612">
        <w:rPr>
          <w:rFonts w:ascii="Arial" w:hAnsi="Arial" w:cs="Arial"/>
          <w:sz w:val="20"/>
          <w:szCs w:val="20"/>
        </w:rPr>
        <w:t>). Rhizosphere and root communities were analysed after three weeks using 16S rRNA (V5-V7) amplicon sequencing, alongside plant phenotypic measurements.</w:t>
      </w:r>
    </w:p>
    <w:p w14:paraId="3ECE7D0E" w14:textId="77777777" w:rsidR="00477612" w:rsidRPr="00477612" w:rsidRDefault="00477612" w:rsidP="00F24A94">
      <w:pPr>
        <w:spacing w:after="0"/>
        <w:jc w:val="both"/>
        <w:rPr>
          <w:rStyle w:val="CommentReference"/>
          <w:rFonts w:ascii="Arial" w:hAnsi="Arial" w:cs="Arial"/>
          <w:sz w:val="20"/>
          <w:szCs w:val="20"/>
        </w:rPr>
      </w:pPr>
      <w:r w:rsidRPr="00477612">
        <w:rPr>
          <w:rFonts w:ascii="Arial" w:hAnsi="Arial" w:cs="Arial"/>
          <w:sz w:val="20"/>
          <w:szCs w:val="20"/>
        </w:rPr>
        <w:t xml:space="preserve">In </w:t>
      </w:r>
      <w:r w:rsidRPr="00477612">
        <w:rPr>
          <w:rFonts w:ascii="Arial" w:hAnsi="Arial" w:cs="Arial"/>
          <w:i/>
          <w:iCs/>
          <w:sz w:val="20"/>
          <w:szCs w:val="20"/>
        </w:rPr>
        <w:t>Lotus</w:t>
      </w:r>
      <w:r w:rsidRPr="00477612">
        <w:rPr>
          <w:rFonts w:ascii="Arial" w:hAnsi="Arial" w:cs="Arial"/>
          <w:sz w:val="20"/>
          <w:szCs w:val="20"/>
        </w:rPr>
        <w:t xml:space="preserve">, all CSSP mutants exhibited reduced growth, with the strongest effects observed in </w:t>
      </w:r>
      <w:r w:rsidRPr="00477612">
        <w:rPr>
          <w:rFonts w:ascii="Arial" w:hAnsi="Arial" w:cs="Arial"/>
          <w:i/>
          <w:iCs/>
          <w:sz w:val="20"/>
          <w:szCs w:val="20"/>
        </w:rPr>
        <w:t>symrk</w:t>
      </w:r>
      <w:r w:rsidRPr="00477612">
        <w:rPr>
          <w:rFonts w:ascii="Arial" w:hAnsi="Arial" w:cs="Arial"/>
          <w:sz w:val="20"/>
          <w:szCs w:val="20"/>
        </w:rPr>
        <w:t xml:space="preserve"> and </w:t>
      </w:r>
      <w:r w:rsidRPr="00477612">
        <w:rPr>
          <w:rFonts w:ascii="Arial" w:hAnsi="Arial" w:cs="Arial"/>
          <w:i/>
          <w:iCs/>
          <w:sz w:val="20"/>
          <w:szCs w:val="20"/>
        </w:rPr>
        <w:t>nsp1</w:t>
      </w:r>
      <w:r w:rsidRPr="00477612">
        <w:rPr>
          <w:rFonts w:ascii="Arial" w:hAnsi="Arial" w:cs="Arial"/>
          <w:sz w:val="20"/>
          <w:szCs w:val="20"/>
        </w:rPr>
        <w:t xml:space="preserve"> mutants (</w:t>
      </w:r>
      <w:r w:rsidRPr="00477612">
        <w:rPr>
          <w:rFonts w:ascii="Arial" w:hAnsi="Arial" w:cs="Arial"/>
          <w:sz w:val="20"/>
          <w:szCs w:val="20"/>
          <w:highlight w:val="cyan"/>
        </w:rPr>
        <w:t>Fig. 6B</w:t>
      </w:r>
      <w:r w:rsidRPr="00477612">
        <w:rPr>
          <w:rFonts w:ascii="Arial" w:hAnsi="Arial" w:cs="Arial"/>
          <w:sz w:val="20"/>
          <w:szCs w:val="20"/>
        </w:rPr>
        <w:t>), consistent with results obtained in depleted soil conditions (</w:t>
      </w:r>
      <w:r w:rsidRPr="00477612">
        <w:rPr>
          <w:rFonts w:ascii="Arial" w:hAnsi="Arial" w:cs="Arial"/>
          <w:sz w:val="20"/>
          <w:szCs w:val="20"/>
          <w:highlight w:val="cyan"/>
        </w:rPr>
        <w:t>Fig. 4B</w:t>
      </w:r>
      <w:r w:rsidRPr="00477612">
        <w:rPr>
          <w:rFonts w:ascii="Arial" w:hAnsi="Arial" w:cs="Arial"/>
          <w:sz w:val="20"/>
          <w:szCs w:val="20"/>
        </w:rPr>
        <w:t xml:space="preserve">). None of the mutants developed root nodules, and thus, SNF formation was exclusive to </w:t>
      </w:r>
      <w:r w:rsidRPr="00477612">
        <w:rPr>
          <w:rFonts w:ascii="Arial" w:hAnsi="Arial" w:cs="Arial"/>
          <w:i/>
          <w:iCs/>
          <w:sz w:val="20"/>
          <w:szCs w:val="20"/>
        </w:rPr>
        <w:t>Lotus</w:t>
      </w:r>
      <w:r w:rsidRPr="00477612">
        <w:rPr>
          <w:rFonts w:ascii="Arial" w:hAnsi="Arial" w:cs="Arial"/>
          <w:sz w:val="20"/>
          <w:szCs w:val="20"/>
        </w:rPr>
        <w:t xml:space="preserve"> wild-type (</w:t>
      </w:r>
      <w:r w:rsidRPr="00477612">
        <w:rPr>
          <w:rFonts w:ascii="Arial" w:hAnsi="Arial" w:cs="Arial"/>
          <w:sz w:val="20"/>
          <w:szCs w:val="20"/>
          <w:highlight w:val="cyan"/>
        </w:rPr>
        <w:t>Suppl. Fig. 6C</w:t>
      </w:r>
      <w:r w:rsidRPr="00477612">
        <w:rPr>
          <w:rFonts w:ascii="Arial" w:hAnsi="Arial" w:cs="Arial"/>
          <w:sz w:val="20"/>
          <w:szCs w:val="20"/>
        </w:rPr>
        <w:t>). Alpha diversity of bacterial communities was generally comparable between the rhizosphere and root fractions, whereas nodule diversity was reduced, consistent with previous findings (</w:t>
      </w:r>
      <w:r w:rsidRPr="00477612">
        <w:rPr>
          <w:rFonts w:ascii="Arial" w:hAnsi="Arial" w:cs="Arial"/>
          <w:sz w:val="20"/>
          <w:szCs w:val="20"/>
          <w:highlight w:val="cyan"/>
        </w:rPr>
        <w:t>Suppl. Fig. 6A</w:t>
      </w:r>
      <w:r w:rsidRPr="00477612">
        <w:rPr>
          <w:rFonts w:ascii="Arial" w:hAnsi="Arial" w:cs="Arial"/>
          <w:sz w:val="20"/>
          <w:szCs w:val="20"/>
        </w:rPr>
        <w:t xml:space="preserve">). Between </w:t>
      </w:r>
      <w:r w:rsidRPr="00477612">
        <w:rPr>
          <w:rFonts w:ascii="Arial" w:hAnsi="Arial" w:cs="Arial"/>
          <w:i/>
          <w:iCs/>
          <w:sz w:val="20"/>
          <w:szCs w:val="20"/>
        </w:rPr>
        <w:t>Lotus</w:t>
      </w:r>
      <w:r w:rsidRPr="00477612">
        <w:rPr>
          <w:rFonts w:ascii="Arial" w:hAnsi="Arial" w:cs="Arial"/>
          <w:sz w:val="20"/>
          <w:szCs w:val="20"/>
        </w:rPr>
        <w:t xml:space="preserve"> genotypes, no significant differences in alpha diversity were observed, however, beta diversity analysis revealed a clear separation between wild-type and CSSP mutants in both rhizosphere and root compartments (</w:t>
      </w:r>
      <w:r w:rsidRPr="00477612">
        <w:rPr>
          <w:rFonts w:ascii="Arial" w:hAnsi="Arial" w:cs="Arial"/>
          <w:sz w:val="20"/>
          <w:szCs w:val="20"/>
          <w:highlight w:val="cyan"/>
        </w:rPr>
        <w:t>Suppl. Fig. 6A,D, Fig. 6C</w:t>
      </w:r>
      <w:r w:rsidRPr="00477612">
        <w:rPr>
          <w:rFonts w:ascii="Arial" w:hAnsi="Arial" w:cs="Arial"/>
          <w:sz w:val="20"/>
          <w:szCs w:val="20"/>
        </w:rPr>
        <w:t xml:space="preserve">). Additionally, rhizosphere communities of </w:t>
      </w:r>
      <w:r w:rsidRPr="00477612">
        <w:rPr>
          <w:rFonts w:ascii="Arial" w:hAnsi="Arial" w:cs="Arial"/>
          <w:i/>
          <w:iCs/>
          <w:sz w:val="20"/>
          <w:szCs w:val="20"/>
        </w:rPr>
        <w:t>ccamk</w:t>
      </w:r>
      <w:r w:rsidRPr="00477612">
        <w:rPr>
          <w:rFonts w:ascii="Arial" w:hAnsi="Arial" w:cs="Arial"/>
          <w:sz w:val="20"/>
          <w:szCs w:val="20"/>
        </w:rPr>
        <w:t xml:space="preserve"> mutants formed a distinct cluster, separate from both wild-type and other mutant genotypes. Several of the most abundant bacterial orders (</w:t>
      </w:r>
      <w:r w:rsidRPr="00477612">
        <w:rPr>
          <w:rFonts w:ascii="Arial" w:hAnsi="Arial" w:cs="Arial"/>
          <w:sz w:val="20"/>
          <w:szCs w:val="20"/>
          <w:highlight w:val="cyan"/>
        </w:rPr>
        <w:t>Suppl. Fig. 6F</w:t>
      </w:r>
      <w:r w:rsidRPr="00477612">
        <w:rPr>
          <w:rFonts w:ascii="Arial" w:hAnsi="Arial" w:cs="Arial"/>
          <w:sz w:val="20"/>
          <w:szCs w:val="20"/>
        </w:rPr>
        <w:t xml:space="preserve">), including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Flavobacteriales</w:t>
      </w:r>
      <w:r w:rsidRPr="00477612">
        <w:rPr>
          <w:rFonts w:ascii="Arial" w:hAnsi="Arial" w:cs="Arial"/>
          <w:sz w:val="20"/>
          <w:szCs w:val="20"/>
        </w:rPr>
        <w:t xml:space="preserve">, </w:t>
      </w:r>
      <w:r w:rsidRPr="00477612">
        <w:rPr>
          <w:rFonts w:ascii="Arial" w:hAnsi="Arial" w:cs="Arial"/>
          <w:i/>
          <w:iCs/>
          <w:sz w:val="20"/>
          <w:szCs w:val="20"/>
        </w:rPr>
        <w:t>Pseudomonadales</w:t>
      </w:r>
      <w:r w:rsidRPr="00477612">
        <w:rPr>
          <w:rFonts w:ascii="Arial" w:hAnsi="Arial" w:cs="Arial"/>
          <w:sz w:val="20"/>
          <w:szCs w:val="20"/>
        </w:rPr>
        <w:t xml:space="preserve">, </w:t>
      </w:r>
      <w:r w:rsidRPr="00477612">
        <w:rPr>
          <w:rFonts w:ascii="Arial" w:hAnsi="Arial" w:cs="Arial"/>
          <w:i/>
          <w:iCs/>
          <w:sz w:val="20"/>
          <w:szCs w:val="20"/>
        </w:rPr>
        <w:t>Xanthomonadales</w:t>
      </w:r>
      <w:r w:rsidRPr="00477612">
        <w:rPr>
          <w:rFonts w:ascii="Arial" w:hAnsi="Arial" w:cs="Arial"/>
          <w:sz w:val="20"/>
          <w:szCs w:val="20"/>
        </w:rPr>
        <w:t xml:space="preserve">, and </w:t>
      </w:r>
      <w:r w:rsidRPr="00477612">
        <w:rPr>
          <w:rFonts w:ascii="Arial" w:hAnsi="Arial" w:cs="Arial"/>
          <w:i/>
          <w:iCs/>
          <w:sz w:val="20"/>
          <w:szCs w:val="20"/>
        </w:rPr>
        <w:lastRenderedPageBreak/>
        <w:t>Rhizobiales</w:t>
      </w:r>
      <w:r w:rsidRPr="00477612">
        <w:rPr>
          <w:rFonts w:ascii="Arial" w:hAnsi="Arial" w:cs="Arial"/>
          <w:sz w:val="20"/>
          <w:szCs w:val="20"/>
        </w:rPr>
        <w:t xml:space="preserve">, showed altered relative abundances across </w:t>
      </w:r>
      <w:r w:rsidRPr="00477612">
        <w:rPr>
          <w:rFonts w:ascii="Arial" w:hAnsi="Arial" w:cs="Arial"/>
          <w:i/>
          <w:iCs/>
          <w:sz w:val="20"/>
          <w:szCs w:val="20"/>
        </w:rPr>
        <w:t>Lotus</w:t>
      </w:r>
      <w:r w:rsidRPr="00477612">
        <w:rPr>
          <w:rFonts w:ascii="Arial" w:hAnsi="Arial" w:cs="Arial"/>
          <w:sz w:val="20"/>
          <w:szCs w:val="20"/>
        </w:rPr>
        <w:t xml:space="preserve"> genotypes (</w:t>
      </w:r>
      <w:r w:rsidRPr="00477612">
        <w:rPr>
          <w:rFonts w:ascii="Arial" w:hAnsi="Arial" w:cs="Arial"/>
          <w:sz w:val="20"/>
          <w:szCs w:val="20"/>
          <w:highlight w:val="cyan"/>
        </w:rPr>
        <w:t>Fig. 6D, Suppl. Fig. 6F</w:t>
      </w:r>
      <w:r w:rsidRPr="00477612">
        <w:rPr>
          <w:rFonts w:ascii="Arial" w:hAnsi="Arial" w:cs="Arial"/>
          <w:sz w:val="20"/>
          <w:szCs w:val="20"/>
        </w:rPr>
        <w:t xml:space="preserve">). In roots, </w:t>
      </w:r>
      <w:r w:rsidRPr="00477612">
        <w:rPr>
          <w:rFonts w:ascii="Arial" w:hAnsi="Arial" w:cs="Arial"/>
          <w:i/>
          <w:iCs/>
          <w:sz w:val="20"/>
          <w:szCs w:val="20"/>
        </w:rPr>
        <w:t>Rhizobiales</w:t>
      </w:r>
      <w:r w:rsidRPr="00477612">
        <w:rPr>
          <w:rFonts w:ascii="Arial" w:hAnsi="Arial" w:cs="Arial"/>
          <w:sz w:val="20"/>
          <w:szCs w:val="20"/>
        </w:rPr>
        <w:t xml:space="preserve"> were significantly reduced in CSSP mutants, primarily due to the decline in abundance of symbiotic </w:t>
      </w:r>
      <w:r w:rsidRPr="00477612">
        <w:rPr>
          <w:rFonts w:ascii="Arial" w:hAnsi="Arial" w:cs="Arial"/>
          <w:i/>
          <w:iCs/>
          <w:sz w:val="20"/>
          <w:szCs w:val="20"/>
        </w:rPr>
        <w:t>Mesorhizobium</w:t>
      </w:r>
      <w:r w:rsidRPr="00477612">
        <w:rPr>
          <w:rFonts w:ascii="Arial" w:hAnsi="Arial" w:cs="Arial"/>
          <w:sz w:val="20"/>
          <w:szCs w:val="20"/>
        </w:rPr>
        <w:t xml:space="preserve"> isolates, which dominated wild-type roots and nodules but were nearly absent from mutant roots (</w:t>
      </w:r>
      <w:r w:rsidRPr="00477612">
        <w:rPr>
          <w:rFonts w:ascii="Arial" w:hAnsi="Arial" w:cs="Arial"/>
          <w:sz w:val="20"/>
          <w:szCs w:val="20"/>
          <w:highlight w:val="cyan"/>
        </w:rPr>
        <w:t>Fig.6D,E, Suppl. Fig. 7A,B</w:t>
      </w:r>
      <w:r w:rsidRPr="00477612">
        <w:rPr>
          <w:rFonts w:ascii="Arial" w:hAnsi="Arial" w:cs="Arial"/>
          <w:sz w:val="20"/>
          <w:szCs w:val="20"/>
        </w:rPr>
        <w:t>). More than 50% of detected isolates showed differential abundance in at least one CSSP mutant relative to wild-type (</w:t>
      </w:r>
      <w:r w:rsidRPr="00477612">
        <w:rPr>
          <w:rFonts w:ascii="Arial" w:hAnsi="Arial" w:cs="Arial"/>
          <w:sz w:val="20"/>
          <w:szCs w:val="20"/>
          <w:highlight w:val="cyan"/>
        </w:rPr>
        <w:t>Fig.6E, Suppl. Table 6</w:t>
      </w:r>
      <w:r w:rsidRPr="00477612">
        <w:rPr>
          <w:rFonts w:ascii="Arial" w:hAnsi="Arial" w:cs="Arial"/>
          <w:sz w:val="20"/>
          <w:szCs w:val="20"/>
        </w:rPr>
        <w:t xml:space="preserve">). These differentially abundant isolates were largely overlapping between rhizosphere and root fractions and spanned all major bacterial orders. Non-symbiotic </w:t>
      </w:r>
      <w:r w:rsidRPr="00477612">
        <w:rPr>
          <w:rFonts w:ascii="Arial" w:hAnsi="Arial" w:cs="Arial"/>
          <w:i/>
          <w:iCs/>
          <w:sz w:val="20"/>
          <w:szCs w:val="20"/>
        </w:rPr>
        <w:t>Rhizobiales</w:t>
      </w:r>
      <w:r w:rsidRPr="00477612">
        <w:rPr>
          <w:rFonts w:ascii="Arial" w:hAnsi="Arial" w:cs="Arial"/>
          <w:sz w:val="20"/>
          <w:szCs w:val="20"/>
        </w:rPr>
        <w:t xml:space="preserve"> genera increased in abundance, as well as a range of </w:t>
      </w:r>
      <w:r w:rsidRPr="00477612">
        <w:rPr>
          <w:rFonts w:ascii="Arial" w:hAnsi="Arial" w:cs="Arial"/>
          <w:i/>
          <w:iCs/>
          <w:sz w:val="20"/>
          <w:szCs w:val="20"/>
        </w:rPr>
        <w:t>Burkholderiales</w:t>
      </w:r>
      <w:r w:rsidRPr="00477612">
        <w:rPr>
          <w:rFonts w:ascii="Arial" w:hAnsi="Arial" w:cs="Arial"/>
          <w:sz w:val="20"/>
          <w:szCs w:val="20"/>
        </w:rPr>
        <w:t xml:space="preserve"> and </w:t>
      </w:r>
      <w:r w:rsidRPr="00477612">
        <w:rPr>
          <w:rFonts w:ascii="Arial" w:hAnsi="Arial" w:cs="Arial"/>
          <w:i/>
          <w:iCs/>
          <w:sz w:val="20"/>
          <w:szCs w:val="20"/>
        </w:rPr>
        <w:t>Pseudomonadales</w:t>
      </w:r>
      <w:r w:rsidRPr="00477612">
        <w:rPr>
          <w:rFonts w:ascii="Arial" w:hAnsi="Arial" w:cs="Arial"/>
          <w:sz w:val="20"/>
          <w:szCs w:val="20"/>
        </w:rPr>
        <w:t>. While some isolates showed consistent changes in abundance across all mutants, others exhibited genotype-specific effects (</w:t>
      </w:r>
      <w:r w:rsidRPr="00477612">
        <w:rPr>
          <w:rFonts w:ascii="Arial" w:hAnsi="Arial" w:cs="Arial"/>
          <w:sz w:val="20"/>
          <w:szCs w:val="20"/>
          <w:highlight w:val="cyan"/>
        </w:rPr>
        <w:t>Fig. 6E</w:t>
      </w:r>
      <w:r w:rsidRPr="00477612">
        <w:rPr>
          <w:rFonts w:ascii="Arial" w:hAnsi="Arial" w:cs="Arial"/>
          <w:sz w:val="20"/>
          <w:szCs w:val="20"/>
        </w:rPr>
        <w:t>).</w:t>
      </w:r>
    </w:p>
    <w:p w14:paraId="12A05B54" w14:textId="77777777"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In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also exhibited reduced growth (</w:t>
      </w:r>
      <w:r w:rsidRPr="00477612">
        <w:rPr>
          <w:rFonts w:ascii="Arial" w:hAnsi="Arial" w:cs="Arial"/>
          <w:sz w:val="20"/>
          <w:szCs w:val="20"/>
          <w:highlight w:val="cyan"/>
        </w:rPr>
        <w:t>Fig. 6B</w:t>
      </w:r>
      <w:r w:rsidRPr="00477612">
        <w:rPr>
          <w:rFonts w:ascii="Arial" w:hAnsi="Arial" w:cs="Arial"/>
          <w:sz w:val="20"/>
          <w:szCs w:val="20"/>
        </w:rPr>
        <w:t>). Alpha diversity did not differ significantly between compartments or genotypes (</w:t>
      </w:r>
      <w:r w:rsidRPr="00477612">
        <w:rPr>
          <w:rFonts w:ascii="Arial" w:hAnsi="Arial" w:cs="Arial"/>
          <w:sz w:val="20"/>
          <w:szCs w:val="20"/>
          <w:highlight w:val="cyan"/>
        </w:rPr>
        <w:t>Suppl. Fig. 6B</w:t>
      </w:r>
      <w:r w:rsidRPr="00477612">
        <w:rPr>
          <w:rFonts w:ascii="Arial" w:hAnsi="Arial" w:cs="Arial"/>
          <w:sz w:val="20"/>
          <w:szCs w:val="20"/>
        </w:rPr>
        <w:t xml:space="preserve">), whereas beta diversity analysis revealed that wild-type assembled communities distinct from those of CSSP mutants, particularly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w:t>
      </w:r>
      <w:r w:rsidRPr="00477612">
        <w:rPr>
          <w:rFonts w:ascii="Arial" w:hAnsi="Arial" w:cs="Arial"/>
          <w:sz w:val="20"/>
          <w:szCs w:val="20"/>
          <w:highlight w:val="cyan"/>
        </w:rPr>
        <w:t>Fig. 6C</w:t>
      </w:r>
      <w:r w:rsidRPr="00477612">
        <w:rPr>
          <w:rFonts w:ascii="Arial" w:hAnsi="Arial" w:cs="Arial"/>
          <w:sz w:val="20"/>
          <w:szCs w:val="20"/>
        </w:rPr>
        <w:t>). Among the most abundant bacterial orders (</w:t>
      </w:r>
      <w:r w:rsidRPr="00477612">
        <w:rPr>
          <w:rFonts w:ascii="Arial" w:hAnsi="Arial" w:cs="Arial"/>
          <w:sz w:val="20"/>
          <w:szCs w:val="20"/>
          <w:highlight w:val="cyan"/>
        </w:rPr>
        <w:t>Suppl. Fig. 6G</w:t>
      </w:r>
      <w:r w:rsidRPr="00477612">
        <w:rPr>
          <w:rFonts w:ascii="Arial" w:hAnsi="Arial" w:cs="Arial"/>
          <w:sz w:val="20"/>
          <w:szCs w:val="20"/>
        </w:rPr>
        <w:t xml:space="preserve">),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Pseudomonadales</w:t>
      </w:r>
      <w:r w:rsidRPr="00477612">
        <w:rPr>
          <w:rFonts w:ascii="Arial" w:hAnsi="Arial" w:cs="Arial"/>
          <w:sz w:val="20"/>
          <w:szCs w:val="20"/>
        </w:rPr>
        <w:t xml:space="preserve">, </w:t>
      </w:r>
      <w:r w:rsidRPr="00477612">
        <w:rPr>
          <w:rFonts w:ascii="Arial" w:hAnsi="Arial" w:cs="Arial"/>
          <w:i/>
          <w:iCs/>
          <w:sz w:val="20"/>
          <w:szCs w:val="20"/>
        </w:rPr>
        <w:t>Rhizobiales</w:t>
      </w:r>
      <w:r w:rsidRPr="00477612">
        <w:rPr>
          <w:rFonts w:ascii="Arial" w:hAnsi="Arial" w:cs="Arial"/>
          <w:sz w:val="20"/>
          <w:szCs w:val="20"/>
        </w:rPr>
        <w:t xml:space="preserve">, </w:t>
      </w:r>
      <w:r w:rsidRPr="00477612">
        <w:rPr>
          <w:rFonts w:ascii="Arial" w:hAnsi="Arial" w:cs="Arial"/>
          <w:i/>
          <w:iCs/>
          <w:sz w:val="20"/>
          <w:szCs w:val="20"/>
        </w:rPr>
        <w:t>Sphingobacteriales</w:t>
      </w:r>
      <w:r w:rsidRPr="00477612">
        <w:rPr>
          <w:rFonts w:ascii="Arial" w:hAnsi="Arial" w:cs="Arial"/>
          <w:sz w:val="20"/>
          <w:szCs w:val="20"/>
        </w:rPr>
        <w:t>, and several other orders were differently represented when the CSSP was impaired (</w:t>
      </w:r>
      <w:r w:rsidRPr="00477612">
        <w:rPr>
          <w:rFonts w:ascii="Arial" w:hAnsi="Arial" w:cs="Arial"/>
          <w:sz w:val="20"/>
          <w:szCs w:val="20"/>
          <w:highlight w:val="cyan"/>
        </w:rPr>
        <w:t>Fig. 6D</w:t>
      </w:r>
      <w:r w:rsidRPr="00477612">
        <w:rPr>
          <w:rFonts w:ascii="Arial" w:hAnsi="Arial" w:cs="Arial"/>
          <w:sz w:val="20"/>
          <w:szCs w:val="20"/>
        </w:rPr>
        <w:t xml:space="preserve">). At the isolate level, a substantial proportion of the detected community (over 40%), spanning a diverse taxonomic range, exhibited genotype-dependent colonisation patterns </w:t>
      </w:r>
      <w:r w:rsidRPr="00477612">
        <w:rPr>
          <w:rFonts w:ascii="Arial" w:hAnsi="Arial" w:cs="Arial"/>
          <w:sz w:val="20"/>
          <w:szCs w:val="20"/>
          <w:highlight w:val="cyan"/>
        </w:rPr>
        <w:t>(Fig. 6E, Suppl. Table 7</w:t>
      </w:r>
      <w:r w:rsidRPr="00477612">
        <w:rPr>
          <w:rFonts w:ascii="Arial" w:hAnsi="Arial" w:cs="Arial"/>
          <w:sz w:val="20"/>
          <w:szCs w:val="20"/>
        </w:rPr>
        <w:t>), highlighting both shared and host-specific responses.</w:t>
      </w:r>
    </w:p>
    <w:p w14:paraId="0E5E4CCC" w14:textId="2CDC65CE" w:rsidR="00E6133D" w:rsidRPr="00477612" w:rsidRDefault="00477612" w:rsidP="00477612">
      <w:pPr>
        <w:keepNext/>
        <w:pBdr>
          <w:top w:val="nil"/>
          <w:left w:val="nil"/>
          <w:bottom w:val="nil"/>
          <w:right w:val="nil"/>
          <w:between w:val="nil"/>
        </w:pBdr>
        <w:spacing w:before="240" w:after="60"/>
        <w:contextualSpacing/>
        <w:jc w:val="both"/>
        <w:rPr>
          <w:rFonts w:ascii="Arial" w:hAnsi="Arial" w:cs="Arial"/>
          <w:color w:val="000000"/>
          <w:sz w:val="20"/>
          <w:szCs w:val="20"/>
        </w:rPr>
      </w:pPr>
      <w:r w:rsidRPr="00477612">
        <w:rPr>
          <w:rFonts w:ascii="Arial" w:hAnsi="Arial" w:cs="Arial"/>
          <w:sz w:val="20"/>
          <w:szCs w:val="20"/>
        </w:rPr>
        <w:t xml:space="preserve">In summary, the observed effects of impaired symbiosis signalling on plant performance, root exudation, and root-associated microbiota were recapitulated in reconstitution experiments using defined complex SynComs. These results confirm that CSSP genes influence not only symbiotic interactions but also the assembly of commensal root microbiota, with pronounced effects on plant growth. Although members of </w:t>
      </w:r>
      <w:r w:rsidRPr="00477612">
        <w:rPr>
          <w:rFonts w:ascii="Arial" w:hAnsi="Arial" w:cs="Arial"/>
          <w:i/>
          <w:iCs/>
          <w:sz w:val="20"/>
          <w:szCs w:val="20"/>
        </w:rPr>
        <w:t>Rhizobiales</w:t>
      </w:r>
      <w:r w:rsidRPr="00477612">
        <w:rPr>
          <w:rFonts w:ascii="Arial" w:hAnsi="Arial" w:cs="Arial"/>
          <w:sz w:val="20"/>
          <w:szCs w:val="20"/>
        </w:rPr>
        <w:t xml:space="preserve"> and </w:t>
      </w:r>
      <w:r w:rsidRPr="00477612">
        <w:rPr>
          <w:rFonts w:ascii="Arial" w:hAnsi="Arial" w:cs="Arial"/>
          <w:i/>
          <w:iCs/>
          <w:sz w:val="20"/>
          <w:szCs w:val="20"/>
        </w:rPr>
        <w:t>Burkholderiales</w:t>
      </w:r>
      <w:r w:rsidRPr="00477612">
        <w:rPr>
          <w:rFonts w:ascii="Arial" w:hAnsi="Arial" w:cs="Arial"/>
          <w:sz w:val="20"/>
          <w:szCs w:val="20"/>
        </w:rPr>
        <w:t xml:space="preserve"> were most strongly affected in both hosts, the specific bacterial taxa responding to CSSP impairment differed across mutants and plant species, underscoring broader and host-specific roles of symbiosis signalling pathways in structuring root-associated bacterial communities.</w:t>
      </w:r>
    </w:p>
    <w:p w14:paraId="52B4E9C0"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785B12" w14:textId="77777777" w:rsidR="00980C22" w:rsidRPr="00F649EE"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F649EE" w:rsidRDefault="00474D11"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Discussion</w:t>
      </w:r>
      <w:r w:rsidR="00E6133D" w:rsidRPr="00F649EE">
        <w:rPr>
          <w:rFonts w:ascii="Arial" w:hAnsi="Arial" w:cs="Arial"/>
          <w:b/>
          <w:color w:val="000000"/>
          <w:sz w:val="20"/>
          <w:szCs w:val="20"/>
        </w:rPr>
        <w:t xml:space="preserve"> </w:t>
      </w:r>
    </w:p>
    <w:p w14:paraId="2212F9A2" w14:textId="77777777" w:rsidR="00980C22" w:rsidRDefault="00980C22" w:rsidP="00980C22">
      <w:pPr>
        <w:pBdr>
          <w:top w:val="nil"/>
          <w:left w:val="nil"/>
          <w:bottom w:val="nil"/>
          <w:right w:val="nil"/>
          <w:between w:val="nil"/>
        </w:pBdr>
        <w:spacing w:after="0"/>
        <w:contextualSpacing/>
        <w:rPr>
          <w:rFonts w:ascii="Arial" w:hAnsi="Arial" w:cs="Arial"/>
          <w:color w:val="000000"/>
          <w:sz w:val="20"/>
          <w:szCs w:val="20"/>
        </w:rPr>
      </w:pPr>
    </w:p>
    <w:p w14:paraId="33B0A6CB" w14:textId="7666164E"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Plants integrate environmental and genetic cues to shape root-associated microbiomes, yet the mechanisms linking host signalling pathways to microbial recruitment remain poorly understood. Here, we show that the CSSP regulates root microbiota composition, plant growth, and exudate profiles in both the legume </w:t>
      </w:r>
      <w:r w:rsidRPr="00477612">
        <w:rPr>
          <w:rFonts w:ascii="Arial" w:hAnsi="Arial" w:cs="Arial"/>
          <w:i/>
          <w:iCs/>
          <w:sz w:val="20"/>
          <w:szCs w:val="20"/>
        </w:rPr>
        <w:t>Lotus japonicus</w:t>
      </w:r>
      <w:r w:rsidRPr="00477612">
        <w:rPr>
          <w:rFonts w:ascii="Arial" w:hAnsi="Arial" w:cs="Arial"/>
          <w:sz w:val="20"/>
          <w:szCs w:val="20"/>
        </w:rPr>
        <w:t xml:space="preserve"> and the cereal </w:t>
      </w:r>
      <w:r w:rsidRPr="00477612">
        <w:rPr>
          <w:rFonts w:ascii="Arial" w:hAnsi="Arial" w:cs="Arial"/>
          <w:i/>
          <w:iCs/>
          <w:sz w:val="20"/>
          <w:szCs w:val="20"/>
        </w:rPr>
        <w:t>Hordeum vulgare</w:t>
      </w:r>
      <w:r w:rsidRPr="00477612">
        <w:rPr>
          <w:rFonts w:ascii="Arial" w:hAnsi="Arial" w:cs="Arial"/>
          <w:sz w:val="20"/>
          <w:szCs w:val="20"/>
        </w:rPr>
        <w:t>. Soil- and SynCom-grown plants reveal that host species and genotype shape microbial communities, with CSSP-dependent changes in root exudates driving key shifts in microbiome assembly. These findings highlight a central role for symbiosis signalling beyond classical symbioses in shaping plant-microbe interactions.</w:t>
      </w:r>
    </w:p>
    <w:p w14:paraId="4145688F" w14:textId="75254253" w:rsidR="00477612" w:rsidRPr="00477612" w:rsidRDefault="00477612" w:rsidP="00F24A94">
      <w:pPr>
        <w:spacing w:after="0"/>
        <w:jc w:val="both"/>
        <w:rPr>
          <w:rFonts w:ascii="Arial" w:hAnsi="Arial" w:cs="Arial"/>
          <w:color w:val="000000" w:themeColor="text1"/>
          <w:sz w:val="20"/>
          <w:szCs w:val="20"/>
        </w:rPr>
      </w:pPr>
      <w:r w:rsidRPr="00477612">
        <w:rPr>
          <w:rFonts w:ascii="Arial" w:hAnsi="Arial" w:cs="Arial"/>
          <w:sz w:val="20"/>
          <w:szCs w:val="20"/>
        </w:rPr>
        <w:t xml:space="preserve">Long-term soil fertilisation leaves persistent imprints on microbial communities, known as soil microbial memory or legacy effects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{"citationID":"dudcPCTM","properties":{"unsorted":false,"formattedCitation":"(72, 73)","plainCitation":"(72, 73)","noteIndex":0},"citationItems":[{"id":582,"uris":["http://zotero.org/users/16875439/items/PCNJQEHI"],"itemData":{"id":582,"type":"article-journal","abstract":"Drought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(72, 73)</w:t>
      </w:r>
      <w:r w:rsidRPr="00477612">
        <w:rPr>
          <w:rFonts w:ascii="Arial" w:hAnsi="Arial" w:cs="Arial"/>
          <w:sz w:val="20"/>
          <w:szCs w:val="20"/>
        </w:rPr>
        <w:fldChar w:fldCharType="end"/>
      </w:r>
      <w:r w:rsidRPr="00477612">
        <w:rPr>
          <w:rFonts w:ascii="Arial" w:hAnsi="Arial" w:cs="Arial"/>
          <w:sz w:val="20"/>
          <w:szCs w:val="20"/>
        </w:rPr>
        <w:t xml:space="preserve">. NPK, PK, and UF regimes generated distinct soil microbiota, with strong beta-diversity shifts while alpha diversity remained largely stable. This indicates that nutrient inputs reorganise community composition without changing overall bacterial richness, likely reflecting functional redundancy and niche construction within the soil microbiome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V9yC2Epc","properties":{"unsorted":false,"formattedCitation":"(74\\uc0\\u8211{}77)","plainCitation":"(74–77)","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(74–77)</w:t>
      </w:r>
      <w:r w:rsidRPr="00477612">
        <w:rPr>
          <w:rFonts w:ascii="Arial" w:hAnsi="Arial" w:cs="Arial"/>
          <w:sz w:val="20"/>
          <w:szCs w:val="20"/>
        </w:rPr>
        <w:fldChar w:fldCharType="end"/>
      </w:r>
      <w:r w:rsidRPr="00477612">
        <w:rPr>
          <w:rFonts w:ascii="Arial" w:hAnsi="Arial" w:cs="Arial"/>
          <w:sz w:val="20"/>
          <w:szCs w:val="20"/>
        </w:rPr>
        <w:t xml:space="preserve">. </w:t>
      </w:r>
      <w:r w:rsidRPr="00477612">
        <w:rPr>
          <w:rFonts w:ascii="Arial" w:hAnsi="Arial" w:cs="Arial"/>
          <w:color w:val="000000" w:themeColor="text1"/>
          <w:sz w:val="20"/>
          <w:szCs w:val="20"/>
        </w:rPr>
        <w:t xml:space="preserve">Microbiota composition proved to be a robust predictor of plant nutrient status, with predictive ASVs differing between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and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highlighting </w:t>
      </w:r>
      <w:r w:rsidRPr="00477612">
        <w:rPr>
          <w:rFonts w:ascii="Arial" w:hAnsi="Arial" w:cs="Arial"/>
          <w:sz w:val="20"/>
          <w:szCs w:val="20"/>
        </w:rPr>
        <w:t xml:space="preserve">species-specific recruitment under </w:t>
      </w:r>
      <w:r w:rsidRPr="00477612">
        <w:rPr>
          <w:rFonts w:ascii="Arial" w:hAnsi="Arial" w:cs="Arial"/>
          <w:color w:val="000000" w:themeColor="text1"/>
          <w:sz w:val="20"/>
          <w:szCs w:val="20"/>
        </w:rPr>
        <w:t xml:space="preserve">contrasting soils. These results support the emerging concept that plant-associated microbiomes can provide diagnostic and predictive information on host nutritional state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{"citationID":"PrERH22g","properties":{"unsorted":false,"formattedCitation":"(54, 78\\uc0\\u8211{}80)","plainCitation":"(54, 78–80)","noteIndex":0},"citationItems":[{"id":577,"uris":["http://zotero.org/users/16875439/items/4YKUMNYH"],"itemData":{"id":577,"type":"article-journal","abstract":"Symbiosis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color w:val="000000"/>
          <w:sz w:val="20"/>
          <w:szCs w:val="20"/>
        </w:rPr>
        <w:t>(54, 78–80)</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While extending this approach to other soils will require testing across different environments and microbial communities, our findings demonstrate the power of integrating soil legacy with host-microbiome interactions to monitor and potentially guide plant nutrition and precision nutrient management.</w:t>
      </w:r>
    </w:p>
    <w:p w14:paraId="2377FE29" w14:textId="2AFBC8F8" w:rsidR="00477612" w:rsidRPr="00477612" w:rsidRDefault="00477612" w:rsidP="00F24A94">
      <w:pPr>
        <w:spacing w:after="0"/>
        <w:jc w:val="both"/>
        <w:rPr>
          <w:rFonts w:ascii="Arial" w:hAnsi="Arial" w:cs="Arial"/>
          <w:sz w:val="20"/>
          <w:szCs w:val="20"/>
        </w:rPr>
      </w:pPr>
      <w:r w:rsidRPr="00477612">
        <w:rPr>
          <w:rFonts w:ascii="Arial" w:hAnsi="Arial" w:cs="Arial"/>
          <w:color w:val="000000" w:themeColor="text1"/>
          <w:sz w:val="20"/>
          <w:szCs w:val="20"/>
        </w:rPr>
        <w:t xml:space="preserve">Beyond soil-driven effects, our results reveal that the CSSP exerts broad, host-specific influence over root-associated microbial communities, extending well beyond its canonical roles in rhizobial </w:t>
      </w:r>
      <w:r w:rsidRPr="00477612">
        <w:rPr>
          <w:rFonts w:ascii="Arial" w:hAnsi="Arial" w:cs="Arial"/>
          <w:color w:val="000000" w:themeColor="text1"/>
          <w:sz w:val="20"/>
          <w:szCs w:val="20"/>
        </w:rPr>
        <w:lastRenderedPageBreak/>
        <w:t xml:space="preserve">and mycorrhizal interactions. Host-specific microbial assembly represents a first layer of community differentiation, as previously established. On top of this, we uncover a second, CSSP-dependent layer, in which plants actively shape microbiota composition, likely through modulation of root exudates. In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disruption of nodule formation and rhizobial communication allowed commensal enrichment and niche replacement. In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CSSP mutants exhibited extensive microbial shifts despite the absence of AMS, demonstrating conserved effects across hosts. Prior work in legumes documented similar community shifts upon SNF disruption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t3JKNVK3","properties":{"unsorted":false,"formattedCitation":"(55\\uc0\\u8211{}57)","plainCitation":"(55–57)","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color w:val="000000"/>
          <w:sz w:val="20"/>
          <w:szCs w:val="20"/>
        </w:rPr>
        <w:t>(55–57)</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xml:space="preserve">, and rhizobial Nod-factor production has been linked to microbial connectivity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{"citationID":"9EvwSLes","properties":{"unsorted":false,"formattedCitation":"(54)","plainCitation":"(54)","noteIndex":0},"citationItems":[{"id":577,"uris":["http://zotero.org/users/16875439/items/4YKUMNYH"],"itemData":{"id":577,"type":"article-journal","abstract":"Symbiosis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noProof/>
          <w:color w:val="000000" w:themeColor="text1"/>
          <w:sz w:val="20"/>
          <w:szCs w:val="20"/>
        </w:rPr>
        <w:t>(54)</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xml:space="preserve">. SynCom experiments confirmed these effects are plant-intrinsic, with CSSP genes modulating bacterial recruitment in a gene-specific manner, likely via altered signalling and nutrient allocation. Root </w:t>
      </w:r>
      <w:r w:rsidRPr="00477612">
        <w:rPr>
          <w:rFonts w:ascii="Arial" w:hAnsi="Arial" w:cs="Arial"/>
          <w:sz w:val="20"/>
          <w:szCs w:val="20"/>
        </w:rPr>
        <w:t>exudate profiling revealed extensive metabolic reprogramming in CSSP mutants, with diversity patterns closely mirroring microbial shifts, indicating strong linkage between metabolic outputs and microbial assembly. Conserved effects on phenylpropanoid metabolism (cinnamic acids, flavonoids, coumarins) were observed in both hosts, consistent with mechanistic links between CCaMK-dependent Ca</w:t>
      </w:r>
      <w:r w:rsidRPr="00477612">
        <w:rPr>
          <w:rFonts w:ascii="Arial" w:hAnsi="Arial" w:cs="Arial"/>
          <w:sz w:val="20"/>
          <w:szCs w:val="20"/>
          <w:vertAlign w:val="superscript"/>
        </w:rPr>
        <w:t>2+</w:t>
      </w:r>
      <w:r w:rsidRPr="00477612">
        <w:rPr>
          <w:rFonts w:ascii="Arial" w:hAnsi="Arial" w:cs="Arial"/>
          <w:sz w:val="20"/>
          <w:szCs w:val="20"/>
        </w:rPr>
        <w:t xml:space="preserve"> signalling and secondary metabolite production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{"citationID":"MwntmYJB","properties":{"unsorted":false,"formattedCitation":"(42)","plainCitation":"(42)","noteIndex":0},"citationItems":[{"id":609,"uris":["http://zotero.org/users/16875439/items/3DR3LB7T"],"itemData":{"id":609,"type":"article-journal","abstract":"Nutrient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w:t>
      </w:r>
      <w:r w:rsidRPr="00477612">
        <w:rPr>
          <w:rFonts w:ascii="Arial" w:hAnsi="Arial" w:cs="Arial"/>
          <w:sz w:val="20"/>
          <w:szCs w:val="20"/>
        </w:rPr>
        <w:fldChar w:fldCharType="end"/>
      </w:r>
      <w:r w:rsidRPr="00477612">
        <w:rPr>
          <w:rFonts w:ascii="Arial" w:hAnsi="Arial" w:cs="Arial"/>
          <w:sz w:val="20"/>
          <w:szCs w:val="20"/>
        </w:rPr>
        <w:t xml:space="preserve">. Recent work identified an NSP2-MYB transcriptional module that directly activates flavonoid biosynthesis during nodulation, providing mechanistic evidence that symbiosis signalling pathways actively regulate specialised metabolism to shape microbial interactions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D9zKC13s","properties":{"unsorted":false,"formattedCitation":"(81)","plainCitation":"(81)","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(81)</w:t>
      </w:r>
      <w:r w:rsidRPr="00477612">
        <w:rPr>
          <w:rFonts w:ascii="Arial" w:hAnsi="Arial" w:cs="Arial"/>
          <w:sz w:val="20"/>
          <w:szCs w:val="20"/>
        </w:rPr>
        <w:fldChar w:fldCharType="end"/>
      </w:r>
      <w:r w:rsidRPr="00477612">
        <w:rPr>
          <w:rFonts w:ascii="Arial" w:hAnsi="Arial" w:cs="Arial"/>
          <w:sz w:val="20"/>
          <w:szCs w:val="20"/>
        </w:rPr>
        <w:t xml:space="preserve">. At the same time, host-specific changes were evident. </w:t>
      </w:r>
      <w:r w:rsidRPr="00477612">
        <w:rPr>
          <w:rFonts w:ascii="Arial" w:hAnsi="Arial" w:cs="Arial"/>
          <w:i/>
          <w:iCs/>
          <w:sz w:val="20"/>
          <w:szCs w:val="20"/>
        </w:rPr>
        <w:t>Lotus</w:t>
      </w:r>
      <w:r w:rsidRPr="00477612">
        <w:rPr>
          <w:rFonts w:ascii="Arial" w:hAnsi="Arial" w:cs="Arial"/>
          <w:sz w:val="20"/>
          <w:szCs w:val="20"/>
        </w:rPr>
        <w:t xml:space="preserve"> mutants showed reduced isoflavonoids, aligning with their established role in rhizobial signalling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{"citationID":"GZTlSgXg","properties":{"unsorted":false,"formattedCitation":"(23)","plainCitation":"(23)","noteIndex":0},"citationItems":[{"id":611,"uris":["http://zotero.org/users/16875439/items/FH53YT7M"],"itemData":{"id":611,"type":"article-journal","abstract":"Flavonoids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(23)</w:t>
      </w:r>
      <w:r w:rsidRPr="00477612">
        <w:rPr>
          <w:rFonts w:ascii="Arial" w:hAnsi="Arial" w:cs="Arial"/>
          <w:sz w:val="20"/>
          <w:szCs w:val="20"/>
        </w:rPr>
        <w:fldChar w:fldCharType="end"/>
      </w:r>
      <w:r w:rsidRPr="00477612">
        <w:rPr>
          <w:rFonts w:ascii="Arial" w:hAnsi="Arial" w:cs="Arial"/>
          <w:sz w:val="20"/>
          <w:szCs w:val="20"/>
        </w:rPr>
        <w:t xml:space="preserve">, whereas </w:t>
      </w:r>
      <w:r w:rsidRPr="00477612">
        <w:rPr>
          <w:rFonts w:ascii="Arial" w:hAnsi="Arial" w:cs="Arial"/>
          <w:i/>
          <w:iCs/>
          <w:sz w:val="20"/>
          <w:szCs w:val="20"/>
        </w:rPr>
        <w:t>Hordeum</w:t>
      </w:r>
      <w:r w:rsidRPr="00477612">
        <w:rPr>
          <w:rFonts w:ascii="Arial" w:hAnsi="Arial" w:cs="Arial"/>
          <w:sz w:val="20"/>
          <w:szCs w:val="20"/>
        </w:rPr>
        <w:t xml:space="preserve"> mutants displayed differential exudation of gibberellin and abscisic acid, known modulators of AMS signalling, phosphate-dependent symbiosis suppression, and stress responses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70TFRDQ1","properties":{"unsorted":false,"formattedCitation":"(82\\uc0\\u8211{}87)","plainCitation":"(82–87)","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(82–87)</w:t>
      </w:r>
      <w:r w:rsidRPr="00477612">
        <w:rPr>
          <w:rFonts w:ascii="Arial" w:hAnsi="Arial" w:cs="Arial"/>
          <w:sz w:val="20"/>
          <w:szCs w:val="20"/>
        </w:rPr>
        <w:fldChar w:fldCharType="end"/>
      </w:r>
      <w:r w:rsidRPr="00477612">
        <w:rPr>
          <w:rFonts w:ascii="Arial" w:hAnsi="Arial" w:cs="Arial"/>
          <w:sz w:val="20"/>
          <w:szCs w:val="20"/>
        </w:rPr>
        <w:t xml:space="preserve">. Together, these findings support a model in which CSSP genes coordinate metabolic flux through signalling and defence pathways, fine-tuning chemical outputs that govern microbial recruitment and activity. Divergent metabolic wiring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underscores that CSSP regulation of metabolism is host-specific and shaped by evolutionary adaptation.</w:t>
      </w:r>
    </w:p>
    <w:p w14:paraId="2F5B2D34" w14:textId="08712688"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Among CSSP components, CCaMK emerged as a central hub linking symbiosis signalling to broader microbial regulation. CCaMK impairment led to pronounced shifts in root-associated bacterial communities, forming genotype-specific clusters and altering the abundance of specific ASVs. In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mutants showed reduced growth in soil and SynCom conditions but grew comparably to wild-type plants under axenic conditions, indicating that CCaMK mediates plant responses to microbial colonisation rather than intrinsic growth. Similar microbe-dependent growth penalties have been observed in AM-defective maize under field conditions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{"citationID":"YaCTrSq6","properties":{"unsorted":false,"formattedCitation":"(88)","plainCitation":"(88)","noteIndex":0},"citationItems":[{"id":627,"uris":["http://zotero.org/users/16875439/items/EBSXKHEE"],"itemData":{"id":627,"type":"article-journal","abstract":"Contents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(88)</w:t>
      </w:r>
      <w:r w:rsidRPr="00477612">
        <w:rPr>
          <w:rFonts w:ascii="Arial" w:hAnsi="Arial" w:cs="Arial"/>
          <w:sz w:val="20"/>
          <w:szCs w:val="20"/>
        </w:rPr>
        <w:fldChar w:fldCharType="end"/>
      </w:r>
      <w:r w:rsidRPr="00477612">
        <w:rPr>
          <w:rFonts w:ascii="Arial" w:hAnsi="Arial" w:cs="Arial"/>
          <w:sz w:val="20"/>
          <w:szCs w:val="20"/>
        </w:rPr>
        <w:t>. These results suggest that CCaMK integrates Ca</w:t>
      </w:r>
      <w:r w:rsidRPr="00477612">
        <w:rPr>
          <w:rFonts w:ascii="Arial" w:hAnsi="Arial" w:cs="Arial"/>
          <w:sz w:val="20"/>
          <w:szCs w:val="20"/>
          <w:vertAlign w:val="superscript"/>
        </w:rPr>
        <w:t>2+</w:t>
      </w:r>
      <w:r w:rsidRPr="00477612">
        <w:rPr>
          <w:rFonts w:ascii="Arial" w:hAnsi="Arial" w:cs="Arial"/>
          <w:sz w:val="20"/>
          <w:szCs w:val="20"/>
        </w:rPr>
        <w:t xml:space="preserve"> signalling with downstream metabolic outputs to modulate microbial community assembly, balancing colonisation by beneficial microbes while constraining maladaptive interactions. Emerging evidence also links CCaMK to immunity and stress responses, further positioning it as a central regulator of plant-microbe co-regulation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{"citationID":"tucpdMrw","properties":{"unsorted":false,"formattedCitation":"(42, 89)","plainCitation":"(42, 89)","noteIndex":0},"citationItems":[{"id":609,"uris":["http://zotero.org/users/16875439/items/3DR3LB7T"],"itemData":{"id":609,"type":"article-journal","abstract":"Nutrient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(42, 89)</w:t>
      </w:r>
      <w:r w:rsidRPr="00477612">
        <w:rPr>
          <w:rFonts w:ascii="Arial" w:hAnsi="Arial" w:cs="Arial"/>
          <w:sz w:val="20"/>
          <w:szCs w:val="20"/>
        </w:rPr>
        <w:fldChar w:fldCharType="end"/>
      </w:r>
      <w:r w:rsidRPr="00477612">
        <w:rPr>
          <w:rFonts w:ascii="Arial" w:hAnsi="Arial" w:cs="Arial"/>
          <w:sz w:val="20"/>
          <w:szCs w:val="20"/>
        </w:rPr>
        <w:t>.</w:t>
      </w:r>
    </w:p>
    <w:p w14:paraId="03B296D3" w14:textId="57E1DE8F" w:rsidR="00E6133D" w:rsidRPr="00477612" w:rsidRDefault="00477612" w:rsidP="00F24A94">
      <w:pPr>
        <w:pBdr>
          <w:top w:val="nil"/>
          <w:left w:val="nil"/>
          <w:bottom w:val="nil"/>
          <w:right w:val="nil"/>
          <w:between w:val="nil"/>
        </w:pBdr>
        <w:spacing w:after="0"/>
        <w:contextualSpacing/>
        <w:jc w:val="both"/>
        <w:rPr>
          <w:rFonts w:ascii="Arial" w:hAnsi="Arial" w:cs="Arial"/>
          <w:b/>
          <w:color w:val="000000"/>
          <w:sz w:val="20"/>
          <w:szCs w:val="20"/>
        </w:rPr>
      </w:pPr>
      <w:r w:rsidRPr="00477612">
        <w:rPr>
          <w:rFonts w:ascii="Arial" w:hAnsi="Arial" w:cs="Arial"/>
          <w:sz w:val="20"/>
          <w:szCs w:val="20"/>
        </w:rPr>
        <w:t>Collectively, our findings demonstrate that CSSP genes orchestrate plant growth, root exudation, and microbial community assembly even under complex soil conditions. Beyond mutant studies, natural variation in CSSP genes offers a promising avenue to exploit plant-microbe interactions for agricultural benefit. By understanding how host genetics shape microbial recruitment and nutrient acquisition, it may be possible to select or engineer crops that efficiently harness beneficial microbiomes, even in non-symbiotic contexts. These results highlight that ancient symbiotic signalling pathways modulate broader microbial networks, offering opportunities to improve plant performance, nutrient use efficiency, and resilience through microbiome-informed breeding and management strategies.</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Materials and 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5A4AAFC6" w14:textId="2F462CA4" w:rsidR="00477612" w:rsidRDefault="00477612" w:rsidP="00F24A94">
      <w:pPr>
        <w:spacing w:after="0"/>
        <w:jc w:val="both"/>
        <w:rPr>
          <w:rFonts w:ascii="Arial" w:hAnsi="Arial" w:cs="Arial"/>
          <w:sz w:val="20"/>
          <w:szCs w:val="20"/>
        </w:rPr>
      </w:pPr>
      <w:r w:rsidRPr="00477612">
        <w:rPr>
          <w:rFonts w:ascii="Arial" w:hAnsi="Arial" w:cs="Arial"/>
          <w:b/>
          <w:bCs/>
          <w:sz w:val="20"/>
          <w:szCs w:val="20"/>
        </w:rPr>
        <w:t>Plant material, seed sterilisation and germination</w:t>
      </w:r>
      <w:r w:rsidR="00F24A94">
        <w:rPr>
          <w:rFonts w:ascii="Arial" w:hAnsi="Arial" w:cs="Arial"/>
          <w:b/>
          <w:bCs/>
          <w:sz w:val="20"/>
          <w:szCs w:val="20"/>
        </w:rPr>
        <w:t xml:space="preserve">. </w:t>
      </w:r>
      <w:r w:rsidRPr="00477612">
        <w:rPr>
          <w:rFonts w:ascii="Arial" w:hAnsi="Arial" w:cs="Arial"/>
          <w:i/>
          <w:iCs/>
          <w:sz w:val="20"/>
          <w:szCs w:val="20"/>
        </w:rPr>
        <w:t>Lotus japonicus</w:t>
      </w:r>
      <w:r w:rsidRPr="00477612">
        <w:rPr>
          <w:rFonts w:ascii="Arial" w:hAnsi="Arial" w:cs="Arial"/>
          <w:sz w:val="20"/>
          <w:szCs w:val="20"/>
        </w:rPr>
        <w:t xml:space="preserve"> ecotype Gifu-B129 and </w:t>
      </w:r>
      <w:r w:rsidRPr="00477612">
        <w:rPr>
          <w:rFonts w:ascii="Arial" w:hAnsi="Arial" w:cs="Arial"/>
          <w:i/>
          <w:iCs/>
          <w:sz w:val="20"/>
          <w:szCs w:val="20"/>
        </w:rPr>
        <w:t>Hordeum vulgare</w:t>
      </w:r>
      <w:r w:rsidRPr="00477612">
        <w:rPr>
          <w:rFonts w:ascii="Arial" w:hAnsi="Arial" w:cs="Arial"/>
          <w:sz w:val="20"/>
          <w:szCs w:val="20"/>
        </w:rPr>
        <w:t xml:space="preserve"> var. Golden Promise were used as wild-type genotypes. Common Symbiosis Signalling Pathway (CSSP) mutants </w:t>
      </w:r>
      <w:r w:rsidRPr="00477612">
        <w:rPr>
          <w:rFonts w:ascii="Arial" w:hAnsi="Arial" w:cs="Arial"/>
          <w:i/>
          <w:iCs/>
          <w:sz w:val="20"/>
          <w:szCs w:val="20"/>
        </w:rPr>
        <w:t>symrk-3</w:t>
      </w:r>
      <w:r w:rsidRPr="00477612">
        <w:rPr>
          <w:rFonts w:ascii="Arial" w:hAnsi="Arial" w:cs="Arial"/>
          <w:sz w:val="20"/>
          <w:szCs w:val="20"/>
        </w:rPr>
        <w:t xml:space="preserve">, </w:t>
      </w:r>
      <w:r w:rsidRPr="00477612">
        <w:rPr>
          <w:rFonts w:ascii="Arial" w:hAnsi="Arial" w:cs="Arial"/>
          <w:i/>
          <w:iCs/>
          <w:sz w:val="20"/>
          <w:szCs w:val="20"/>
        </w:rPr>
        <w:t>ccamk-13</w:t>
      </w:r>
      <w:r w:rsidRPr="00477612">
        <w:rPr>
          <w:rFonts w:ascii="Arial" w:hAnsi="Arial" w:cs="Arial"/>
          <w:sz w:val="20"/>
          <w:szCs w:val="20"/>
        </w:rPr>
        <w:t xml:space="preserve">, </w:t>
      </w:r>
      <w:r w:rsidRPr="00477612">
        <w:rPr>
          <w:rFonts w:ascii="Arial" w:hAnsi="Arial" w:cs="Arial"/>
          <w:i/>
          <w:iCs/>
          <w:sz w:val="20"/>
          <w:szCs w:val="20"/>
        </w:rPr>
        <w:t>nsp1-1</w:t>
      </w:r>
      <w:r w:rsidRPr="00477612">
        <w:rPr>
          <w:rFonts w:ascii="Arial" w:hAnsi="Arial" w:cs="Arial"/>
          <w:sz w:val="20"/>
          <w:szCs w:val="20"/>
        </w:rPr>
        <w:t xml:space="preserve">, and </w:t>
      </w:r>
      <w:r w:rsidRPr="00477612">
        <w:rPr>
          <w:rFonts w:ascii="Arial" w:hAnsi="Arial" w:cs="Arial"/>
          <w:i/>
          <w:iCs/>
          <w:sz w:val="20"/>
          <w:szCs w:val="20"/>
        </w:rPr>
        <w:t>nsp2-3</w:t>
      </w:r>
      <w:r w:rsidRPr="00477612">
        <w:rPr>
          <w:rFonts w:ascii="Arial" w:hAnsi="Arial" w:cs="Arial"/>
          <w:sz w:val="20"/>
          <w:szCs w:val="20"/>
        </w:rPr>
        <w:t xml:space="preserve"> were used for </w:t>
      </w:r>
      <w:r w:rsidRPr="00477612">
        <w:rPr>
          <w:rFonts w:ascii="Arial" w:hAnsi="Arial" w:cs="Arial"/>
          <w:i/>
          <w:iCs/>
          <w:sz w:val="20"/>
          <w:szCs w:val="20"/>
        </w:rPr>
        <w:t>Lotus</w:t>
      </w:r>
      <w:r w:rsidRPr="00477612">
        <w:rPr>
          <w:rFonts w:ascii="Arial" w:hAnsi="Arial" w:cs="Arial"/>
          <w:sz w:val="20"/>
          <w:szCs w:val="20"/>
        </w:rPr>
        <w:t xml:space="preserve"> (Aarhus University LORE1 insertion mutant collection in the Gifu-B129 background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{"citationID":"sjT24Ti9","properties":{"unsorted":false,"formattedCitation":"(90)","plainCitation":"(90)","noteIndex":0},"citationItems":[{"id":514,"uris":["http://zotero.org/users/16875439/items/H2CTBIHK"],"itemData":{"id":514,"type":"article-journal","abstract":"Long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(90)</w:t>
      </w:r>
      <w:r w:rsidRPr="00477612">
        <w:rPr>
          <w:rFonts w:ascii="Arial" w:hAnsi="Arial" w:cs="Arial"/>
          <w:sz w:val="20"/>
          <w:szCs w:val="20"/>
        </w:rPr>
        <w:fldChar w:fldCharType="end"/>
      </w:r>
      <w:r w:rsidRPr="00477612">
        <w:rPr>
          <w:rFonts w:ascii="Arial" w:hAnsi="Arial" w:cs="Arial"/>
          <w:sz w:val="20"/>
          <w:szCs w:val="20"/>
        </w:rPr>
        <w:t xml:space="preserve">), while CRISPR/Cas9 mutants </w:t>
      </w:r>
      <w:r w:rsidRPr="00477612">
        <w:rPr>
          <w:rFonts w:ascii="Arial" w:hAnsi="Arial" w:cs="Arial"/>
          <w:i/>
          <w:iCs/>
          <w:sz w:val="20"/>
          <w:szCs w:val="20"/>
        </w:rPr>
        <w:t>symrk-1</w:t>
      </w:r>
      <w:r w:rsidRPr="00477612">
        <w:rPr>
          <w:rFonts w:ascii="Arial" w:hAnsi="Arial" w:cs="Arial"/>
          <w:sz w:val="20"/>
          <w:szCs w:val="20"/>
        </w:rPr>
        <w:t xml:space="preserve">, </w:t>
      </w:r>
      <w:r w:rsidRPr="00477612">
        <w:rPr>
          <w:rFonts w:ascii="Arial" w:hAnsi="Arial" w:cs="Arial"/>
          <w:i/>
          <w:iCs/>
          <w:sz w:val="20"/>
          <w:szCs w:val="20"/>
        </w:rPr>
        <w:t>ccamk-1</w:t>
      </w:r>
      <w:r w:rsidRPr="00477612">
        <w:rPr>
          <w:rFonts w:ascii="Arial" w:hAnsi="Arial" w:cs="Arial"/>
          <w:sz w:val="20"/>
          <w:szCs w:val="20"/>
        </w:rPr>
        <w:t xml:space="preserve">, </w:t>
      </w:r>
      <w:r w:rsidRPr="00477612">
        <w:rPr>
          <w:rFonts w:ascii="Arial" w:hAnsi="Arial" w:cs="Arial"/>
          <w:i/>
          <w:iCs/>
          <w:sz w:val="20"/>
          <w:szCs w:val="20"/>
        </w:rPr>
        <w:t>nsp1-1</w:t>
      </w:r>
      <w:r w:rsidRPr="00477612">
        <w:rPr>
          <w:rFonts w:ascii="Arial" w:hAnsi="Arial" w:cs="Arial"/>
          <w:sz w:val="20"/>
          <w:szCs w:val="20"/>
        </w:rPr>
        <w:t xml:space="preserve">, and </w:t>
      </w:r>
      <w:r w:rsidRPr="00477612">
        <w:rPr>
          <w:rFonts w:ascii="Arial" w:hAnsi="Arial" w:cs="Arial"/>
          <w:i/>
          <w:iCs/>
          <w:sz w:val="20"/>
          <w:szCs w:val="20"/>
        </w:rPr>
        <w:t>nsp2-1</w:t>
      </w:r>
      <w:r w:rsidRPr="00477612">
        <w:rPr>
          <w:rFonts w:ascii="Arial" w:hAnsi="Arial" w:cs="Arial"/>
          <w:sz w:val="20"/>
          <w:szCs w:val="20"/>
        </w:rPr>
        <w:t xml:space="preserve"> were used for </w:t>
      </w:r>
      <w:r w:rsidRPr="00477612">
        <w:rPr>
          <w:rFonts w:ascii="Arial" w:hAnsi="Arial" w:cs="Arial"/>
          <w:i/>
          <w:iCs/>
          <w:sz w:val="20"/>
          <w:szCs w:val="20"/>
        </w:rPr>
        <w:t xml:space="preserve">Hordeum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{"citationID":"Gc1wWL3s","properties":{"unsorted":false,"formattedCitation":"(49)","plainCitation":"(49)","noteIndex":0},"citationItems":[{"id":509,"uris":["http://zotero.org/users/16875439/items/EMRWXF56"],"itemData":{"id":509,"type":"article-journal","abstract":"Many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(49)</w:t>
      </w:r>
      <w:r w:rsidRPr="00477612">
        <w:rPr>
          <w:rFonts w:ascii="Arial" w:hAnsi="Arial" w:cs="Arial"/>
          <w:sz w:val="20"/>
          <w:szCs w:val="20"/>
        </w:rPr>
        <w:fldChar w:fldCharType="end"/>
      </w:r>
      <w:r w:rsidRPr="00477612">
        <w:rPr>
          <w:rFonts w:ascii="Arial" w:hAnsi="Arial" w:cs="Arial"/>
          <w:sz w:val="20"/>
          <w:szCs w:val="20"/>
        </w:rPr>
        <w:t xml:space="preserve">. Seeds </w:t>
      </w:r>
      <w:r w:rsidRPr="00477612">
        <w:rPr>
          <w:rFonts w:ascii="Arial" w:hAnsi="Arial" w:cs="Arial"/>
          <w:sz w:val="20"/>
          <w:szCs w:val="20"/>
        </w:rPr>
        <w:lastRenderedPageBreak/>
        <w:t xml:space="preserve">were surface-sterilised in 4% (v/v) bleach for 5min, followed by five washes with sterile Milli-Q water. </w:t>
      </w:r>
      <w:r w:rsidRPr="00477612">
        <w:rPr>
          <w:rFonts w:ascii="Arial" w:hAnsi="Arial" w:cs="Arial"/>
          <w:i/>
          <w:iCs/>
          <w:sz w:val="20"/>
          <w:szCs w:val="20"/>
        </w:rPr>
        <w:t>Lotus</w:t>
      </w:r>
      <w:r w:rsidRPr="00477612">
        <w:rPr>
          <w:rFonts w:ascii="Arial" w:hAnsi="Arial" w:cs="Arial"/>
          <w:sz w:val="20"/>
          <w:szCs w:val="20"/>
        </w:rPr>
        <w:t xml:space="preserve"> seeds were additionally scarified with sandpaper prior to sterilisation and incubated overnight at 4°C with gentle shaking in sterile Milli-Q. Seeds were germinated on moist filter paper in sterile square Petri dishes for five days (21°C; 14/10h day/night cycle).</w:t>
      </w:r>
    </w:p>
    <w:p w14:paraId="33FAAAA5" w14:textId="77777777" w:rsidR="00F24A94" w:rsidRPr="00F24A94" w:rsidRDefault="00F24A94" w:rsidP="00F24A94">
      <w:pPr>
        <w:spacing w:after="0"/>
        <w:jc w:val="both"/>
        <w:rPr>
          <w:rFonts w:ascii="Arial" w:hAnsi="Arial" w:cs="Arial"/>
          <w:b/>
          <w:bCs/>
          <w:sz w:val="20"/>
          <w:szCs w:val="20"/>
        </w:rPr>
      </w:pPr>
    </w:p>
    <w:p w14:paraId="66CA2A51" w14:textId="2C5F79B5"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Askov soils</w:t>
      </w:r>
      <w:r w:rsidR="00F24A94">
        <w:rPr>
          <w:rFonts w:ascii="Arial" w:hAnsi="Arial" w:cs="Arial"/>
          <w:b/>
          <w:bCs/>
          <w:sz w:val="20"/>
          <w:szCs w:val="20"/>
        </w:rPr>
        <w:t xml:space="preserve">. </w:t>
      </w:r>
      <w:r w:rsidRPr="00477612">
        <w:rPr>
          <w:rFonts w:ascii="Arial" w:hAnsi="Arial" w:cs="Arial"/>
          <w:sz w:val="20"/>
          <w:szCs w:val="20"/>
        </w:rPr>
        <w:t xml:space="preserve">The soils used in this study were sampled from the Askov long-term field experiment at Askov Experimental Station, Southern Denmark (GPS: 55.466 N, 9.117 E), which has maintained defined fertiliser treatments since 1894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{"citationID":"zkJGmc3r","properties":{"unsorted":false,"formattedCitation":"(59)","plainCitation":"(59)","noteIndex":0},"citationItems":[{"id":511,"uris":["http://zotero.org/users/16875439/items/HBBTIG79"],"itemData":{"id":511,"type":"article-journal","abstract":"Long-term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(59)</w:t>
      </w:r>
      <w:r w:rsidRPr="00477612">
        <w:rPr>
          <w:rFonts w:ascii="Arial" w:hAnsi="Arial" w:cs="Arial"/>
          <w:sz w:val="20"/>
          <w:szCs w:val="20"/>
        </w:rPr>
        <w:fldChar w:fldCharType="end"/>
      </w:r>
      <w:r w:rsidRPr="00477612">
        <w:rPr>
          <w:rFonts w:ascii="Arial" w:hAnsi="Arial" w:cs="Arial"/>
          <w:sz w:val="20"/>
          <w:szCs w:val="20"/>
        </w:rPr>
        <w:t>. In 2019, soil was collected from the B3 field at a depth of 5-15cm from three plots representing different fertilisation regimes: (1) soil receiving a standard dose of nitrogen, phosphorus, and potassium mineral fertilisation (plot 311, here termed NPK), (2) nitrogen-deficient soil receiving only phosphorus and potassium (plot 321, here termed PK), and (3) unfertilised soil (plot 322, here termed UF). The NPK and UF treatments were initiated in 1894, whereas the PK treatment began in 1935.</w:t>
      </w:r>
    </w:p>
    <w:p w14:paraId="74FA1F6C" w14:textId="0BA24D99" w:rsidR="00477612" w:rsidRPr="00477612" w:rsidRDefault="00477612" w:rsidP="00477612">
      <w:pPr>
        <w:jc w:val="both"/>
        <w:rPr>
          <w:rFonts w:ascii="Arial" w:hAnsi="Arial" w:cs="Arial"/>
          <w:sz w:val="20"/>
          <w:szCs w:val="20"/>
        </w:rPr>
      </w:pPr>
      <w:r w:rsidRPr="00477612">
        <w:rPr>
          <w:rFonts w:ascii="Arial" w:hAnsi="Arial" w:cs="Arial"/>
          <w:sz w:val="20"/>
          <w:szCs w:val="20"/>
        </w:rPr>
        <w:t>The Askov soil is a light sandy loam, consisting of 76% sand, 13% silt, and 11% clay, and is classified as an Alfisol (Typic Hapludalf, USDA Soil Taxonomy). The field follows a four-course crop rotation of winter wheat, silage maize, spring barley, and a grass-clover mixture for cutting. Lime is applied every 4-5 years to maintain a soil pH of 5.5-6.5. The mean annual precipitation and temperature at the site are 953mm and 8.8</w:t>
      </w:r>
      <w:r w:rsidRPr="00477612">
        <w:rPr>
          <w:rFonts w:ascii="Arial" w:hAnsi="Arial" w:cs="Arial"/>
          <w:sz w:val="20"/>
          <w:szCs w:val="20"/>
          <w:vertAlign w:val="superscript"/>
        </w:rPr>
        <w:t>o</w:t>
      </w:r>
      <w:r w:rsidRPr="00477612">
        <w:rPr>
          <w:rFonts w:ascii="Arial" w:hAnsi="Arial" w:cs="Arial"/>
          <w:sz w:val="20"/>
          <w:szCs w:val="20"/>
        </w:rPr>
        <w:t xml:space="preserve">C, respectively (1999-2018). </w:t>
      </w:r>
    </w:p>
    <w:p w14:paraId="550BE40F" w14:textId="69292F00" w:rsidR="00477612" w:rsidRDefault="00477612" w:rsidP="00F24A94">
      <w:pPr>
        <w:spacing w:after="0"/>
        <w:jc w:val="both"/>
        <w:rPr>
          <w:rFonts w:ascii="Arial" w:hAnsi="Arial" w:cs="Arial"/>
          <w:sz w:val="20"/>
          <w:szCs w:val="20"/>
        </w:rPr>
      </w:pPr>
      <w:r w:rsidRPr="00477612">
        <w:rPr>
          <w:rFonts w:ascii="Arial" w:hAnsi="Arial" w:cs="Arial"/>
          <w:b/>
          <w:bCs/>
          <w:sz w:val="20"/>
          <w:szCs w:val="20"/>
        </w:rPr>
        <w:t>Plant cultivation in Askov soils with different fertilisation regimes</w:t>
      </w:r>
      <w:r w:rsidR="00F24A94">
        <w:rPr>
          <w:rFonts w:ascii="Arial" w:hAnsi="Arial" w:cs="Arial"/>
          <w:b/>
          <w:bCs/>
          <w:sz w:val="20"/>
          <w:szCs w:val="20"/>
        </w:rPr>
        <w:t xml:space="preserve">. </w:t>
      </w:r>
      <w:r w:rsidRPr="00477612">
        <w:rPr>
          <w:rFonts w:ascii="Arial" w:hAnsi="Arial" w:cs="Arial"/>
          <w:sz w:val="20"/>
          <w:szCs w:val="20"/>
        </w:rPr>
        <w:t xml:space="preserve">Germinated seedlings were transplanted into sterile 4x4x9cm pots containing a bottom layer of autoclaved LECA (2-4mm; 120°C for 20min; 50ml), an upper layer of soil (80ml), and a 1cm top layer of autoclaved fine vermiculite. Three soils from the long-term Askov experiment (NPK, PK, and UF; see “Askov Soils” section) were used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{"citationID":"GZtfSbxN","properties":{"unsorted":false,"formattedCitation":"(59)","plainCitation":"(59)","noteIndex":0},"citationItems":[{"id":511,"uris":["http://zotero.org/users/16875439/items/HBBTIG79"],"itemData":{"id":511,"type":"article-journal","abstract":"Long-term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(59)</w:t>
      </w:r>
      <w:r w:rsidRPr="00477612">
        <w:rPr>
          <w:rFonts w:ascii="Arial" w:hAnsi="Arial" w:cs="Arial"/>
          <w:sz w:val="20"/>
          <w:szCs w:val="20"/>
        </w:rPr>
        <w:fldChar w:fldCharType="end"/>
      </w:r>
      <w:r w:rsidRPr="00477612">
        <w:rPr>
          <w:rFonts w:ascii="Arial" w:hAnsi="Arial" w:cs="Arial"/>
          <w:sz w:val="20"/>
          <w:szCs w:val="20"/>
        </w:rPr>
        <w:t xml:space="preserve">. Six biological replicates were included per condition. Each replicate consisted of three pots with one plant per pot for </w:t>
      </w:r>
      <w:r w:rsidRPr="00477612">
        <w:rPr>
          <w:rFonts w:ascii="Arial" w:hAnsi="Arial" w:cs="Arial"/>
          <w:i/>
          <w:iCs/>
          <w:sz w:val="20"/>
          <w:szCs w:val="20"/>
        </w:rPr>
        <w:t>Hordeum</w:t>
      </w:r>
      <w:r w:rsidRPr="00477612">
        <w:rPr>
          <w:rFonts w:ascii="Arial" w:hAnsi="Arial" w:cs="Arial"/>
          <w:sz w:val="20"/>
          <w:szCs w:val="20"/>
        </w:rPr>
        <w:t xml:space="preserve"> (total n=18) and ten plants per pot for </w:t>
      </w:r>
      <w:r w:rsidRPr="00477612">
        <w:rPr>
          <w:rFonts w:ascii="Arial" w:hAnsi="Arial" w:cs="Arial"/>
          <w:i/>
          <w:iCs/>
          <w:sz w:val="20"/>
          <w:szCs w:val="20"/>
        </w:rPr>
        <w:t xml:space="preserve">Lotus </w:t>
      </w:r>
      <w:r w:rsidRPr="00477612">
        <w:rPr>
          <w:rFonts w:ascii="Arial" w:hAnsi="Arial" w:cs="Arial"/>
          <w:sz w:val="20"/>
          <w:szCs w:val="20"/>
        </w:rPr>
        <w:t xml:space="preserve">(total n=60), except for </w:t>
      </w:r>
      <w:r w:rsidRPr="00477612">
        <w:rPr>
          <w:rFonts w:ascii="Arial" w:hAnsi="Arial" w:cs="Arial"/>
          <w:i/>
          <w:sz w:val="20"/>
          <w:szCs w:val="20"/>
        </w:rPr>
        <w:t>Lotus</w:t>
      </w:r>
      <w:r w:rsidRPr="00477612">
        <w:rPr>
          <w:rFonts w:ascii="Arial" w:hAnsi="Arial" w:cs="Arial"/>
          <w:sz w:val="20"/>
          <w:szCs w:val="20"/>
        </w:rPr>
        <w:t xml:space="preserve"> </w:t>
      </w:r>
      <w:r w:rsidRPr="00477612">
        <w:rPr>
          <w:rFonts w:ascii="Arial" w:hAnsi="Arial" w:cs="Arial"/>
          <w:i/>
          <w:sz w:val="20"/>
          <w:szCs w:val="20"/>
        </w:rPr>
        <w:t>symrk-3</w:t>
      </w:r>
      <w:r w:rsidRPr="00477612">
        <w:rPr>
          <w:rFonts w:ascii="Arial" w:hAnsi="Arial" w:cs="Arial"/>
          <w:sz w:val="20"/>
          <w:szCs w:val="20"/>
        </w:rPr>
        <w:t xml:space="preserve"> mutants, which contained six plants per pot due to reduced germination rates. Plants were watered with sterile Milli-Q water and cultivated in growth chambers with </w:t>
      </w:r>
      <w:r w:rsidRPr="00477612">
        <w:rPr>
          <w:rFonts w:ascii="Arial" w:hAnsi="Arial" w:cs="Arial"/>
          <w:i/>
          <w:iCs/>
          <w:sz w:val="20"/>
          <w:szCs w:val="20"/>
        </w:rPr>
        <w:t xml:space="preserve">Lotus </w:t>
      </w:r>
      <w:r w:rsidRPr="00477612">
        <w:rPr>
          <w:rFonts w:ascii="Arial" w:hAnsi="Arial" w:cs="Arial"/>
          <w:sz w:val="20"/>
          <w:szCs w:val="20"/>
        </w:rPr>
        <w:t>(16/8 day/night hours, 75/75% room humidity day/night, 22/18°C day/night temperature, 200/0μmol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or </w:t>
      </w:r>
      <w:r w:rsidRPr="00477612">
        <w:rPr>
          <w:rFonts w:ascii="Arial" w:hAnsi="Arial" w:cs="Arial"/>
          <w:i/>
          <w:iCs/>
          <w:sz w:val="20"/>
          <w:szCs w:val="20"/>
        </w:rPr>
        <w:t>Hordeum</w:t>
      </w:r>
      <w:r w:rsidRPr="00477612">
        <w:rPr>
          <w:rFonts w:ascii="Arial" w:hAnsi="Arial" w:cs="Arial"/>
          <w:sz w:val="20"/>
          <w:szCs w:val="20"/>
        </w:rPr>
        <w:t xml:space="preserve"> settings (16/8 day/night hours, 75/80% room humidity day/night, 18/16°C day/night temperatures, 200/0 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for three weeks.</w:t>
      </w:r>
    </w:p>
    <w:p w14:paraId="1BFF3731" w14:textId="77777777" w:rsidR="00F24A94" w:rsidRPr="00F24A94" w:rsidRDefault="00F24A94" w:rsidP="00F24A94">
      <w:pPr>
        <w:spacing w:after="0"/>
        <w:jc w:val="both"/>
        <w:rPr>
          <w:rFonts w:ascii="Arial" w:hAnsi="Arial" w:cs="Arial"/>
          <w:b/>
          <w:bCs/>
          <w:sz w:val="20"/>
          <w:szCs w:val="20"/>
        </w:rPr>
      </w:pPr>
    </w:p>
    <w:p w14:paraId="55F14D31" w14:textId="43E30EEF"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Sample collection and 16S rRNA amplicon sequencing of plants grown in Askov soils</w:t>
      </w:r>
      <w:r w:rsidR="00F24A94">
        <w:rPr>
          <w:rFonts w:ascii="Arial" w:hAnsi="Arial" w:cs="Arial"/>
          <w:b/>
          <w:bCs/>
          <w:sz w:val="20"/>
          <w:szCs w:val="20"/>
        </w:rPr>
        <w:t xml:space="preserve">. </w:t>
      </w:r>
      <w:r w:rsidRPr="00477612">
        <w:rPr>
          <w:rFonts w:ascii="Arial" w:hAnsi="Arial" w:cs="Arial"/>
          <w:sz w:val="20"/>
          <w:szCs w:val="20"/>
        </w:rPr>
        <w:t xml:space="preserve">The soil block containing plant roots was removed from the pots, and loosely adhering soil was manually removed. Shoots and roots were separated, and shoot fresh weight was recorded. Roots from plants belonging to one biological replicate were pooled and washed five times in sterile Milli-Q water by vigorous manual shaking for 30sec. ‘Rhizosphere’ samples were obtained from pellets collected after centrifugation of the first wash solution (15min at 4,000 x </w:t>
      </w:r>
      <w:r w:rsidRPr="00477612">
        <w:rPr>
          <w:rFonts w:ascii="Arial" w:hAnsi="Arial" w:cs="Arial"/>
          <w:i/>
          <w:iCs/>
          <w:sz w:val="20"/>
          <w:szCs w:val="20"/>
        </w:rPr>
        <w:t>g</w:t>
      </w:r>
      <w:r w:rsidRPr="00477612">
        <w:rPr>
          <w:rFonts w:ascii="Arial" w:hAnsi="Arial" w:cs="Arial"/>
          <w:sz w:val="20"/>
          <w:szCs w:val="20"/>
        </w:rPr>
        <w:t xml:space="preserve">). For </w:t>
      </w:r>
      <w:r w:rsidRPr="00477612">
        <w:rPr>
          <w:rFonts w:ascii="Arial" w:hAnsi="Arial" w:cs="Arial"/>
          <w:i/>
          <w:iCs/>
          <w:sz w:val="20"/>
          <w:szCs w:val="20"/>
        </w:rPr>
        <w:t xml:space="preserve">Lotus </w:t>
      </w:r>
      <w:r w:rsidRPr="00477612">
        <w:rPr>
          <w:rFonts w:ascii="Arial" w:hAnsi="Arial" w:cs="Arial"/>
          <w:sz w:val="20"/>
          <w:szCs w:val="20"/>
        </w:rPr>
        <w:t xml:space="preserve">wild-type plants, nodules were excised using scalpels and collected as separate ‘nodule’ fraction. Roots were blotted dry using sterile filter paper, cut into 1cm pieces, and collected as the ‘root’ fraction. Bulk soil samples were obtained from unplanted pots. </w:t>
      </w:r>
      <w:r w:rsidRPr="00477612">
        <w:rPr>
          <w:rFonts w:ascii="Arial" w:hAnsi="Arial" w:cs="Arial"/>
          <w:i/>
          <w:iCs/>
          <w:sz w:val="20"/>
          <w:szCs w:val="20"/>
        </w:rPr>
        <w:t xml:space="preserve">Lotus </w:t>
      </w:r>
      <w:r w:rsidRPr="00477612">
        <w:rPr>
          <w:rFonts w:ascii="Arial" w:hAnsi="Arial" w:cs="Arial"/>
          <w:sz w:val="20"/>
          <w:szCs w:val="20"/>
        </w:rPr>
        <w:t xml:space="preserve">root samples were stored in sterile 15ml tubes and </w:t>
      </w:r>
      <w:r w:rsidRPr="00477612">
        <w:rPr>
          <w:rFonts w:ascii="Arial" w:hAnsi="Arial" w:cs="Arial"/>
          <w:i/>
          <w:iCs/>
          <w:sz w:val="20"/>
          <w:szCs w:val="20"/>
        </w:rPr>
        <w:t>Hordeum</w:t>
      </w:r>
      <w:r w:rsidRPr="00477612">
        <w:rPr>
          <w:rFonts w:ascii="Arial" w:hAnsi="Arial" w:cs="Arial"/>
          <w:sz w:val="20"/>
          <w:szCs w:val="20"/>
        </w:rPr>
        <w:t xml:space="preserve"> root samples in 15ml Precellys tubes containing a single 1x1cm ceramic bead. Rhizosphere and bulk soil samples were transferred to tubes of of the Fast DNA Spin Kit for Soil (MP Biomedicals), snap-frozen in liquid nitrogen, and stored at -70°C until further processing. </w:t>
      </w:r>
    </w:p>
    <w:p w14:paraId="07D57BCD" w14:textId="7C7EF733" w:rsidR="00477612" w:rsidRPr="00477612" w:rsidRDefault="00477612" w:rsidP="00477612">
      <w:pPr>
        <w:jc w:val="both"/>
        <w:rPr>
          <w:rFonts w:ascii="Arial" w:hAnsi="Arial" w:cs="Arial"/>
          <w:sz w:val="20"/>
          <w:szCs w:val="20"/>
        </w:rPr>
      </w:pPr>
      <w:r w:rsidRPr="00477612">
        <w:rPr>
          <w:rFonts w:ascii="Arial" w:hAnsi="Arial" w:cs="Arial"/>
          <w:i/>
          <w:iCs/>
          <w:sz w:val="20"/>
          <w:szCs w:val="20"/>
        </w:rPr>
        <w:t xml:space="preserve">Lotus </w:t>
      </w:r>
      <w:r w:rsidRPr="00477612">
        <w:rPr>
          <w:rFonts w:ascii="Arial" w:hAnsi="Arial" w:cs="Arial"/>
          <w:sz w:val="20"/>
          <w:szCs w:val="20"/>
        </w:rPr>
        <w:t xml:space="preserve">root samples were homogenised by vortexing until a fine powder was obtained. </w:t>
      </w:r>
      <w:r w:rsidRPr="00477612">
        <w:rPr>
          <w:rFonts w:ascii="Arial" w:hAnsi="Arial" w:cs="Arial"/>
          <w:i/>
          <w:iCs/>
          <w:sz w:val="20"/>
          <w:szCs w:val="20"/>
        </w:rPr>
        <w:t>Hordeum</w:t>
      </w:r>
      <w:r w:rsidRPr="00477612">
        <w:rPr>
          <w:rFonts w:ascii="Arial" w:hAnsi="Arial" w:cs="Arial"/>
          <w:sz w:val="20"/>
          <w:szCs w:val="20"/>
        </w:rPr>
        <w:t xml:space="preserve"> roots were homogenised using a Precellys Homogeniser (Bertin Technologies) for 30sec at 6200rpm, repeated if necessary. A subset of homogenised root material was transferred to Fast DNA Spin Kit for Soil tubes (MP Biomedicals), and DNA was extracted according to the manufacturer’s protocol. DNA concentrations were determined using Quant-iT PicoGreen dsDNA assay kit (Life Technologies) and adjusted to 3.5ng/μl. Library preparation and sequencing were performed separately for </w:t>
      </w:r>
      <w:r w:rsidRPr="00477612">
        <w:rPr>
          <w:rFonts w:ascii="Arial" w:hAnsi="Arial" w:cs="Arial"/>
          <w:i/>
          <w:iCs/>
          <w:sz w:val="20"/>
          <w:szCs w:val="20"/>
        </w:rPr>
        <w:t xml:space="preserve">Lotus </w:t>
      </w:r>
      <w:r w:rsidRPr="00477612">
        <w:rPr>
          <w:rFonts w:ascii="Arial" w:hAnsi="Arial" w:cs="Arial"/>
          <w:sz w:val="20"/>
          <w:szCs w:val="20"/>
        </w:rPr>
        <w:t xml:space="preserve">and </w:t>
      </w:r>
      <w:r w:rsidRPr="00477612">
        <w:rPr>
          <w:rFonts w:ascii="Arial" w:hAnsi="Arial" w:cs="Arial"/>
          <w:i/>
          <w:iCs/>
          <w:sz w:val="20"/>
          <w:szCs w:val="20"/>
        </w:rPr>
        <w:t>Hordeum</w:t>
      </w:r>
      <w:r w:rsidRPr="00477612">
        <w:rPr>
          <w:rFonts w:ascii="Arial" w:hAnsi="Arial" w:cs="Arial"/>
          <w:sz w:val="20"/>
          <w:szCs w:val="20"/>
        </w:rPr>
        <w:t xml:space="preserve"> samples. Primers targeting the V5</w:t>
      </w:r>
      <w:r w:rsidRPr="00477612">
        <w:rPr>
          <w:rFonts w:ascii="Arial" w:hAnsi="Arial" w:cs="Arial"/>
          <w:b/>
          <w:bCs/>
          <w:sz w:val="20"/>
          <w:szCs w:val="20"/>
        </w:rPr>
        <w:t>-</w:t>
      </w:r>
      <w:r w:rsidRPr="00477612">
        <w:rPr>
          <w:rFonts w:ascii="Arial" w:hAnsi="Arial" w:cs="Arial"/>
          <w:sz w:val="20"/>
          <w:szCs w:val="20"/>
        </w:rPr>
        <w:t>V7 region of the bacterial 16S rRNA gene (</w:t>
      </w:r>
      <w:r w:rsidRPr="00477612">
        <w:rPr>
          <w:rFonts w:ascii="Arial" w:hAnsi="Arial" w:cs="Arial"/>
          <w:i/>
          <w:iCs/>
          <w:sz w:val="20"/>
          <w:szCs w:val="20"/>
        </w:rPr>
        <w:t>Lotus</w:t>
      </w:r>
      <w:r w:rsidRPr="00477612">
        <w:rPr>
          <w:rFonts w:ascii="Arial" w:hAnsi="Arial" w:cs="Arial"/>
          <w:sz w:val="20"/>
          <w:szCs w:val="20"/>
        </w:rPr>
        <w:t xml:space="preserve"> library: 799F AACMGGATTAGATACCCKG, 1192R ACGTCATCCCCACCTTCC; </w:t>
      </w:r>
      <w:r w:rsidRPr="00477612">
        <w:rPr>
          <w:rFonts w:ascii="Arial" w:hAnsi="Arial" w:cs="Arial"/>
          <w:i/>
          <w:iCs/>
          <w:sz w:val="20"/>
          <w:szCs w:val="20"/>
        </w:rPr>
        <w:t>Hordeum</w:t>
      </w:r>
      <w:r w:rsidRPr="00477612">
        <w:rPr>
          <w:rFonts w:ascii="Arial" w:hAnsi="Arial" w:cs="Arial"/>
          <w:sz w:val="20"/>
          <w:szCs w:val="20"/>
        </w:rPr>
        <w:t xml:space="preserve"> library: </w:t>
      </w:r>
      <w:r w:rsidRPr="00477612">
        <w:rPr>
          <w:rFonts w:ascii="Arial" w:hAnsi="Arial" w:cs="Arial"/>
          <w:color w:val="000000" w:themeColor="text1"/>
          <w:sz w:val="20"/>
          <w:szCs w:val="20"/>
        </w:rPr>
        <w:t xml:space="preserve">799F TCGTCGGCAGCGTCAGATGTGTATAAGAGACAGAACMGGATTAGATACCCKG, 1192R </w:t>
      </w:r>
      <w:r w:rsidRPr="00477612">
        <w:rPr>
          <w:rFonts w:ascii="Arial" w:hAnsi="Arial" w:cs="Arial"/>
          <w:sz w:val="20"/>
          <w:szCs w:val="20"/>
        </w:rPr>
        <w:lastRenderedPageBreak/>
        <w:t>GTCTCGTGGGCTCGGAGATG-TGTATAAGAGACAGACGTCATCCCCACCTTCC</w:t>
      </w:r>
      <w:r w:rsidRPr="00477612">
        <w:rPr>
          <w:rFonts w:ascii="Arial" w:hAnsi="Arial" w:cs="Arial"/>
          <w:color w:val="000000" w:themeColor="text1"/>
          <w:sz w:val="20"/>
          <w:szCs w:val="20"/>
        </w:rPr>
        <w:t xml:space="preserve">) were used in </w:t>
      </w:r>
      <w:r w:rsidRPr="00477612">
        <w:rPr>
          <w:rFonts w:ascii="Arial" w:hAnsi="Arial" w:cs="Arial"/>
          <w:sz w:val="20"/>
          <w:szCs w:val="20"/>
        </w:rPr>
        <w:t>an initial PCR followed by a second PCR using unique barcoded primers with Illumina MiSeq (</w:t>
      </w:r>
      <w:r w:rsidRPr="00477612">
        <w:rPr>
          <w:rFonts w:ascii="Arial" w:hAnsi="Arial" w:cs="Arial"/>
          <w:i/>
          <w:iCs/>
          <w:sz w:val="20"/>
          <w:szCs w:val="20"/>
        </w:rPr>
        <w:t>Lotus</w:t>
      </w:r>
      <w:r w:rsidRPr="00477612">
        <w:rPr>
          <w:rFonts w:ascii="Arial" w:hAnsi="Arial" w:cs="Arial"/>
          <w:sz w:val="20"/>
          <w:szCs w:val="20"/>
        </w:rPr>
        <w:t>) or NovaSeq (</w:t>
      </w:r>
      <w:r w:rsidRPr="00477612">
        <w:rPr>
          <w:rFonts w:ascii="Arial" w:hAnsi="Arial" w:cs="Arial"/>
          <w:i/>
          <w:iCs/>
          <w:sz w:val="20"/>
          <w:szCs w:val="20"/>
        </w:rPr>
        <w:t>Hordeum</w:t>
      </w:r>
      <w:r w:rsidRPr="00477612">
        <w:rPr>
          <w:rFonts w:ascii="Arial" w:hAnsi="Arial" w:cs="Arial"/>
          <w:sz w:val="20"/>
          <w:szCs w:val="20"/>
        </w:rPr>
        <w:t xml:space="preserve">) adapters for individual samples. For </w:t>
      </w:r>
      <w:r w:rsidRPr="00477612">
        <w:rPr>
          <w:rFonts w:ascii="Arial" w:hAnsi="Arial" w:cs="Arial"/>
          <w:i/>
          <w:iCs/>
          <w:sz w:val="20"/>
          <w:szCs w:val="20"/>
        </w:rPr>
        <w:t xml:space="preserve">Lotus </w:t>
      </w:r>
      <w:r w:rsidRPr="00477612">
        <w:rPr>
          <w:rFonts w:ascii="Arial" w:hAnsi="Arial" w:cs="Arial"/>
          <w:sz w:val="20"/>
          <w:szCs w:val="20"/>
        </w:rPr>
        <w:t xml:space="preserve">samples, synthetic spike-in DNA (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 copies) was included in PCR1, but excluded from downstream analyses. Amplicons were purified, pooled, size-selected by gel electrophoresis, and extracted using the Nucleospin Gel and PCR Clean-up Kit (Macherey-Nagel). Libraries were concentrated using AMPure XP beads (Beckman Coulter), quantified using Qubit dsDNA HS and BR Assay Kit (Thermo Fisher Scientific), and sequenced on Illumina MiSeq (Genewiz) for </w:t>
      </w:r>
      <w:r w:rsidRPr="00477612">
        <w:rPr>
          <w:rFonts w:ascii="Arial" w:hAnsi="Arial" w:cs="Arial"/>
          <w:i/>
          <w:iCs/>
          <w:sz w:val="20"/>
          <w:szCs w:val="20"/>
        </w:rPr>
        <w:t xml:space="preserve">Lotus </w:t>
      </w:r>
      <w:r w:rsidRPr="00477612">
        <w:rPr>
          <w:rFonts w:ascii="Arial" w:hAnsi="Arial" w:cs="Arial"/>
          <w:sz w:val="20"/>
          <w:szCs w:val="20"/>
        </w:rPr>
        <w:t xml:space="preserve">or NovaSeq (Novogene) platforms for </w:t>
      </w:r>
      <w:r w:rsidRPr="00477612">
        <w:rPr>
          <w:rFonts w:ascii="Arial" w:hAnsi="Arial" w:cs="Arial"/>
          <w:i/>
          <w:iCs/>
          <w:sz w:val="20"/>
          <w:szCs w:val="20"/>
        </w:rPr>
        <w:t>Hordeum</w:t>
      </w:r>
      <w:r w:rsidRPr="00477612">
        <w:rPr>
          <w:rFonts w:ascii="Arial" w:hAnsi="Arial" w:cs="Arial"/>
          <w:sz w:val="20"/>
          <w:szCs w:val="20"/>
        </w:rPr>
        <w:t xml:space="preserve"> samples.</w:t>
      </w:r>
    </w:p>
    <w:p w14:paraId="72AA74EE" w14:textId="35457F35" w:rsidR="00477612" w:rsidRDefault="00477612" w:rsidP="00F24A94">
      <w:pPr>
        <w:spacing w:after="0"/>
        <w:jc w:val="both"/>
        <w:rPr>
          <w:rFonts w:ascii="Arial" w:hAnsi="Arial" w:cs="Arial"/>
          <w:sz w:val="20"/>
          <w:szCs w:val="20"/>
        </w:rPr>
      </w:pPr>
      <w:r w:rsidRPr="00477612">
        <w:rPr>
          <w:rFonts w:ascii="Arial" w:hAnsi="Arial" w:cs="Arial"/>
          <w:b/>
          <w:bCs/>
          <w:sz w:val="20"/>
          <w:szCs w:val="20"/>
        </w:rPr>
        <w:t>Plant cultivation in gnotobiotic systems supplied with synthetic bacterial communities</w:t>
      </w:r>
      <w:r w:rsidR="00F24A94">
        <w:rPr>
          <w:rFonts w:ascii="Arial" w:hAnsi="Arial" w:cs="Arial"/>
          <w:b/>
          <w:bCs/>
          <w:sz w:val="20"/>
          <w:szCs w:val="20"/>
        </w:rPr>
        <w:t xml:space="preserve">. </w:t>
      </w:r>
      <w:r w:rsidRPr="00477612">
        <w:rPr>
          <w:rFonts w:ascii="Arial" w:hAnsi="Arial" w:cs="Arial"/>
          <w:sz w:val="20"/>
          <w:szCs w:val="20"/>
        </w:rPr>
        <w:t xml:space="preserve">Two independent gnotobiotic reconstitution experiments were performed.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seedlings were cultivated in a closed system of autoclaved magenta boxes filled with a sterile 5:2 mixture of autoclaved LECA and baked sand (overnight at 200°C), topped with a 1cm layer of autoclaved fine vermiculite. For each genotype, four biological replicates were included, each consisting of 25 seedlings per box (total n=100). Plants were supplied with low-nitrogen, low-phosphorus Long Ashton medium (0.75mM MgSO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x7H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0, 1mM NaNO</w:t>
      </w:r>
      <w:r w:rsidRPr="00477612">
        <w:rPr>
          <w:rFonts w:ascii="Arial" w:hAnsi="Arial" w:cs="Arial"/>
          <w:color w:val="000000" w:themeColor="text1"/>
          <w:position w:val="-2"/>
          <w:sz w:val="20"/>
          <w:szCs w:val="20"/>
          <w:vertAlign w:val="subscript"/>
        </w:rPr>
        <w:t>3</w:t>
      </w:r>
      <w:r w:rsidRPr="00477612">
        <w:rPr>
          <w:rFonts w:ascii="Arial" w:hAnsi="Arial" w:cs="Arial"/>
          <w:color w:val="000000" w:themeColor="text1"/>
          <w:sz w:val="20"/>
          <w:szCs w:val="20"/>
        </w:rPr>
        <w:t>, 1mM K</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 2mM CaCl</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x2H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O, 0.0032mM Na</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HPO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 5μM MnSO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 0.25μM CuSO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x5H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O, 0.5μM ZnSO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x7H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O, 25μM H</w:t>
      </w:r>
      <w:r w:rsidRPr="00477612">
        <w:rPr>
          <w:rFonts w:ascii="Arial" w:hAnsi="Arial" w:cs="Arial"/>
          <w:color w:val="000000" w:themeColor="text1"/>
          <w:position w:val="-2"/>
          <w:sz w:val="20"/>
          <w:szCs w:val="20"/>
          <w:vertAlign w:val="subscript"/>
        </w:rPr>
        <w:t>3</w:t>
      </w:r>
      <w:r w:rsidRPr="00477612">
        <w:rPr>
          <w:rFonts w:ascii="Arial" w:hAnsi="Arial" w:cs="Arial"/>
          <w:color w:val="000000" w:themeColor="text1"/>
          <w:sz w:val="20"/>
          <w:szCs w:val="20"/>
        </w:rPr>
        <w:t>BO</w:t>
      </w:r>
      <w:r w:rsidRPr="00477612">
        <w:rPr>
          <w:rFonts w:ascii="Arial" w:hAnsi="Arial" w:cs="Arial"/>
          <w:color w:val="000000" w:themeColor="text1"/>
          <w:position w:val="-2"/>
          <w:sz w:val="20"/>
          <w:szCs w:val="20"/>
          <w:vertAlign w:val="subscript"/>
        </w:rPr>
        <w:t>3</w:t>
      </w:r>
      <w:r w:rsidRPr="00477612">
        <w:rPr>
          <w:rFonts w:ascii="Arial" w:hAnsi="Arial" w:cs="Arial"/>
          <w:color w:val="000000" w:themeColor="text1"/>
          <w:sz w:val="20"/>
          <w:szCs w:val="20"/>
        </w:rPr>
        <w:t>, 0.1μM Na</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MoO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x2H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 xml:space="preserve">O, 25μM Fe-EDTA, pH 6.8) and cultivated for four weeks at </w:t>
      </w:r>
      <w:r w:rsidRPr="00477612">
        <w:rPr>
          <w:rFonts w:ascii="Arial" w:hAnsi="Arial" w:cs="Arial"/>
          <w:sz w:val="20"/>
          <w:szCs w:val="20"/>
        </w:rPr>
        <w:t>21°C, 16/8 day/night hours, 100/0 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One day after planting, plants were inoculated with the Lj-SPHERE bacterial culture collection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{"citationID":"iauNtTuE","properties":{"unsorted":false,"formattedCitation":"(91)","plainCitation":"(91)","noteIndex":0},"citationItems":[{"id":517,"uris":["http://zotero.org/users/16875439/items/PE2SFT8E"],"itemData":{"id":517,"type":"article-journal","abstract":"Roots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(91)</w:t>
      </w:r>
      <w:r w:rsidRPr="00477612">
        <w:rPr>
          <w:rFonts w:ascii="Arial" w:hAnsi="Arial" w:cs="Arial"/>
          <w:sz w:val="20"/>
          <w:szCs w:val="20"/>
        </w:rPr>
        <w:fldChar w:fldCharType="end"/>
      </w:r>
      <w:r w:rsidRPr="00477612">
        <w:rPr>
          <w:rFonts w:ascii="Arial" w:hAnsi="Arial" w:cs="Arial"/>
          <w:sz w:val="20"/>
          <w:szCs w:val="20"/>
        </w:rPr>
        <w:t xml:space="preserve"> (</w:t>
      </w:r>
      <w:r w:rsidRPr="00477612">
        <w:rPr>
          <w:rFonts w:ascii="Arial" w:hAnsi="Arial" w:cs="Arial"/>
          <w:sz w:val="20"/>
          <w:szCs w:val="20"/>
          <w:highlight w:val="cyan"/>
        </w:rPr>
        <w:t>Suppl. Table 8</w:t>
      </w:r>
      <w:r w:rsidRPr="00477612">
        <w:rPr>
          <w:rFonts w:ascii="Arial" w:hAnsi="Arial" w:cs="Arial"/>
          <w:sz w:val="20"/>
          <w:szCs w:val="20"/>
        </w:rPr>
        <w:t>). Individual cultures were pooled in equal proportions based on OD</w:t>
      </w:r>
      <w:r w:rsidRPr="00477612">
        <w:rPr>
          <w:rFonts w:ascii="Arial" w:hAnsi="Arial" w:cs="Arial"/>
          <w:sz w:val="20"/>
          <w:szCs w:val="20"/>
          <w:vertAlign w:val="subscript"/>
        </w:rPr>
        <w:t>600</w:t>
      </w:r>
      <w:r w:rsidRPr="00477612">
        <w:rPr>
          <w:rFonts w:ascii="Arial" w:hAnsi="Arial" w:cs="Arial"/>
          <w:sz w:val="20"/>
          <w:szCs w:val="20"/>
        </w:rPr>
        <w:t xml:space="preserve"> measurements, diluted to a final OD</w:t>
      </w:r>
      <w:r w:rsidRPr="00477612">
        <w:rPr>
          <w:rFonts w:ascii="Arial" w:hAnsi="Arial" w:cs="Arial"/>
          <w:sz w:val="20"/>
          <w:szCs w:val="20"/>
          <w:vertAlign w:val="subscript"/>
        </w:rPr>
        <w:t>600</w:t>
      </w:r>
      <w:r w:rsidRPr="00477612">
        <w:rPr>
          <w:rFonts w:ascii="Arial" w:hAnsi="Arial" w:cs="Arial"/>
          <w:sz w:val="20"/>
          <w:szCs w:val="20"/>
        </w:rPr>
        <w:t xml:space="preserve"> 0.02, and 3ml of inoculum were added per box.</w:t>
      </w:r>
      <w:r w:rsidRPr="00477612">
        <w:rPr>
          <w:rFonts w:ascii="Arial" w:hAnsi="Arial" w:cs="Arial"/>
          <w:b/>
          <w:bCs/>
          <w:sz w:val="20"/>
          <w:szCs w:val="20"/>
        </w:rPr>
        <w:t xml:space="preserve"> </w:t>
      </w:r>
      <w:r w:rsidRPr="00477612">
        <w:rPr>
          <w:rFonts w:ascii="Arial" w:hAnsi="Arial" w:cs="Arial"/>
          <w:sz w:val="20"/>
          <w:szCs w:val="20"/>
        </w:rPr>
        <w:t xml:space="preserve">For </w:t>
      </w:r>
      <w:r w:rsidRPr="00477612">
        <w:rPr>
          <w:rFonts w:ascii="Arial" w:hAnsi="Arial" w:cs="Arial"/>
          <w:i/>
          <w:iCs/>
          <w:sz w:val="20"/>
          <w:szCs w:val="20"/>
        </w:rPr>
        <w:t>Hordeum</w:t>
      </w:r>
      <w:r w:rsidRPr="00477612">
        <w:rPr>
          <w:rFonts w:ascii="Arial" w:hAnsi="Arial" w:cs="Arial"/>
          <w:sz w:val="20"/>
          <w:szCs w:val="20"/>
        </w:rPr>
        <w:t>, seedlings were planted in sterile 4x4x9cm pots containing a sterile 5:2 LECA/sand mixture and a top layer of autoclaved vermiculite. Six biological replicates were included per genotype, each consisting of three pots with one plant per pot (total n=18). Plants were supplied with Long Ashton medium and cultivated for three weeks in growth chambers with 16/8 day/night hours, 75/80% room humidity day/night, 22/18°C day/night temperatures, and 200/0μmol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settings. One day after planting, a </w:t>
      </w:r>
      <w:r w:rsidRPr="00477612">
        <w:rPr>
          <w:rFonts w:ascii="Arial" w:hAnsi="Arial" w:cs="Arial"/>
          <w:i/>
          <w:iCs/>
          <w:sz w:val="20"/>
          <w:szCs w:val="20"/>
        </w:rPr>
        <w:t>Hordeum</w:t>
      </w:r>
      <w:r w:rsidRPr="00477612">
        <w:rPr>
          <w:rFonts w:ascii="Arial" w:hAnsi="Arial" w:cs="Arial"/>
          <w:sz w:val="20"/>
          <w:szCs w:val="20"/>
        </w:rPr>
        <w:t xml:space="preserve">-derived bacterial culture collection (Plant Molecular Biology Group, Aarhus University, DK, </w:t>
      </w:r>
      <w:r w:rsidRPr="00477612">
        <w:rPr>
          <w:rFonts w:ascii="Arial" w:hAnsi="Arial" w:cs="Arial"/>
          <w:sz w:val="20"/>
          <w:szCs w:val="20"/>
          <w:highlight w:val="cyan"/>
        </w:rPr>
        <w:t>Suppl. Table 9)</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{"citationID":"3xBwEpjv","properties":{"unsorted":false,"formattedCitation":"(71)","plainCitation":"(71)","noteIndex":0},"citationItems":[{"id":662,"uris":["http://zotero.org/users/16875439/items/APJU6DYA"],"itemData":{"id":662,"type":"article","abstract":"Host-associated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(71)</w:t>
      </w:r>
      <w:r w:rsidRPr="00477612">
        <w:rPr>
          <w:rFonts w:ascii="Arial" w:hAnsi="Arial" w:cs="Arial"/>
          <w:sz w:val="20"/>
          <w:szCs w:val="20"/>
        </w:rPr>
        <w:fldChar w:fldCharType="end"/>
      </w:r>
      <w:r w:rsidRPr="00477612">
        <w:rPr>
          <w:rFonts w:ascii="Arial" w:hAnsi="Arial" w:cs="Arial"/>
          <w:sz w:val="20"/>
          <w:szCs w:val="20"/>
        </w:rPr>
        <w:t xml:space="preserve"> was applied as inoculum (final OD</w:t>
      </w:r>
      <w:r w:rsidRPr="00477612">
        <w:rPr>
          <w:rFonts w:ascii="Arial" w:hAnsi="Arial" w:cs="Arial"/>
          <w:sz w:val="20"/>
          <w:szCs w:val="20"/>
          <w:vertAlign w:val="subscript"/>
        </w:rPr>
        <w:t>600</w:t>
      </w:r>
      <w:r w:rsidRPr="00477612">
        <w:rPr>
          <w:rFonts w:ascii="Arial" w:hAnsi="Arial" w:cs="Arial"/>
          <w:sz w:val="20"/>
          <w:szCs w:val="20"/>
        </w:rPr>
        <w:t xml:space="preserve">=0.01; 3ml per pot). In addition, plants were inoculated with AM fungi on the day of planting by applying 1ml of </w:t>
      </w:r>
      <w:r w:rsidRPr="00477612">
        <w:rPr>
          <w:rFonts w:ascii="Arial" w:hAnsi="Arial" w:cs="Arial"/>
          <w:i/>
          <w:iCs/>
          <w:sz w:val="20"/>
          <w:szCs w:val="20"/>
        </w:rPr>
        <w:t xml:space="preserve">Rhizophagus irregularis </w:t>
      </w:r>
      <w:r w:rsidRPr="00477612">
        <w:rPr>
          <w:rFonts w:ascii="Arial" w:hAnsi="Arial" w:cs="Arial"/>
          <w:sz w:val="20"/>
          <w:szCs w:val="20"/>
        </w:rPr>
        <w:t>spores (400 spores per ml, washed twice with Long Ashton medium; Agro Nutrition) 1cm below the soil surface near the roots.</w:t>
      </w:r>
    </w:p>
    <w:p w14:paraId="54242CE6" w14:textId="77777777" w:rsidR="00F24A94" w:rsidRPr="00F24A94" w:rsidRDefault="00F24A94" w:rsidP="00F24A94">
      <w:pPr>
        <w:spacing w:after="0"/>
        <w:jc w:val="both"/>
        <w:rPr>
          <w:rFonts w:ascii="Arial" w:hAnsi="Arial" w:cs="Arial"/>
          <w:b/>
          <w:bCs/>
          <w:sz w:val="20"/>
          <w:szCs w:val="20"/>
        </w:rPr>
      </w:pPr>
    </w:p>
    <w:p w14:paraId="1F52AF79" w14:textId="5DB93676" w:rsidR="00477612" w:rsidRPr="00477612" w:rsidRDefault="00477612" w:rsidP="00477612">
      <w:pPr>
        <w:pStyle w:val="NormalWeb"/>
        <w:jc w:val="both"/>
        <w:rPr>
          <w:rFonts w:ascii="Arial" w:hAnsi="Arial" w:cs="Arial"/>
          <w:sz w:val="20"/>
          <w:szCs w:val="20"/>
        </w:rPr>
      </w:pPr>
      <w:r w:rsidRPr="00477612">
        <w:rPr>
          <w:rFonts w:ascii="Arial" w:hAnsi="Arial" w:cs="Arial"/>
          <w:b/>
          <w:bCs/>
          <w:i/>
          <w:iCs/>
          <w:sz w:val="20"/>
          <w:szCs w:val="20"/>
        </w:rPr>
        <w:t>Hordeum</w:t>
      </w:r>
      <w:r w:rsidRPr="00477612">
        <w:rPr>
          <w:rFonts w:ascii="Arial" w:hAnsi="Arial" w:cs="Arial"/>
          <w:b/>
          <w:bCs/>
          <w:sz w:val="20"/>
          <w:szCs w:val="20"/>
        </w:rPr>
        <w:t xml:space="preserve"> growth test in microbe-free condition</w:t>
      </w:r>
      <w:r w:rsidR="00F24A94">
        <w:rPr>
          <w:rFonts w:ascii="Arial" w:hAnsi="Arial" w:cs="Arial"/>
          <w:b/>
          <w:bCs/>
          <w:sz w:val="20"/>
          <w:szCs w:val="20"/>
        </w:rPr>
        <w:t>.</w:t>
      </w:r>
      <w:r w:rsidR="00F24A94">
        <w:rPr>
          <w:rFonts w:ascii="Arial" w:hAnsi="Arial" w:cs="Arial"/>
          <w:sz w:val="20"/>
          <w:szCs w:val="20"/>
        </w:rPr>
        <w:t xml:space="preserve"> </w:t>
      </w:r>
      <w:r w:rsidRPr="00477612">
        <w:rPr>
          <w:rFonts w:ascii="Arial" w:hAnsi="Arial" w:cs="Arial"/>
          <w:sz w:val="20"/>
          <w:szCs w:val="20"/>
        </w:rPr>
        <w:t xml:space="preserve">To assess for potential growth defects associated with CSSP mutations in </w:t>
      </w:r>
      <w:r w:rsidRPr="00477612">
        <w:rPr>
          <w:rFonts w:ascii="Arial" w:hAnsi="Arial" w:cs="Arial"/>
          <w:i/>
          <w:iCs/>
          <w:sz w:val="20"/>
          <w:szCs w:val="20"/>
        </w:rPr>
        <w:t>Hordeum</w:t>
      </w:r>
      <w:r w:rsidRPr="00477612">
        <w:rPr>
          <w:rFonts w:ascii="Arial" w:hAnsi="Arial" w:cs="Arial"/>
          <w:sz w:val="20"/>
          <w:szCs w:val="20"/>
        </w:rPr>
        <w:t>, a microbe-free control experiment was conducted in parallel to the gnotobiotic setup. All genotypes were cultivated in sterile substrate and supplied with Long Ashton medium containing elevated nitrogen and phosphorus concentrations (2.5mM NaNO</w:t>
      </w:r>
      <w:r w:rsidRPr="00477612">
        <w:rPr>
          <w:rFonts w:ascii="Arial" w:hAnsi="Arial" w:cs="Arial"/>
          <w:position w:val="-2"/>
          <w:sz w:val="20"/>
          <w:szCs w:val="20"/>
        </w:rPr>
        <w:t xml:space="preserve">3 </w:t>
      </w:r>
      <w:r w:rsidRPr="00477612">
        <w:rPr>
          <w:rFonts w:ascii="Arial" w:hAnsi="Arial" w:cs="Arial"/>
          <w:sz w:val="20"/>
          <w:szCs w:val="20"/>
        </w:rPr>
        <w:t>and 1mM Na</w:t>
      </w:r>
      <w:r w:rsidRPr="00477612">
        <w:rPr>
          <w:rFonts w:ascii="Arial" w:hAnsi="Arial" w:cs="Arial"/>
          <w:position w:val="-2"/>
          <w:sz w:val="20"/>
          <w:szCs w:val="20"/>
        </w:rPr>
        <w:t>2</w:t>
      </w:r>
      <w:r w:rsidRPr="00477612">
        <w:rPr>
          <w:rFonts w:ascii="Arial" w:hAnsi="Arial" w:cs="Arial"/>
          <w:sz w:val="20"/>
          <w:szCs w:val="20"/>
        </w:rPr>
        <w:t>HPO</w:t>
      </w:r>
      <w:r w:rsidRPr="00477612">
        <w:rPr>
          <w:rFonts w:ascii="Arial" w:hAnsi="Arial" w:cs="Arial"/>
          <w:position w:val="-2"/>
          <w:sz w:val="20"/>
          <w:szCs w:val="20"/>
        </w:rPr>
        <w:t>4</w:t>
      </w:r>
      <w:r w:rsidRPr="00477612">
        <w:rPr>
          <w:rFonts w:ascii="Arial" w:hAnsi="Arial" w:cs="Arial"/>
          <w:sz w:val="20"/>
          <w:szCs w:val="20"/>
        </w:rPr>
        <w:t>), without microbial inoculation. Ten biological replicates were included per genotype, each consisting of one pot with one plant. Shoot fresh weight was recorded after three weeks of growth.</w:t>
      </w:r>
    </w:p>
    <w:p w14:paraId="42228608" w14:textId="77777777" w:rsidR="00477612" w:rsidRPr="00477612" w:rsidRDefault="00477612" w:rsidP="00477612">
      <w:pPr>
        <w:pStyle w:val="NormalWeb"/>
        <w:jc w:val="both"/>
        <w:rPr>
          <w:rFonts w:ascii="Arial" w:hAnsi="Arial" w:cs="Arial"/>
          <w:sz w:val="20"/>
          <w:szCs w:val="20"/>
        </w:rPr>
      </w:pPr>
    </w:p>
    <w:p w14:paraId="60ACBDDC" w14:textId="7060D596" w:rsidR="00477612" w:rsidRDefault="00477612" w:rsidP="00F24A94">
      <w:pPr>
        <w:spacing w:after="0"/>
        <w:jc w:val="both"/>
        <w:rPr>
          <w:rFonts w:ascii="Arial" w:hAnsi="Arial" w:cs="Arial"/>
          <w:sz w:val="20"/>
          <w:szCs w:val="20"/>
        </w:rPr>
      </w:pPr>
      <w:r w:rsidRPr="00477612">
        <w:rPr>
          <w:rFonts w:ascii="Arial" w:hAnsi="Arial" w:cs="Arial"/>
          <w:b/>
          <w:bCs/>
          <w:sz w:val="20"/>
          <w:szCs w:val="20"/>
        </w:rPr>
        <w:t>Sample collection and 16S rRNA amplicon sequencing of plants grown in gnotobiotic systems</w:t>
      </w:r>
      <w:r w:rsidR="00F24A94">
        <w:rPr>
          <w:rFonts w:ascii="Arial" w:hAnsi="Arial" w:cs="Arial"/>
          <w:b/>
          <w:bCs/>
          <w:sz w:val="20"/>
          <w:szCs w:val="20"/>
        </w:rPr>
        <w:t xml:space="preserve">. </w:t>
      </w:r>
      <w:r w:rsidRPr="00477612">
        <w:rPr>
          <w:rFonts w:ascii="Arial" w:hAnsi="Arial" w:cs="Arial"/>
          <w:sz w:val="20"/>
          <w:szCs w:val="20"/>
        </w:rPr>
        <w:t xml:space="preserve">Details on harvest and sample collection are similar to those described for the soil experiment, with minor modifications. In the gnotobiotic studies, leca and sand were removed manually. For </w:t>
      </w:r>
      <w:r w:rsidRPr="00477612">
        <w:rPr>
          <w:rFonts w:ascii="Arial" w:hAnsi="Arial" w:cs="Arial"/>
          <w:i/>
          <w:iCs/>
          <w:sz w:val="20"/>
          <w:szCs w:val="20"/>
        </w:rPr>
        <w:t>Lotus</w:t>
      </w:r>
      <w:r w:rsidRPr="00477612">
        <w:rPr>
          <w:rFonts w:ascii="Arial" w:hAnsi="Arial" w:cs="Arial"/>
          <w:sz w:val="20"/>
          <w:szCs w:val="20"/>
        </w:rPr>
        <w:t xml:space="preserve">, plants from a single magenta box system were pooled for the collection of ‘rhizosphere’ and ‘root’ samples. Roots were ground using a mortar and pestle under liquid </w:t>
      </w:r>
      <w:r w:rsidRPr="00477612">
        <w:rPr>
          <w:rFonts w:ascii="Arial" w:hAnsi="Arial" w:cs="Arial"/>
          <w:sz w:val="20"/>
          <w:szCs w:val="20"/>
        </w:rPr>
        <w:lastRenderedPageBreak/>
        <w:t xml:space="preserve">nitrogen, and a subset of the ground root material was transferred to tubes of the Fast DNA Spin Kit for Soil (MP Biomedicals) for DNA extraction. For </w:t>
      </w:r>
      <w:r w:rsidRPr="00477612">
        <w:rPr>
          <w:rFonts w:ascii="Arial" w:hAnsi="Arial" w:cs="Arial"/>
          <w:i/>
          <w:iCs/>
          <w:sz w:val="20"/>
          <w:szCs w:val="20"/>
        </w:rPr>
        <w:t>Hordeum</w:t>
      </w:r>
      <w:r w:rsidRPr="00477612">
        <w:rPr>
          <w:rFonts w:ascii="Arial" w:hAnsi="Arial" w:cs="Arial"/>
          <w:sz w:val="20"/>
          <w:szCs w:val="20"/>
        </w:rPr>
        <w:t xml:space="preserve">, roots from each biological replicate were cut into 1-cm pieces, mixed thoroughly, and a subset was used for downstream processing. 16S rRNA V5-V7 amplicon libraries were prepared as described previously and sequenced using Illumina MiSeq (Genewiz) for </w:t>
      </w:r>
      <w:r w:rsidRPr="00477612">
        <w:rPr>
          <w:rFonts w:ascii="Arial" w:hAnsi="Arial" w:cs="Arial"/>
          <w:i/>
          <w:iCs/>
          <w:sz w:val="20"/>
          <w:szCs w:val="20"/>
        </w:rPr>
        <w:t>Lotus</w:t>
      </w:r>
      <w:r w:rsidRPr="00477612">
        <w:rPr>
          <w:rFonts w:ascii="Arial" w:hAnsi="Arial" w:cs="Arial"/>
          <w:sz w:val="20"/>
          <w:szCs w:val="20"/>
        </w:rPr>
        <w:t xml:space="preserve"> samples and NovaSeq (Novogene) for </w:t>
      </w:r>
      <w:r w:rsidRPr="00477612">
        <w:rPr>
          <w:rFonts w:ascii="Arial" w:hAnsi="Arial" w:cs="Arial"/>
          <w:i/>
          <w:iCs/>
          <w:sz w:val="20"/>
          <w:szCs w:val="20"/>
        </w:rPr>
        <w:t>Hordeum</w:t>
      </w:r>
      <w:r w:rsidRPr="00477612">
        <w:rPr>
          <w:rFonts w:ascii="Arial" w:hAnsi="Arial" w:cs="Arial"/>
          <w:sz w:val="20"/>
          <w:szCs w:val="20"/>
        </w:rPr>
        <w:t xml:space="preserve"> samples. For </w:t>
      </w:r>
      <w:r w:rsidRPr="00477612">
        <w:rPr>
          <w:rFonts w:ascii="Arial" w:hAnsi="Arial" w:cs="Arial"/>
          <w:i/>
          <w:iCs/>
          <w:sz w:val="20"/>
          <w:szCs w:val="20"/>
        </w:rPr>
        <w:t>Lotus</w:t>
      </w:r>
      <w:r w:rsidRPr="00477612">
        <w:rPr>
          <w:rFonts w:ascii="Arial" w:hAnsi="Arial" w:cs="Arial"/>
          <w:sz w:val="20"/>
          <w:szCs w:val="20"/>
        </w:rPr>
        <w:t>, spike-in DNA (10^4 copies) was included in PCR1 but was not used for downstream analysis.</w:t>
      </w:r>
    </w:p>
    <w:p w14:paraId="264D994B" w14:textId="77777777" w:rsidR="00111679" w:rsidRPr="00F24A94" w:rsidRDefault="00111679" w:rsidP="00F24A94">
      <w:pPr>
        <w:spacing w:after="0"/>
        <w:jc w:val="both"/>
        <w:rPr>
          <w:rFonts w:ascii="Arial" w:hAnsi="Arial" w:cs="Arial"/>
          <w:b/>
          <w:bCs/>
          <w:sz w:val="20"/>
          <w:szCs w:val="20"/>
        </w:rPr>
      </w:pPr>
    </w:p>
    <w:p w14:paraId="34B8E819" w14:textId="03F79F32" w:rsidR="00477612" w:rsidRDefault="00477612" w:rsidP="00111679">
      <w:pPr>
        <w:spacing w:after="0"/>
        <w:jc w:val="both"/>
        <w:rPr>
          <w:rFonts w:ascii="Arial" w:hAnsi="Arial" w:cs="Arial"/>
          <w:sz w:val="20"/>
          <w:szCs w:val="20"/>
        </w:rPr>
      </w:pPr>
      <w:r w:rsidRPr="00477612">
        <w:rPr>
          <w:rFonts w:ascii="Arial" w:hAnsi="Arial" w:cs="Arial"/>
          <w:b/>
          <w:bCs/>
          <w:sz w:val="20"/>
          <w:szCs w:val="20"/>
        </w:rPr>
        <w:t>Pre-processing of amplicon sequencing data</w:t>
      </w:r>
      <w:r w:rsidR="00111679">
        <w:rPr>
          <w:rFonts w:ascii="Arial" w:hAnsi="Arial" w:cs="Arial"/>
          <w:b/>
          <w:bCs/>
          <w:sz w:val="20"/>
          <w:szCs w:val="20"/>
        </w:rPr>
        <w:t xml:space="preserve">. </w:t>
      </w:r>
      <w:r w:rsidRPr="00477612">
        <w:rPr>
          <w:rFonts w:ascii="Arial" w:hAnsi="Arial" w:cs="Arial"/>
          <w:sz w:val="20"/>
          <w:szCs w:val="20"/>
        </w:rPr>
        <w:t xml:space="preserve">Amplicon reads from </w:t>
      </w:r>
      <w:r w:rsidRPr="00477612">
        <w:rPr>
          <w:rFonts w:ascii="Arial" w:hAnsi="Arial" w:cs="Arial"/>
          <w:i/>
          <w:iCs/>
          <w:sz w:val="20"/>
          <w:szCs w:val="20"/>
        </w:rPr>
        <w:t xml:space="preserve">Lotus </w:t>
      </w:r>
      <w:r w:rsidRPr="00477612">
        <w:rPr>
          <w:rFonts w:ascii="Arial" w:hAnsi="Arial" w:cs="Arial"/>
          <w:sz w:val="20"/>
          <w:szCs w:val="20"/>
        </w:rPr>
        <w:t xml:space="preserve">and </w:t>
      </w:r>
      <w:r w:rsidRPr="00477612">
        <w:rPr>
          <w:rFonts w:ascii="Arial" w:hAnsi="Arial" w:cs="Arial"/>
          <w:i/>
          <w:iCs/>
          <w:sz w:val="20"/>
          <w:szCs w:val="20"/>
        </w:rPr>
        <w:t>Hordeum</w:t>
      </w:r>
      <w:r w:rsidRPr="00477612">
        <w:rPr>
          <w:rFonts w:ascii="Arial" w:hAnsi="Arial" w:cs="Arial"/>
          <w:sz w:val="20"/>
          <w:szCs w:val="20"/>
        </w:rPr>
        <w:t xml:space="preserve"> libraries were processed separately using the QIIME2 pipeline (version 2021.4)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{"citationID":"T78cbRpN","properties":{"unsorted":false,"formattedCitation":"(92)","plainCitation":"(92)","noteIndex":0},"citationItems":[{"id":507,"uris":["http://zotero.org/users/16875439/items/Z9FNLH48"],"itemData":{"id":507,"type":"article-journal","container-title":"Nature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(92)</w:t>
      </w:r>
      <w:r w:rsidRPr="00477612">
        <w:rPr>
          <w:rFonts w:ascii="Arial" w:hAnsi="Arial" w:cs="Arial"/>
          <w:sz w:val="20"/>
          <w:szCs w:val="20"/>
        </w:rPr>
        <w:fldChar w:fldCharType="end"/>
      </w:r>
      <w:r w:rsidRPr="00477612">
        <w:rPr>
          <w:rFonts w:ascii="Arial" w:hAnsi="Arial" w:cs="Arial"/>
          <w:sz w:val="20"/>
          <w:szCs w:val="20"/>
        </w:rPr>
        <w:t xml:space="preserve">. Quality control and denoising of demultiplexed reads were performed using the DADA2 plugin, generating representative amplicon sequence variants (ASVs)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{"citationID":"kkDIe1Dr","properties":{"unsorted":false,"formattedCitation":"(93)","plainCitation":"(93)","noteIndex":0},"citationItems":[{"id":519,"uris":["http://zotero.org/users/16875439/items/XTDDFL36"],"itemData":{"id":519,"type":"article-journal","abstract":"DADA2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(93)</w:t>
      </w:r>
      <w:r w:rsidRPr="00477612">
        <w:rPr>
          <w:rFonts w:ascii="Arial" w:hAnsi="Arial" w:cs="Arial"/>
          <w:sz w:val="20"/>
          <w:szCs w:val="20"/>
        </w:rPr>
        <w:fldChar w:fldCharType="end"/>
      </w:r>
      <w:r w:rsidRPr="00477612">
        <w:rPr>
          <w:rFonts w:ascii="Arial" w:hAnsi="Arial" w:cs="Arial"/>
          <w:sz w:val="20"/>
          <w:szCs w:val="20"/>
        </w:rPr>
        <w:t xml:space="preserve">. ASVs were filtered to retain those with at least 10 reads in at least four samples. Taxonomic classification of representative sequences was performed using QIIME2’s naïve-Bayes classifier implemented in the scikit-learn-based q2-feature-classifier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{"citationID":"pEoyi3oH","properties":{"unsorted":false,"formattedCitation":"(94)","plainCitation":"(94)","noteIndex":0},"citationItems":[{"id":521,"uris":["http://zotero.org/users/16875439/items/C8ZME69W"],"itemData":{"id":521,"type":"article-journal","abstract":"BACKGROUND: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(94)</w:t>
      </w:r>
      <w:r w:rsidRPr="00477612">
        <w:rPr>
          <w:rFonts w:ascii="Arial" w:hAnsi="Arial" w:cs="Arial"/>
          <w:sz w:val="20"/>
          <w:szCs w:val="20"/>
        </w:rPr>
        <w:fldChar w:fldCharType="end"/>
      </w:r>
      <w:r w:rsidRPr="00477612">
        <w:rPr>
          <w:rFonts w:ascii="Arial" w:hAnsi="Arial" w:cs="Arial"/>
          <w:sz w:val="20"/>
          <w:szCs w:val="20"/>
        </w:rPr>
        <w:t>, with reference to the SILVA database (version 138</w:t>
      </w:r>
      <w:r w:rsidRPr="00477612">
        <w:rPr>
          <w:rFonts w:ascii="Arial" w:hAnsi="Arial" w:cs="Arial"/>
          <w:color w:val="000000" w:themeColor="text1"/>
          <w:sz w:val="20"/>
          <w:szCs w:val="20"/>
        </w:rPr>
        <w:t>_</w:t>
      </w:r>
      <w:r w:rsidRPr="00477612">
        <w:rPr>
          <w:rFonts w:ascii="Arial" w:hAnsi="Arial" w:cs="Arial"/>
          <w:sz w:val="20"/>
          <w:szCs w:val="20"/>
        </w:rPr>
        <w:t xml:space="preserve">99)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{"citationID":"MI5z9Atk","properties":{"unsorted":false,"formattedCitation":"(95)","plainCitation":"(95)","noteIndex":0},"citationItems":[{"id":527,"uris":["http://zotero.org/users/16875439/items/SSICNICU"],"itemData":{"id":527,"type":"article-journal","abstract":"Since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(95)</w:t>
      </w:r>
      <w:r w:rsidRPr="00477612">
        <w:rPr>
          <w:rFonts w:ascii="Arial" w:hAnsi="Arial" w:cs="Arial"/>
          <w:sz w:val="20"/>
          <w:szCs w:val="20"/>
        </w:rPr>
        <w:fldChar w:fldCharType="end"/>
      </w:r>
      <w:r w:rsidRPr="00477612">
        <w:rPr>
          <w:rFonts w:ascii="Arial" w:hAnsi="Arial" w:cs="Arial"/>
          <w:sz w:val="20"/>
          <w:szCs w:val="20"/>
        </w:rPr>
        <w:t xml:space="preserve">. For data obtained from gnotobiotic systems, pre-processing was likewise performed using QIIME2 and the DADA2 plugin for quality control and demultiplexing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{"citationID":"Rvib7znp","properties":{"unsorted":false,"formattedCitation":"(92, 93)","plainCitation":"(92, 93)","noteIndex":0},"citationItems":[{"id":507,"uris":["http://zotero.org/users/16875439/items/Z9FNLH48"],"itemData":{"id":507,"type":"article-journal","container-title":"Nature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(92, 93)</w:t>
      </w:r>
      <w:r w:rsidRPr="00477612">
        <w:rPr>
          <w:rFonts w:ascii="Arial" w:hAnsi="Arial" w:cs="Arial"/>
          <w:sz w:val="20"/>
          <w:szCs w:val="20"/>
        </w:rPr>
        <w:fldChar w:fldCharType="end"/>
      </w:r>
      <w:r w:rsidRPr="00477612">
        <w:rPr>
          <w:rFonts w:ascii="Arial" w:hAnsi="Arial" w:cs="Arial"/>
          <w:sz w:val="20"/>
          <w:szCs w:val="20"/>
        </w:rPr>
        <w:t xml:space="preserve">. No abundance filtering was applied, as defined sets of isolates with known sequence information were used. Taxonomic assignment of detected ASVs was performed using VSEARCH with a 99% identity threshold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{"citationID":"2N08gx97","properties":{"unsorted":false,"formattedCitation":"(96)","plainCitation":"(96)","noteIndex":0},"citationItems":[{"id":529,"uris":["http://zotero.org/users/16875439/items/F9SF8FDV"],"itemData":{"id":529,"type":"article-journal","abstract":"BACKGROUND: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(96)</w:t>
      </w:r>
      <w:r w:rsidRPr="00477612">
        <w:rPr>
          <w:rFonts w:ascii="Arial" w:hAnsi="Arial" w:cs="Arial"/>
          <w:sz w:val="20"/>
          <w:szCs w:val="20"/>
        </w:rPr>
        <w:fldChar w:fldCharType="end"/>
      </w:r>
      <w:r w:rsidRPr="00477612">
        <w:rPr>
          <w:rFonts w:ascii="Arial" w:hAnsi="Arial" w:cs="Arial"/>
          <w:sz w:val="20"/>
          <w:szCs w:val="20"/>
        </w:rPr>
        <w:t>. Reference sequences consisted of 16S rRNA V5-V7 regions extracted from whole-genome sequences of strains included in the inoculum (</w:t>
      </w:r>
      <w:r w:rsidRPr="00477612">
        <w:rPr>
          <w:rFonts w:ascii="Arial" w:hAnsi="Arial" w:cs="Arial"/>
          <w:sz w:val="20"/>
          <w:szCs w:val="20"/>
          <w:highlight w:val="cyan"/>
        </w:rPr>
        <w:t>Suppl. Tables 8, 9</w:t>
      </w:r>
      <w:r w:rsidRPr="00477612">
        <w:rPr>
          <w:rFonts w:ascii="Arial" w:hAnsi="Arial" w:cs="Arial"/>
          <w:sz w:val="20"/>
          <w:szCs w:val="20"/>
        </w:rPr>
        <w:t>). Isolates with identical V5-V7 regions were grouped together. ASVs not matching any member of the SynCom reference set were removed prior to downstream analysis.</w:t>
      </w:r>
    </w:p>
    <w:p w14:paraId="6BDC287D" w14:textId="77777777" w:rsidR="00111679" w:rsidRPr="00111679" w:rsidRDefault="00111679" w:rsidP="00111679">
      <w:pPr>
        <w:spacing w:after="0"/>
        <w:jc w:val="both"/>
        <w:rPr>
          <w:rFonts w:ascii="Arial" w:hAnsi="Arial" w:cs="Arial"/>
          <w:b/>
          <w:bCs/>
          <w:sz w:val="20"/>
          <w:szCs w:val="20"/>
        </w:rPr>
      </w:pPr>
    </w:p>
    <w:p w14:paraId="4216BAAA" w14:textId="2835F034" w:rsidR="00477612" w:rsidRDefault="00477612" w:rsidP="00111679">
      <w:pPr>
        <w:spacing w:after="0"/>
        <w:jc w:val="both"/>
        <w:rPr>
          <w:rFonts w:ascii="Arial" w:hAnsi="Arial" w:cs="Arial"/>
          <w:sz w:val="20"/>
          <w:szCs w:val="20"/>
        </w:rPr>
      </w:pPr>
      <w:r w:rsidRPr="00477612">
        <w:rPr>
          <w:rFonts w:ascii="Arial" w:hAnsi="Arial" w:cs="Arial"/>
          <w:b/>
          <w:bCs/>
          <w:sz w:val="20"/>
          <w:szCs w:val="20"/>
        </w:rPr>
        <w:t xml:space="preserve">Data analysis, statistics and data </w:t>
      </w:r>
      <w:r w:rsidR="00111679">
        <w:rPr>
          <w:rFonts w:ascii="Arial" w:hAnsi="Arial" w:cs="Arial"/>
          <w:b/>
          <w:bCs/>
          <w:sz w:val="20"/>
          <w:szCs w:val="20"/>
        </w:rPr>
        <w:t xml:space="preserve">visualization. </w:t>
      </w:r>
      <w:r w:rsidRPr="00477612">
        <w:rPr>
          <w:rFonts w:ascii="Arial" w:hAnsi="Arial" w:cs="Arial"/>
          <w:sz w:val="20"/>
          <w:szCs w:val="20"/>
        </w:rPr>
        <w:t xml:space="preserve">All analyses were performed in R (version 4.5.0). For </w:t>
      </w:r>
      <w:r w:rsidRPr="00477612">
        <w:rPr>
          <w:rFonts w:ascii="Arial" w:hAnsi="Arial" w:cs="Arial"/>
          <w:i/>
          <w:iCs/>
          <w:sz w:val="20"/>
          <w:szCs w:val="20"/>
        </w:rPr>
        <w:t>Lotus</w:t>
      </w:r>
      <w:r w:rsidRPr="00477612">
        <w:rPr>
          <w:rFonts w:ascii="Arial" w:hAnsi="Arial" w:cs="Arial"/>
          <w:sz w:val="20"/>
          <w:szCs w:val="20"/>
        </w:rPr>
        <w:t xml:space="preserve"> soil and SynCom datasets, spike-in DNA was removed from the ASV table prior to analysis. For alpha-diversity analyses, samples with fewer than 1000 reads were excluded, and read counts were rarefied to the minimum sequencing depth using phyloseq (version 1.52.0)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{"citationID":"oqFl502u","properties":{"unsorted":false,"formattedCitation":"(97)","plainCitation":"(97)","noteIndex":0},"citationItems":[{"id":532,"uris":["http://zotero.org/users/16875439/items/YV72PP7B"],"itemData":{"id":532,"type":"article-journal","abstract":"BACKGROUND: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(97)</w:t>
      </w:r>
      <w:r w:rsidRPr="00477612">
        <w:rPr>
          <w:rFonts w:ascii="Arial" w:hAnsi="Arial" w:cs="Arial"/>
          <w:sz w:val="20"/>
          <w:szCs w:val="20"/>
        </w:rPr>
        <w:fldChar w:fldCharType="end"/>
      </w:r>
      <w:r w:rsidRPr="00477612">
        <w:rPr>
          <w:rFonts w:ascii="Arial" w:hAnsi="Arial" w:cs="Arial"/>
          <w:sz w:val="20"/>
          <w:szCs w:val="20"/>
        </w:rPr>
        <w:t xml:space="preserve">. Alpha diversity was quantified using Chao1 index as computed in QIIME2. For beta-diversity analyses, principal coordinate analysis (PCoA)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{"citationID":"8ABCZum9","properties":{"unsorted":false,"formattedCitation":"(98)","plainCitation":"(98)","noteIndex":0},"citationItems":[{"id":537,"uris":["http://zotero.org/users/16875439/items/UAVK2EP2"],"itemData":{"id":537,"type":"article-journal","abstract":"This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(98)</w:t>
      </w:r>
      <w:r w:rsidRPr="00477612">
        <w:rPr>
          <w:rFonts w:ascii="Arial" w:hAnsi="Arial" w:cs="Arial"/>
          <w:sz w:val="20"/>
          <w:szCs w:val="20"/>
        </w:rPr>
        <w:fldChar w:fldCharType="end"/>
      </w:r>
      <w:r w:rsidRPr="00477612">
        <w:rPr>
          <w:rFonts w:ascii="Arial" w:hAnsi="Arial" w:cs="Arial"/>
          <w:sz w:val="20"/>
          <w:szCs w:val="20"/>
        </w:rPr>
        <w:t xml:space="preserve"> based on Bray-Curtis dissimilarities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UiE57QB9","properties":{"unsorted":false,"formattedCitation":"(99)","plainCitation":"(99)","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(99)</w:t>
      </w:r>
      <w:r w:rsidRPr="00477612">
        <w:rPr>
          <w:rFonts w:ascii="Arial" w:hAnsi="Arial" w:cs="Arial"/>
          <w:sz w:val="20"/>
          <w:szCs w:val="20"/>
        </w:rPr>
        <w:fldChar w:fldCharType="end"/>
      </w:r>
      <w:r w:rsidRPr="00477612">
        <w:rPr>
          <w:rFonts w:ascii="Arial" w:hAnsi="Arial" w:cs="Arial"/>
          <w:sz w:val="20"/>
          <w:szCs w:val="20"/>
        </w:rPr>
        <w:t xml:space="preserve"> was performed separately for each genotype. Constrained analysis of principal coordinates (CPCoA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{"citationID":"MnhIeSQ2","properties":{"unsorted":false,"formattedCitation":"(100)","plainCitation":"(100)","noteIndex":0},"citationItems":[{"id":539,"uris":["http://zotero.org/users/16875439/items/RVX6Y2N6"],"itemData":{"id":539,"type":"article-journal","abstract":"We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(100)</w:t>
      </w:r>
      <w:r w:rsidRPr="00477612">
        <w:rPr>
          <w:rFonts w:ascii="Arial" w:hAnsi="Arial" w:cs="Arial"/>
          <w:sz w:val="20"/>
          <w:szCs w:val="20"/>
        </w:rPr>
        <w:fldChar w:fldCharType="end"/>
      </w:r>
      <w:r w:rsidRPr="00477612">
        <w:rPr>
          <w:rFonts w:ascii="Arial" w:hAnsi="Arial" w:cs="Arial"/>
          <w:sz w:val="20"/>
          <w:szCs w:val="20"/>
        </w:rPr>
        <w:t xml:space="preserve">; capscale function in the vegan package in R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CLqAy9PM","properties":{"unsorted":false,"formattedCitation":"(101)","plainCitation":"(101)","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(101)</w:t>
      </w:r>
      <w:r w:rsidRPr="00477612">
        <w:rPr>
          <w:rFonts w:ascii="Arial" w:hAnsi="Arial" w:cs="Arial"/>
          <w:sz w:val="20"/>
          <w:szCs w:val="20"/>
        </w:rPr>
        <w:fldChar w:fldCharType="end"/>
      </w:r>
      <w:r w:rsidRPr="00477612">
        <w:rPr>
          <w:rFonts w:ascii="Arial" w:hAnsi="Arial" w:cs="Arial"/>
          <w:sz w:val="20"/>
          <w:szCs w:val="20"/>
        </w:rPr>
        <w:t xml:space="preserve">) using Bray-Curtis dissimiliarities was conducted with genotype and soil type as constraining variables. Permutation tests were used to assess the effects of the constrained variables on bacterial community composition. Relative ASV abundances were calculated using total sum scaling (TSS). Differential abundance analysis of individual ASVs was performed using MaAsLin2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{"citationID":"Y7F0UuxN","properties":{"unsorted":false,"formattedCitation":"(102)","plainCitation":"(102)","noteIndex":0},"citationItems":[{"id":546,"uris":["http://zotero.org/users/16875439/items/VRPS7UMR"],"itemData":{"id":546,"type":"article-journal","abstract":"It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(102)</w:t>
      </w:r>
      <w:r w:rsidRPr="00477612">
        <w:rPr>
          <w:rFonts w:ascii="Arial" w:hAnsi="Arial" w:cs="Arial"/>
          <w:sz w:val="20"/>
          <w:szCs w:val="20"/>
        </w:rPr>
        <w:fldChar w:fldCharType="end"/>
      </w:r>
      <w:r w:rsidRPr="00477612">
        <w:rPr>
          <w:rFonts w:ascii="Arial" w:hAnsi="Arial" w:cs="Arial"/>
          <w:sz w:val="20"/>
          <w:szCs w:val="20"/>
        </w:rPr>
        <w:t xml:space="preserve">, with an additional structural-zero filtering step as proposed by Kaul </w:t>
      </w:r>
      <w:r w:rsidRPr="00477612">
        <w:rPr>
          <w:rFonts w:ascii="Arial" w:hAnsi="Arial" w:cs="Arial"/>
          <w:i/>
          <w:iCs/>
          <w:sz w:val="20"/>
          <w:szCs w:val="20"/>
        </w:rPr>
        <w:t>et al</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{"citationID":"WGNJYL88","properties":{"unsorted":false,"formattedCitation":"(103)","plainCitation":"(103)","noteIndex":0},"citationItems":[{"id":548,"uris":["http://zotero.org/users/16875439/items/IWLTEMRU"],"itemData":{"id":548,"type":"article-journal","abstract":"Motivation: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(103)</w:t>
      </w:r>
      <w:r w:rsidRPr="00477612">
        <w:rPr>
          <w:rFonts w:ascii="Arial" w:hAnsi="Arial" w:cs="Arial"/>
          <w:sz w:val="20"/>
          <w:szCs w:val="20"/>
        </w:rPr>
        <w:fldChar w:fldCharType="end"/>
      </w:r>
      <w:r w:rsidRPr="00477612">
        <w:rPr>
          <w:rFonts w:ascii="Arial" w:hAnsi="Arial" w:cs="Arial"/>
          <w:sz w:val="20"/>
          <w:szCs w:val="20"/>
        </w:rPr>
        <w:t xml:space="preserve">, requiring that the non-structural-zero group contained at least 20 reads across at least three samples. P-values were adjusted for multiple testing using the Benjamini-Hochberg procedure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{"citationID":"wEKQNzfM","properties":{"unsorted":false,"formattedCitation":"(104)","plainCitation":"(104)","noteIndex":0},"citationItems":[{"id":551,"uris":["http://zotero.org/users/16875439/items/THH8FXXS"],"itemData":{"id":551,"type":"article-journal","abstract":"The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(104)</w:t>
      </w:r>
      <w:r w:rsidRPr="00477612">
        <w:rPr>
          <w:rFonts w:ascii="Arial" w:hAnsi="Arial" w:cs="Arial"/>
          <w:sz w:val="20"/>
          <w:szCs w:val="20"/>
        </w:rPr>
        <w:fldChar w:fldCharType="end"/>
      </w:r>
      <w:r w:rsidRPr="00477612">
        <w:rPr>
          <w:rFonts w:ascii="Arial" w:hAnsi="Arial" w:cs="Arial"/>
          <w:sz w:val="20"/>
          <w:szCs w:val="20"/>
        </w:rPr>
        <w:t xml:space="preserve">, with a false discovery rate (FDR) of 5%. Pairwise significance testing was performed using ANOVA and Tukey post-hoc test. </w:t>
      </w:r>
      <w:commentRangeStart w:id="4"/>
      <w:r w:rsidRPr="00477612">
        <w:rPr>
          <w:rFonts w:ascii="Arial" w:hAnsi="Arial" w:cs="Arial"/>
          <w:sz w:val="20"/>
          <w:szCs w:val="20"/>
        </w:rPr>
        <w:t xml:space="preserve">Data visualisation was carried out in R using packages ggplot2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{"citationID":"OFXyIOtF","properties":{"unsorted":false,"formattedCitation":"(105)","plainCitation":"(105)","noteIndex":0},"citationItems":[{"id":554,"uris":["http://zotero.org/users/16875439/items/WNIKNA7Y"],"itemData":{"id":554,"type":"book","collection-title":"Use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(105)</w:t>
      </w:r>
      <w:r w:rsidRPr="00477612">
        <w:rPr>
          <w:rFonts w:ascii="Arial" w:hAnsi="Arial" w:cs="Arial"/>
          <w:sz w:val="20"/>
          <w:szCs w:val="20"/>
        </w:rPr>
        <w:fldChar w:fldCharType="end"/>
      </w:r>
      <w:r w:rsidRPr="00477612">
        <w:rPr>
          <w:rFonts w:ascii="Arial" w:hAnsi="Arial" w:cs="Arial"/>
          <w:sz w:val="20"/>
          <w:szCs w:val="20"/>
        </w:rPr>
        <w:t>, ggh4x, ggVenndiagram, patchwork, cowplot, multcompView, scales, ggtext, ggforce, ggalluvial, grid, ggpubr, Gmisc, gridExtra, and gridtext [</w:t>
      </w:r>
      <w:r w:rsidRPr="00477612">
        <w:rPr>
          <w:rFonts w:ascii="Arial" w:hAnsi="Arial" w:cs="Arial"/>
          <w:sz w:val="20"/>
          <w:szCs w:val="20"/>
          <w:highlight w:val="red"/>
        </w:rPr>
        <w:t>REF</w:t>
      </w:r>
      <w:r w:rsidRPr="00477612">
        <w:rPr>
          <w:rFonts w:ascii="Arial" w:hAnsi="Arial" w:cs="Arial"/>
          <w:sz w:val="20"/>
          <w:szCs w:val="20"/>
        </w:rPr>
        <w:t>]. Data manipulation was performed using dplyr, tidyr, tibble, stringr, data.table, and magrittr [</w:t>
      </w:r>
      <w:r w:rsidRPr="00477612">
        <w:rPr>
          <w:rFonts w:ascii="Arial" w:hAnsi="Arial" w:cs="Arial"/>
          <w:sz w:val="20"/>
          <w:szCs w:val="20"/>
          <w:highlight w:val="red"/>
        </w:rPr>
        <w:t>REF</w:t>
      </w:r>
      <w:r w:rsidRPr="00477612">
        <w:rPr>
          <w:rFonts w:ascii="Arial" w:hAnsi="Arial" w:cs="Arial"/>
          <w:sz w:val="20"/>
          <w:szCs w:val="20"/>
        </w:rPr>
        <w:t xml:space="preserve">]. </w:t>
      </w:r>
      <w:commentRangeEnd w:id="4"/>
      <w:r>
        <w:rPr>
          <w:rStyle w:val="CommentReference"/>
          <w:rFonts w:ascii="Arial" w:hAnsi="Arial" w:cs="Arial"/>
          <w:sz w:val="20"/>
          <w:szCs w:val="20"/>
        </w:rPr>
        <w:commentReference w:id="4"/>
      </w:r>
    </w:p>
    <w:p w14:paraId="1DB9B1F0" w14:textId="77777777" w:rsidR="00111679" w:rsidRPr="00111679" w:rsidRDefault="00111679" w:rsidP="00111679">
      <w:pPr>
        <w:spacing w:after="0"/>
        <w:jc w:val="both"/>
        <w:rPr>
          <w:rFonts w:ascii="Arial" w:hAnsi="Arial" w:cs="Arial"/>
          <w:b/>
          <w:bCs/>
          <w:sz w:val="20"/>
          <w:szCs w:val="20"/>
        </w:rPr>
      </w:pPr>
    </w:p>
    <w:p w14:paraId="0982F486" w14:textId="01776B2E" w:rsidR="00477612" w:rsidRDefault="00477612" w:rsidP="00111679">
      <w:pPr>
        <w:spacing w:after="0"/>
        <w:jc w:val="both"/>
        <w:rPr>
          <w:rFonts w:ascii="Arial" w:hAnsi="Arial" w:cs="Arial"/>
          <w:bCs/>
          <w:color w:val="000000" w:themeColor="text1"/>
          <w:sz w:val="20"/>
          <w:szCs w:val="20"/>
        </w:rPr>
      </w:pPr>
      <w:r w:rsidRPr="00477612">
        <w:rPr>
          <w:rFonts w:ascii="Arial" w:hAnsi="Arial" w:cs="Arial"/>
          <w:b/>
          <w:bCs/>
          <w:color w:val="000000" w:themeColor="text1"/>
          <w:sz w:val="20"/>
          <w:szCs w:val="20"/>
        </w:rPr>
        <w:t>Nutrient prediction analysis of plants cultivated in Askov soils</w:t>
      </w:r>
      <w:r w:rsidR="00111679">
        <w:rPr>
          <w:rFonts w:ascii="Arial" w:hAnsi="Arial" w:cs="Arial"/>
          <w:b/>
          <w:bCs/>
          <w:color w:val="000000" w:themeColor="text1"/>
          <w:sz w:val="20"/>
          <w:szCs w:val="20"/>
        </w:rPr>
        <w:t xml:space="preserve">. </w:t>
      </w:r>
      <w:r w:rsidRPr="00477612">
        <w:rPr>
          <w:rFonts w:ascii="Arial" w:hAnsi="Arial" w:cs="Arial"/>
          <w:bCs/>
          <w:color w:val="000000" w:themeColor="text1"/>
          <w:sz w:val="20"/>
          <w:szCs w:val="20"/>
        </w:rPr>
        <w:t xml:space="preserve">Prediction of soil type was performed using Compositional Data via Continuos Relaxations (codacore) </w:t>
      </w:r>
      <w:r w:rsidRPr="00477612">
        <w:rPr>
          <w:rFonts w:ascii="Arial" w:hAnsi="Arial" w:cs="Arial"/>
          <w:bCs/>
          <w:color w:val="000000" w:themeColor="text1"/>
          <w:sz w:val="20"/>
          <w:szCs w:val="20"/>
        </w:rPr>
        <w:fldChar w:fldCharType="begin"/>
      </w:r>
      <w:r w:rsidRPr="00477612">
        <w:rPr>
          <w:rFonts w:ascii="Arial" w:hAnsi="Arial" w:cs="Arial"/>
          <w:bCs/>
          <w:color w:val="000000" w:themeColor="text1"/>
          <w:sz w:val="20"/>
          <w:szCs w:val="20"/>
        </w:rPr>
        <w:instrText xml:space="preserve"> ADDIN ZOTERO_ITEM CSL_CITATION {"citationID":"O3gRovQp","properties":{"unsorted":false,"formattedCitation":"(106)","plainCitation":"(106)","noteIndex":0},"citationItems":[{"id":555,"uris":["http://zotero.org/users/16875439/items/L4IWU368"],"itemData":{"id":555,"type":"article-journal","abstract":"The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Pr="00477612">
        <w:rPr>
          <w:rFonts w:ascii="Arial" w:hAnsi="Arial" w:cs="Arial"/>
          <w:bCs/>
          <w:color w:val="000000" w:themeColor="text1"/>
          <w:sz w:val="20"/>
          <w:szCs w:val="20"/>
        </w:rPr>
        <w:fldChar w:fldCharType="separate"/>
      </w:r>
      <w:r w:rsidRPr="00477612">
        <w:rPr>
          <w:rFonts w:ascii="Arial" w:hAnsi="Arial" w:cs="Arial"/>
          <w:bCs/>
          <w:noProof/>
          <w:color w:val="000000" w:themeColor="text1"/>
          <w:sz w:val="20"/>
          <w:szCs w:val="20"/>
        </w:rPr>
        <w:t>(106)</w:t>
      </w:r>
      <w:r w:rsidRPr="00477612">
        <w:rPr>
          <w:rFonts w:ascii="Arial" w:hAnsi="Arial" w:cs="Arial"/>
          <w:bCs/>
          <w:color w:val="000000" w:themeColor="text1"/>
          <w:sz w:val="20"/>
          <w:szCs w:val="20"/>
        </w:rPr>
        <w:fldChar w:fldCharType="end"/>
      </w:r>
      <w:r w:rsidRPr="00477612">
        <w:rPr>
          <w:rFonts w:ascii="Arial" w:hAnsi="Arial" w:cs="Arial"/>
          <w:bCs/>
          <w:color w:val="000000" w:themeColor="text1"/>
          <w:sz w:val="20"/>
          <w:szCs w:val="20"/>
        </w:rPr>
        <w:t xml:space="preserve">. Because codacore supports only binary categorical variables, a nested modelling scheme </w:t>
      </w:r>
      <w:r w:rsidRPr="00477612">
        <w:rPr>
          <w:rFonts w:ascii="Arial" w:hAnsi="Arial" w:cs="Arial"/>
          <w:bCs/>
          <w:color w:val="333333"/>
          <w:sz w:val="20"/>
          <w:szCs w:val="20"/>
        </w:rPr>
        <w:t xml:space="preserve">was applied to predict the trinary soil type variable (NPK, PK, UF). Two models were fitted: one distinguishing NPK from non-NPK soils, and a second distinguishing PK from UF soils. The first model was trained on data from all three soils, whereas the second was trained only on PK and UF samples. As illustrated in </w:t>
      </w:r>
      <w:r w:rsidRPr="00477612">
        <w:rPr>
          <w:rFonts w:ascii="Arial" w:hAnsi="Arial" w:cs="Arial"/>
          <w:bCs/>
          <w:color w:val="333333"/>
          <w:sz w:val="20"/>
          <w:szCs w:val="20"/>
          <w:highlight w:val="cyan"/>
        </w:rPr>
        <w:t>Figure 3A</w:t>
      </w:r>
      <w:r w:rsidRPr="00477612">
        <w:rPr>
          <w:rFonts w:ascii="Arial" w:hAnsi="Arial" w:cs="Arial"/>
          <w:bCs/>
          <w:color w:val="333333"/>
          <w:sz w:val="20"/>
          <w:szCs w:val="20"/>
        </w:rPr>
        <w:t xml:space="preserve">, the first model predicts whether a sample originates from NPK soil; if not, the second model predicts whether it originates from PK or UF soil. Two-thirds of the data were used for model training and one-third was used for testing and to assess prediction accuracy. The split was </w:t>
      </w:r>
      <w:r w:rsidRPr="00477612">
        <w:rPr>
          <w:rFonts w:ascii="Arial" w:hAnsi="Arial" w:cs="Arial"/>
          <w:bCs/>
          <w:color w:val="333333"/>
          <w:sz w:val="20"/>
          <w:szCs w:val="20"/>
        </w:rPr>
        <w:lastRenderedPageBreak/>
        <w:t xml:space="preserve">performed randomly while ensuring equal representation of all three soils and all five genotypes in both training and </w:t>
      </w:r>
      <w:r w:rsidRPr="00477612">
        <w:rPr>
          <w:rFonts w:ascii="Arial" w:hAnsi="Arial" w:cs="Arial"/>
          <w:bCs/>
          <w:color w:val="000000" w:themeColor="text1"/>
          <w:sz w:val="20"/>
          <w:szCs w:val="20"/>
        </w:rPr>
        <w:t xml:space="preserve">test sets. Separate nested models were trained for </w:t>
      </w:r>
      <w:r w:rsidRPr="00477612">
        <w:rPr>
          <w:rFonts w:ascii="Arial" w:hAnsi="Arial" w:cs="Arial"/>
          <w:bCs/>
          <w:i/>
          <w:iCs/>
          <w:color w:val="000000" w:themeColor="text1"/>
          <w:sz w:val="20"/>
          <w:szCs w:val="20"/>
        </w:rPr>
        <w:t>Lotus</w:t>
      </w:r>
      <w:r w:rsidRPr="00477612">
        <w:rPr>
          <w:rFonts w:ascii="Arial" w:hAnsi="Arial" w:cs="Arial"/>
          <w:bCs/>
          <w:color w:val="000000" w:themeColor="text1"/>
          <w:sz w:val="20"/>
          <w:szCs w:val="20"/>
        </w:rPr>
        <w:t xml:space="preserve"> and </w:t>
      </w:r>
      <w:r w:rsidRPr="00477612">
        <w:rPr>
          <w:rFonts w:ascii="Arial" w:hAnsi="Arial" w:cs="Arial"/>
          <w:bCs/>
          <w:i/>
          <w:iCs/>
          <w:color w:val="000000" w:themeColor="text1"/>
          <w:sz w:val="20"/>
          <w:szCs w:val="20"/>
        </w:rPr>
        <w:t>Hordeum</w:t>
      </w:r>
      <w:r w:rsidRPr="00477612">
        <w:rPr>
          <w:rFonts w:ascii="Arial" w:hAnsi="Arial" w:cs="Arial"/>
          <w:bCs/>
          <w:color w:val="000000" w:themeColor="text1"/>
          <w:sz w:val="20"/>
          <w:szCs w:val="20"/>
        </w:rPr>
        <w:t xml:space="preserve"> datasets. Analysis only included bacterial ASVs.</w:t>
      </w:r>
    </w:p>
    <w:p w14:paraId="235BC3FD" w14:textId="77777777" w:rsidR="00111679" w:rsidRPr="00111679" w:rsidRDefault="00111679" w:rsidP="00111679">
      <w:pPr>
        <w:spacing w:after="0"/>
        <w:jc w:val="both"/>
        <w:rPr>
          <w:rFonts w:ascii="Arial" w:hAnsi="Arial" w:cs="Arial"/>
          <w:b/>
          <w:bCs/>
          <w:color w:val="000000" w:themeColor="text1"/>
          <w:sz w:val="20"/>
          <w:szCs w:val="20"/>
        </w:rPr>
      </w:pPr>
    </w:p>
    <w:p w14:paraId="08168FE2" w14:textId="5E4C94B5" w:rsidR="00477612" w:rsidRPr="00111679" w:rsidRDefault="00477612" w:rsidP="00111679">
      <w:pPr>
        <w:spacing w:after="0"/>
        <w:jc w:val="both"/>
        <w:rPr>
          <w:rFonts w:ascii="Arial" w:hAnsi="Arial" w:cs="Arial"/>
          <w:b/>
          <w:bCs/>
          <w:color w:val="000000" w:themeColor="text1"/>
          <w:sz w:val="20"/>
          <w:szCs w:val="20"/>
        </w:rPr>
      </w:pPr>
      <w:r w:rsidRPr="00477612">
        <w:rPr>
          <w:rFonts w:ascii="Arial" w:hAnsi="Arial" w:cs="Arial"/>
          <w:b/>
          <w:bCs/>
          <w:color w:val="000000" w:themeColor="text1"/>
          <w:sz w:val="20"/>
          <w:szCs w:val="20"/>
        </w:rPr>
        <w:t>Root exudate experimental setups</w:t>
      </w:r>
      <w:r w:rsidR="00111679">
        <w:rPr>
          <w:rFonts w:ascii="Arial" w:hAnsi="Arial" w:cs="Arial"/>
          <w:b/>
          <w:bCs/>
          <w:color w:val="000000" w:themeColor="text1"/>
          <w:sz w:val="20"/>
          <w:szCs w:val="20"/>
        </w:rPr>
        <w:t xml:space="preserve">. </w:t>
      </w:r>
      <w:r w:rsidRPr="00477612">
        <w:rPr>
          <w:rFonts w:ascii="Arial" w:hAnsi="Arial" w:cs="Arial"/>
          <w:color w:val="000000" w:themeColor="text1"/>
          <w:sz w:val="20"/>
          <w:szCs w:val="20"/>
        </w:rPr>
        <w:t xml:space="preserve">For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sterile-germinated wild-type and CSSP mutant seedlings were transferred to sterile square Petri dishes half-filled with solid quarter-strength B&amp;D medium without nitrogen (1.4% Agar Noble, Difco)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{"citationID":"4rShtgfv","properties":{"unsorted":false,"formattedCitation":"(107)","plainCitation":"(107)","noteIndex":0},"citationItems":[{"id":557,"uris":["http://zotero.org/users/16875439/items/JFE5NCHM"],"itemData":{"id":557,"type":"article-journal","abstract":"1.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noProof/>
          <w:color w:val="000000" w:themeColor="text1"/>
          <w:sz w:val="20"/>
          <w:szCs w:val="20"/>
        </w:rPr>
        <w:t>(107)</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For each genotype, six biological replicates were prepared, with 12 plants per plate. A sterile filter paper was placed between the roots and the medium, and plants were fixed using an autoclaved aluminium foil grid. Plates maintained vertically in custom plastic racks covering the lower half of the plates to keep roots in darkness. Plants were cultivated at 21°C, 16/8 day/night hours, 100/0 μmol m</w:t>
      </w:r>
      <w:r w:rsidRPr="00477612">
        <w:rPr>
          <w:rFonts w:ascii="Arial" w:hAnsi="Arial" w:cs="Arial"/>
          <w:color w:val="000000" w:themeColor="text1"/>
          <w:sz w:val="20"/>
          <w:szCs w:val="20"/>
          <w:vertAlign w:val="superscript"/>
        </w:rPr>
        <w:t>-2</w:t>
      </w:r>
      <w:r w:rsidRPr="00477612">
        <w:rPr>
          <w:rFonts w:ascii="Arial" w:hAnsi="Arial" w:cs="Arial"/>
          <w:color w:val="000000" w:themeColor="text1"/>
          <w:sz w:val="20"/>
          <w:szCs w:val="20"/>
        </w:rPr>
        <w:t xml:space="preserve"> s</w:t>
      </w:r>
      <w:r w:rsidRPr="00477612">
        <w:rPr>
          <w:rFonts w:ascii="Arial" w:hAnsi="Arial" w:cs="Arial"/>
          <w:color w:val="000000" w:themeColor="text1"/>
          <w:sz w:val="20"/>
          <w:szCs w:val="20"/>
          <w:vertAlign w:val="superscript"/>
        </w:rPr>
        <w:t>-1</w:t>
      </w:r>
      <w:r w:rsidRPr="00477612">
        <w:rPr>
          <w:rFonts w:ascii="Arial" w:hAnsi="Arial" w:cs="Arial"/>
          <w:color w:val="000000" w:themeColor="text1"/>
          <w:sz w:val="20"/>
          <w:szCs w:val="20"/>
        </w:rPr>
        <w:t xml:space="preserve"> white light day/night for two weeks.  </w:t>
      </w:r>
    </w:p>
    <w:p w14:paraId="198914A9" w14:textId="13B6B1FF" w:rsidR="00477612" w:rsidRPr="00477612" w:rsidRDefault="00477612" w:rsidP="00477612">
      <w:pPr>
        <w:jc w:val="both"/>
        <w:rPr>
          <w:rFonts w:ascii="Arial" w:hAnsi="Arial" w:cs="Arial"/>
          <w:color w:val="000000" w:themeColor="text1"/>
          <w:sz w:val="20"/>
          <w:szCs w:val="20"/>
        </w:rPr>
      </w:pPr>
      <w:r w:rsidRPr="00477612">
        <w:rPr>
          <w:rFonts w:ascii="Arial" w:hAnsi="Arial" w:cs="Arial"/>
          <w:color w:val="000000" w:themeColor="text1"/>
          <w:sz w:val="20"/>
          <w:szCs w:val="20"/>
        </w:rPr>
        <w:t xml:space="preserve">For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sterile-germinated wild-type and CSSP mutant seedlings were cultivated in autoclaved Duran borosilicate glass tubes containing 50ml sterile VWR sand (CAS 14808-60-7, washed with sterile Milli-Q and baked for 4h at 200°C), and supplemented with 15ml of low-nitrogen, low-phosphorus Long Ashton medium (as used for the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gnotobiotic experiment). One seedling was added per tube, which was closed with autoclaved foam plug. Unplanted sand-only controls were included. Plants were cultivated under the same conditions as </w:t>
      </w:r>
      <w:r w:rsidRPr="00477612">
        <w:rPr>
          <w:rFonts w:ascii="Arial" w:hAnsi="Arial" w:cs="Arial"/>
          <w:i/>
          <w:color w:val="000000" w:themeColor="text1"/>
          <w:sz w:val="20"/>
          <w:szCs w:val="20"/>
        </w:rPr>
        <w:t>Lotus</w:t>
      </w:r>
      <w:r w:rsidRPr="00477612">
        <w:rPr>
          <w:rFonts w:ascii="Arial" w:hAnsi="Arial" w:cs="Arial"/>
          <w:color w:val="000000" w:themeColor="text1"/>
          <w:sz w:val="20"/>
          <w:szCs w:val="20"/>
        </w:rPr>
        <w:t xml:space="preserve"> for three weeks.</w:t>
      </w:r>
    </w:p>
    <w:p w14:paraId="53DA5159" w14:textId="7D27B6AF" w:rsidR="00477612" w:rsidRDefault="00477612" w:rsidP="00111679">
      <w:pPr>
        <w:spacing w:after="0"/>
        <w:jc w:val="both"/>
        <w:rPr>
          <w:rFonts w:ascii="Arial" w:hAnsi="Arial" w:cs="Arial"/>
          <w:sz w:val="20"/>
          <w:szCs w:val="20"/>
        </w:rPr>
      </w:pPr>
      <w:r w:rsidRPr="00477612">
        <w:rPr>
          <w:rFonts w:ascii="Arial" w:hAnsi="Arial" w:cs="Arial"/>
          <w:b/>
          <w:bCs/>
          <w:color w:val="000000" w:themeColor="text1"/>
          <w:sz w:val="20"/>
          <w:szCs w:val="20"/>
        </w:rPr>
        <w:t>Root exudate harvest, sample preparation and LC-MS/MS</w:t>
      </w:r>
      <w:r w:rsidR="00111679">
        <w:rPr>
          <w:rFonts w:ascii="Arial" w:hAnsi="Arial" w:cs="Arial"/>
          <w:b/>
          <w:bCs/>
          <w:color w:val="000000" w:themeColor="text1"/>
          <w:sz w:val="20"/>
          <w:szCs w:val="20"/>
        </w:rPr>
        <w:t xml:space="preserve">. </w:t>
      </w:r>
      <w:r w:rsidRPr="00477612">
        <w:rPr>
          <w:rFonts w:ascii="Arial" w:hAnsi="Arial" w:cs="Arial"/>
          <w:bCs/>
          <w:color w:val="000000" w:themeColor="text1"/>
          <w:sz w:val="20"/>
          <w:szCs w:val="20"/>
        </w:rPr>
        <w:t xml:space="preserve">For </w:t>
      </w:r>
      <w:r w:rsidRPr="00477612">
        <w:rPr>
          <w:rFonts w:ascii="Arial" w:hAnsi="Arial" w:cs="Arial"/>
          <w:bCs/>
          <w:i/>
          <w:color w:val="000000" w:themeColor="text1"/>
          <w:sz w:val="20"/>
          <w:szCs w:val="20"/>
        </w:rPr>
        <w:t>Lotus</w:t>
      </w:r>
      <w:r w:rsidRPr="00477612">
        <w:rPr>
          <w:rFonts w:ascii="Arial" w:hAnsi="Arial" w:cs="Arial"/>
          <w:bCs/>
          <w:color w:val="000000" w:themeColor="text1"/>
          <w:sz w:val="20"/>
          <w:szCs w:val="20"/>
        </w:rPr>
        <w:t xml:space="preserve">, plants from a single Petri dish were pooled and transferred to a sterile glass vial containing 20ml sterile </w:t>
      </w:r>
      <w:r w:rsidRPr="00477612">
        <w:rPr>
          <w:rFonts w:ascii="Arial" w:hAnsi="Arial" w:cs="Arial"/>
          <w:color w:val="000000" w:themeColor="text1"/>
          <w:sz w:val="20"/>
          <w:szCs w:val="20"/>
        </w:rPr>
        <w:t>Milli-Q</w:t>
      </w:r>
      <w:r w:rsidRPr="00477612">
        <w:rPr>
          <w:rFonts w:ascii="Arial" w:hAnsi="Arial" w:cs="Arial"/>
          <w:bCs/>
          <w:color w:val="000000" w:themeColor="text1"/>
          <w:sz w:val="20"/>
          <w:szCs w:val="20"/>
        </w:rPr>
        <w:t>. After 3h, plants were removed, and the solution was filter-sterilised using 0.4µm cell strainers</w:t>
      </w:r>
      <w:r w:rsidRPr="00477612">
        <w:rPr>
          <w:rFonts w:ascii="Arial" w:hAnsi="Arial" w:cs="Arial"/>
          <w:bCs/>
          <w:sz w:val="20"/>
          <w:szCs w:val="20"/>
        </w:rPr>
        <w:t xml:space="preserve">. For </w:t>
      </w:r>
      <w:r w:rsidRPr="00477612">
        <w:rPr>
          <w:rFonts w:ascii="Arial" w:hAnsi="Arial" w:cs="Arial"/>
          <w:bCs/>
          <w:i/>
          <w:iCs/>
          <w:sz w:val="20"/>
          <w:szCs w:val="20"/>
        </w:rPr>
        <w:t>Hordeum</w:t>
      </w:r>
      <w:r w:rsidRPr="00477612">
        <w:rPr>
          <w:rFonts w:ascii="Arial" w:hAnsi="Arial" w:cs="Arial"/>
          <w:bCs/>
          <w:sz w:val="20"/>
          <w:szCs w:val="20"/>
        </w:rPr>
        <w:t xml:space="preserve">, plants were gently removed with sterile tweezers. Thirty millilitres of sterile </w:t>
      </w:r>
      <w:r w:rsidRPr="00477612">
        <w:rPr>
          <w:rFonts w:ascii="Arial" w:hAnsi="Arial" w:cs="Arial"/>
          <w:sz w:val="20"/>
          <w:szCs w:val="20"/>
        </w:rPr>
        <w:t>Milli-Q</w:t>
      </w:r>
      <w:r w:rsidRPr="00477612">
        <w:rPr>
          <w:rFonts w:ascii="Arial" w:hAnsi="Arial" w:cs="Arial"/>
          <w:bCs/>
          <w:sz w:val="20"/>
          <w:szCs w:val="20"/>
        </w:rPr>
        <w:t xml:space="preserve"> were added to the sand, tubes were sealed with Parafilm, vortexed for 30s, and the suspension was allowed to settle. The supernatant was collected into fresh tubes and filtered through 0.4µm cell strainers. All samples were stored at -70</w:t>
      </w:r>
      <w:r w:rsidRPr="00477612">
        <w:rPr>
          <w:rFonts w:ascii="Arial" w:hAnsi="Arial" w:cs="Arial"/>
          <w:color w:val="333333"/>
          <w:sz w:val="20"/>
          <w:szCs w:val="20"/>
        </w:rPr>
        <w:t>°C</w:t>
      </w:r>
      <w:r w:rsidRPr="00477612">
        <w:rPr>
          <w:rFonts w:ascii="Arial" w:hAnsi="Arial" w:cs="Arial"/>
          <w:bCs/>
          <w:sz w:val="20"/>
          <w:szCs w:val="20"/>
        </w:rPr>
        <w:t xml:space="preserve"> and subsequently freeze-dried in a lyophiliser (CD52-I, HETOSIC, Heto Lab Equipment) for 1-2 days. For </w:t>
      </w:r>
      <w:r w:rsidRPr="00477612">
        <w:rPr>
          <w:rFonts w:ascii="Arial" w:hAnsi="Arial" w:cs="Arial"/>
          <w:bCs/>
          <w:i/>
          <w:iCs/>
          <w:sz w:val="20"/>
          <w:szCs w:val="20"/>
        </w:rPr>
        <w:t>Lotus</w:t>
      </w:r>
      <w:r w:rsidRPr="00477612">
        <w:rPr>
          <w:rFonts w:ascii="Arial" w:hAnsi="Arial" w:cs="Arial"/>
          <w:bCs/>
          <w:sz w:val="20"/>
          <w:szCs w:val="20"/>
        </w:rPr>
        <w:t xml:space="preserve">, </w:t>
      </w:r>
      <w:r w:rsidRPr="00477612">
        <w:rPr>
          <w:rFonts w:ascii="Arial" w:hAnsi="Arial" w:cs="Arial"/>
          <w:sz w:val="20"/>
          <w:szCs w:val="20"/>
        </w:rPr>
        <w:t xml:space="preserve">freeze-dried samples were spiked with 40µl internal standard (10.6µg/ml vanillin-(phenyl-13C6) in methanol), reconstituted in 5ml methanol, shaken at 1500rpm for 5min, and sonicated  for 10min at room temperature. Extracts were filtered through hydrophobic PTFE filters, dried under a gentle nitrogen flow, up-concentrated with 200µl D6-abscisic acid in 80% methanol, and transferred to vials with 300µl inserts. For </w:t>
      </w:r>
      <w:r w:rsidRPr="00477612">
        <w:rPr>
          <w:rFonts w:ascii="Arial" w:hAnsi="Arial" w:cs="Arial"/>
          <w:i/>
          <w:iCs/>
          <w:sz w:val="20"/>
          <w:szCs w:val="20"/>
        </w:rPr>
        <w:t>Hordeum</w:t>
      </w:r>
      <w:r w:rsidRPr="00477612">
        <w:rPr>
          <w:rFonts w:ascii="Arial" w:hAnsi="Arial" w:cs="Arial"/>
          <w:sz w:val="20"/>
          <w:szCs w:val="20"/>
        </w:rPr>
        <w:t>, freeze-dried samples were spiked with 20μl 10μg/ml</w:t>
      </w:r>
      <w:r w:rsidRPr="00477612">
        <w:rPr>
          <w:rFonts w:ascii="Arial" w:hAnsi="Arial" w:cs="Arial"/>
          <w:bCs/>
          <w:sz w:val="20"/>
          <w:szCs w:val="20"/>
        </w:rPr>
        <w:t xml:space="preserve"> </w:t>
      </w:r>
      <w:r w:rsidRPr="00477612">
        <w:rPr>
          <w:rFonts w:ascii="Arial" w:hAnsi="Arial" w:cs="Arial"/>
          <w:sz w:val="20"/>
          <w:szCs w:val="20"/>
        </w:rPr>
        <w:t xml:space="preserve">ketopinic acid in methanol and dried under nitrogen flow. Samples were reconstituted in 3ml 100% methanol, sonicated for 10min, and filtered using hydrophobic PTFE syringe filters (0.22μm pore size, 25mm). After drying under nitrogen, samples were reconstituted in 300μl of 80:20 (v/v) methanol:Milli-Q water containing 1μg/ml camphoric acid (internal standard) and transferred to vials for analysis. Analyses for both species were performed using ultra-high-performance liquid chromatography (UHPLC; Dionex Ultimate 3000, Thermo Fisher) coupled to a quadrupole time-of-flight mass spectrometer (qToF-MS; Bruker Compact) with electrospray ionisation in negative mode. Separation was achieved using an ACQUITY UHPLC HSS T3 column (2.1x1000 mm, 1.8μm; Waters) at a flow rate of 0.2ml/min. Mobile phases consisted of 0.1% acetic acid in Milli-Q water and 0.1% acetic acid in acetonitrile, and a linear gradient program, as described by Salomonsen </w:t>
      </w:r>
      <w:r w:rsidRPr="00477612">
        <w:rPr>
          <w:rFonts w:ascii="Arial" w:hAnsi="Arial" w:cs="Arial"/>
          <w:i/>
          <w:iCs/>
          <w:sz w:val="20"/>
          <w:szCs w:val="20"/>
        </w:rPr>
        <w:t>et al</w:t>
      </w:r>
      <w:r w:rsidRPr="00477612">
        <w:rPr>
          <w:rFonts w:ascii="Arial" w:hAnsi="Arial" w:cs="Arial"/>
          <w:sz w:val="20"/>
          <w:szCs w:val="20"/>
        </w:rPr>
        <w:t xml:space="preserve">., 2024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{"citationID":"lMxBhdFJ","properties":{"unsorted":false,"formattedCitation":"(108)","plainCitation":"(108)","noteIndex":0},"citationItems":[{"id":769,"uris":["http://zotero.org/users/16875439/items/53JRC8CE"],"itemData":{"id":769,"type":"article-journal","abstract":"Plant root exudates play a pivotal role in shaping soil dynamics and the microbial community in the rhizosphere. The chemical composition of root exudates includes primary and secondary metabolites, including amino acids, organic acids, flavonoids, and small peptides. Comprehensive characterization of root exudates will allow for a better understanding of rhizosphere processes and interactions, but analysis of root exudates is hindered by complicated collection setups, time-consuming sample preparation, and a lack of definitive annotations within metabolomics. We present a method optimized for non-targeted analysis of primary and secondary metabolites in root exudate samples using ultra-high-performance liquid chromatography coupled with high-resolution mass spectrometry. The method was tested on root exudates from Lotus japonicus, collected using distinct and well-established sampling methods: a hydroponic-soil-hybrid approach, as well as a modification of a soil-leaching method, thus exemplifying the versatility of the analysis method. The method allows for non-targeted screening of plant metabolites, and provides low detection limits (0.002–0.05 μg/mL) and high recoveries (78 ± 30%), though a matrix effect was observed for certain plant metabolites. Detection of a large number of features was achieved (670–2785) of which the majority could be putatively annotated at the compound class level. Of these, 14 features were putatively annotated to a specific structure with high confidence, three of which were confirmed with analytical reference standards. The method can be used for investigation of the overall change in root exudation, as well as for investigating significant changes in metabolites in response to intraenous and extraneous parameters.","container-title":"Rhizosphere","DOI":"10.1016/j.rhisph.2024.100957","ISSN":"2452-2198","journalAbbreviation":"Rhizosphere","page":"100957","source":"ScienceDirect","title":"Comprehensive characterization of the rhizosphere metabolome: A novel method for non-targeted analysis of &lt;i&gt;Lotus japonicus&lt;/i&gt; root exudates","title-short":"Comprehensive characterization of the rhizosphere metabolome","volume":"32","author":[{"family":"Salomonsen","given":"Camilla"},{"family":"Martyn","given":"Anna"},{"family":"Quilbé","given":"Johan"},{"family":"Björgvinsdóttir","given":"þuríður Nótt"},{"family":"Andersen","given":"Stig U."},{"family":"Radutoiu","given":"Simona"},{"family":"Glasius","given":"Marianne"}],"issued":{"date-parts":[["2024",12,1]]}}}],"schema":"https://github.com/citation-style-language/schema/raw/master/csl-citation.json"}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(108)</w:t>
      </w:r>
      <w:r w:rsidRPr="00477612">
        <w:rPr>
          <w:rFonts w:ascii="Arial" w:hAnsi="Arial" w:cs="Arial"/>
          <w:sz w:val="20"/>
          <w:szCs w:val="20"/>
        </w:rPr>
        <w:fldChar w:fldCharType="end"/>
      </w:r>
      <w:r w:rsidRPr="00477612">
        <w:rPr>
          <w:rFonts w:ascii="Arial" w:hAnsi="Arial" w:cs="Arial"/>
          <w:sz w:val="20"/>
          <w:szCs w:val="20"/>
        </w:rPr>
        <w:t>, was applied. A 2μl injection volume was used, and the column temperature was maintained at 45°C.</w:t>
      </w:r>
    </w:p>
    <w:p w14:paraId="36F282AA" w14:textId="77777777" w:rsidR="00971332" w:rsidRPr="00111679" w:rsidRDefault="00971332" w:rsidP="00111679">
      <w:pPr>
        <w:spacing w:after="0"/>
        <w:jc w:val="both"/>
        <w:rPr>
          <w:rFonts w:ascii="Arial" w:hAnsi="Arial" w:cs="Arial"/>
          <w:b/>
          <w:bCs/>
          <w:color w:val="000000" w:themeColor="text1"/>
          <w:sz w:val="20"/>
          <w:szCs w:val="20"/>
        </w:rPr>
      </w:pPr>
    </w:p>
    <w:p w14:paraId="10197D53" w14:textId="3772C39A" w:rsidR="00477612" w:rsidRDefault="00477612" w:rsidP="00971332">
      <w:pPr>
        <w:spacing w:after="0"/>
        <w:jc w:val="both"/>
        <w:rPr>
          <w:rFonts w:ascii="Arial" w:hAnsi="Arial" w:cs="Arial"/>
          <w:sz w:val="20"/>
          <w:szCs w:val="20"/>
        </w:rPr>
      </w:pPr>
      <w:r w:rsidRPr="00477612">
        <w:rPr>
          <w:rFonts w:ascii="Arial" w:hAnsi="Arial" w:cs="Arial"/>
          <w:b/>
          <w:bCs/>
          <w:sz w:val="20"/>
          <w:szCs w:val="20"/>
        </w:rPr>
        <w:t xml:space="preserve">Metabolite data analysis, statistics and </w:t>
      </w:r>
      <w:r w:rsidR="00971332">
        <w:rPr>
          <w:rFonts w:ascii="Arial" w:hAnsi="Arial" w:cs="Arial"/>
          <w:b/>
          <w:bCs/>
          <w:sz w:val="20"/>
          <w:szCs w:val="20"/>
        </w:rPr>
        <w:t xml:space="preserve">visualization. </w:t>
      </w:r>
      <w:r w:rsidRPr="00477612">
        <w:rPr>
          <w:rFonts w:ascii="Arial" w:hAnsi="Arial" w:cs="Arial"/>
          <w:sz w:val="20"/>
          <w:szCs w:val="20"/>
        </w:rPr>
        <w:t xml:space="preserve">Raw LC-MS data were pre-processed using </w:t>
      </w:r>
      <w:bookmarkStart w:id="5" w:name="_Hlk222174659"/>
      <w:r w:rsidRPr="00477612">
        <w:rPr>
          <w:rFonts w:ascii="Arial" w:hAnsi="Arial" w:cs="Arial"/>
          <w:sz w:val="20"/>
          <w:szCs w:val="20"/>
        </w:rPr>
        <w:t>MzMine 3.3.0</w:t>
      </w:r>
      <w:bookmarkEnd w:id="5"/>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sRxrtC6","properties":{"unsorted":false,"formattedCitation":"(109)","plainCitation":"(109)","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(109)</w:t>
      </w:r>
      <w:r w:rsidRPr="00477612">
        <w:rPr>
          <w:rFonts w:ascii="Arial" w:hAnsi="Arial" w:cs="Arial"/>
          <w:sz w:val="20"/>
          <w:szCs w:val="20"/>
        </w:rPr>
        <w:fldChar w:fldCharType="end"/>
      </w:r>
      <w:r w:rsidRPr="00477612">
        <w:rPr>
          <w:rFonts w:ascii="Arial" w:hAnsi="Arial" w:cs="Arial"/>
          <w:sz w:val="20"/>
          <w:szCs w:val="20"/>
        </w:rPr>
        <w:t xml:space="preserve">. Features with retention times greater than 19min were excluded. Chemical annotation was performed using CANOPUS implemented in SIRIUS 5.6.3, as well as the ClassyFire and NPClassifier tools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p94B2K0","properties":{"unsorted":false,"formattedCitation":"(110\\uc0\\u8211{}113)","plainCitation":"(110–113)","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(110–113)</w:t>
      </w:r>
      <w:r w:rsidRPr="00477612">
        <w:rPr>
          <w:rFonts w:ascii="Arial" w:hAnsi="Arial" w:cs="Arial"/>
          <w:sz w:val="20"/>
          <w:szCs w:val="20"/>
        </w:rPr>
        <w:fldChar w:fldCharType="end"/>
      </w:r>
      <w:r w:rsidRPr="00477612">
        <w:rPr>
          <w:rFonts w:ascii="Arial" w:hAnsi="Arial" w:cs="Arial"/>
          <w:sz w:val="20"/>
          <w:szCs w:val="20"/>
        </w:rPr>
        <w:t xml:space="preserve">. Prior to statistical analyses, metabolites detected in fewer than 10% of samples were removed. Differential exudation between sand controls samples and the five genotypes (WT,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and </w:t>
      </w:r>
      <w:r w:rsidRPr="00477612">
        <w:rPr>
          <w:rFonts w:ascii="Arial" w:hAnsi="Arial" w:cs="Arial"/>
          <w:i/>
          <w:iCs/>
          <w:sz w:val="20"/>
          <w:szCs w:val="20"/>
        </w:rPr>
        <w:t>nsp2</w:t>
      </w:r>
      <w:r w:rsidRPr="00477612">
        <w:rPr>
          <w:rFonts w:ascii="Arial" w:hAnsi="Arial" w:cs="Arial"/>
          <w:sz w:val="20"/>
          <w:szCs w:val="20"/>
        </w:rPr>
        <w:t xml:space="preserve">) was assessed using Tobit regression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HNYsd0H4","properties":{"unsorted":false,"formattedCitation":"(114)","plainCitation":"(114)","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(114)</w:t>
      </w:r>
      <w:r w:rsidRPr="00477612">
        <w:rPr>
          <w:rFonts w:ascii="Arial" w:hAnsi="Arial" w:cs="Arial"/>
          <w:sz w:val="20"/>
          <w:szCs w:val="20"/>
        </w:rPr>
        <w:fldChar w:fldCharType="end"/>
      </w:r>
      <w:r w:rsidRPr="00477612">
        <w:rPr>
          <w:rFonts w:ascii="Arial" w:hAnsi="Arial" w:cs="Arial"/>
          <w:sz w:val="20"/>
          <w:szCs w:val="20"/>
        </w:rPr>
        <w:t xml:space="preserve">, with the minimum non-zero measurement used as the lower detection limit, followed by a likelihood-ratio test with Benjamini-Hochberg correction at an FDR of 5%. For metabolites detected in all samples, this approach is equivalent to linear regression. Principal component analysis (PCA) </w:t>
      </w:r>
      <w:r w:rsidRPr="00477612">
        <w:rPr>
          <w:rFonts w:ascii="Arial" w:hAnsi="Arial" w:cs="Arial"/>
          <w:sz w:val="20"/>
          <w:szCs w:val="20"/>
        </w:rPr>
        <w:lastRenderedPageBreak/>
        <w:fldChar w:fldCharType="begin"/>
      </w:r>
      <w:r w:rsidRPr="00477612">
        <w:rPr>
          <w:rFonts w:ascii="Arial" w:hAnsi="Arial" w:cs="Arial"/>
          <w:sz w:val="20"/>
          <w:szCs w:val="20"/>
        </w:rPr>
        <w:instrText xml:space="preserve"> ADDIN ZOTERO_ITEM CSL_CITATION {"citationID":"EUc4yK4q","properties":{"unsorted":false,"formattedCitation":"(115)","plainCitation":"(115)","noteIndex":0},"citationItems":[{"id":645,"uris":["http://zotero.org/users/16875439/items/CK9MG45Q"],"itemData":{"id":645,"type":"article-journal","container-title":"The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(115)</w:t>
      </w:r>
      <w:r w:rsidRPr="00477612">
        <w:rPr>
          <w:rFonts w:ascii="Arial" w:hAnsi="Arial" w:cs="Arial"/>
          <w:sz w:val="20"/>
          <w:szCs w:val="20"/>
        </w:rPr>
        <w:fldChar w:fldCharType="end"/>
      </w:r>
      <w:r w:rsidRPr="00477612">
        <w:rPr>
          <w:rFonts w:ascii="Arial" w:hAnsi="Arial" w:cs="Arial"/>
          <w:sz w:val="20"/>
          <w:szCs w:val="20"/>
        </w:rPr>
        <w:t xml:space="preserve"> was subsequently performed. Differential exudation between WT and each mutant was analysed using the same Tobit regression framework, likelihood-ratio testing, and BH correction (FDR 5%). Metabolites with annotation probabilities below 60% were classified as unknown.</w:t>
      </w:r>
    </w:p>
    <w:p w14:paraId="350290AE" w14:textId="77777777" w:rsidR="00971332" w:rsidRPr="00971332" w:rsidRDefault="00971332" w:rsidP="00971332">
      <w:pPr>
        <w:spacing w:after="0"/>
        <w:jc w:val="both"/>
        <w:rPr>
          <w:rFonts w:ascii="Arial" w:hAnsi="Arial" w:cs="Arial"/>
          <w:b/>
          <w:bCs/>
          <w:sz w:val="20"/>
          <w:szCs w:val="20"/>
        </w:rPr>
      </w:pPr>
    </w:p>
    <w:p w14:paraId="4203FEA4" w14:textId="66D2A06E" w:rsidR="00E6133D" w:rsidRPr="00971332" w:rsidRDefault="00477612" w:rsidP="00971332">
      <w:pPr>
        <w:spacing w:after="0"/>
        <w:jc w:val="both"/>
        <w:rPr>
          <w:rFonts w:ascii="Arial" w:hAnsi="Arial" w:cs="Arial"/>
          <w:b/>
          <w:bCs/>
          <w:sz w:val="20"/>
          <w:szCs w:val="20"/>
        </w:rPr>
      </w:pPr>
      <w:commentRangeStart w:id="6"/>
      <w:r w:rsidRPr="00477612">
        <w:rPr>
          <w:rFonts w:ascii="Arial" w:hAnsi="Arial" w:cs="Arial"/>
          <w:b/>
          <w:bCs/>
          <w:sz w:val="20"/>
          <w:szCs w:val="20"/>
        </w:rPr>
        <w:t>Data and code availability</w:t>
      </w:r>
      <w:commentRangeEnd w:id="6"/>
      <w:r>
        <w:rPr>
          <w:rStyle w:val="CommentReference"/>
          <w:rFonts w:ascii="Arial" w:hAnsi="Arial" w:cs="Arial"/>
          <w:b/>
          <w:bCs/>
          <w:sz w:val="20"/>
          <w:szCs w:val="20"/>
        </w:rPr>
        <w:commentReference w:id="6"/>
      </w:r>
      <w:r w:rsidR="00971332">
        <w:rPr>
          <w:rFonts w:ascii="Arial" w:hAnsi="Arial" w:cs="Arial"/>
          <w:b/>
          <w:bCs/>
          <w:sz w:val="20"/>
          <w:szCs w:val="20"/>
        </w:rPr>
        <w:t xml:space="preserve">. </w:t>
      </w:r>
      <w:r w:rsidRPr="00477612">
        <w:rPr>
          <w:rFonts w:ascii="Arial" w:hAnsi="Arial" w:cs="Arial"/>
          <w:sz w:val="20"/>
          <w:szCs w:val="20"/>
        </w:rPr>
        <w:t xml:space="preserve">All scripts and datasets used to reproduce the figures for this study have been deposited at </w:t>
      </w:r>
      <w:r w:rsidRPr="00477612">
        <w:rPr>
          <w:rFonts w:ascii="Arial" w:hAnsi="Arial" w:cs="Arial"/>
          <w:sz w:val="20"/>
          <w:szCs w:val="20"/>
          <w:highlight w:val="red"/>
        </w:rPr>
        <w:t>LINK GITHUB</w:t>
      </w:r>
      <w:r w:rsidRPr="00477612">
        <w:rPr>
          <w:rFonts w:ascii="Arial" w:hAnsi="Arial" w:cs="Arial"/>
          <w:sz w:val="20"/>
          <w:szCs w:val="20"/>
        </w:rPr>
        <w:t xml:space="preserve">. All amplicon raw data have been deposited in the National Center for Biotechnology Information (NCBI) database with accession code </w:t>
      </w:r>
      <w:r w:rsidRPr="00477612">
        <w:rPr>
          <w:rFonts w:ascii="Arial" w:hAnsi="Arial" w:cs="Arial"/>
          <w:sz w:val="20"/>
          <w:szCs w:val="20"/>
          <w:highlight w:val="red"/>
        </w:rPr>
        <w:t>XXX</w:t>
      </w:r>
      <w:r w:rsidRPr="00477612">
        <w:rPr>
          <w:rFonts w:ascii="Arial" w:hAnsi="Arial" w:cs="Arial"/>
          <w:sz w:val="20"/>
          <w:szCs w:val="20"/>
        </w:rPr>
        <w:t>. The metabolic raw data files are stores as MassIVE dataset (</w:t>
      </w:r>
      <w:r w:rsidRPr="00477612">
        <w:rPr>
          <w:rFonts w:ascii="Arial" w:hAnsi="Arial" w:cs="Arial"/>
          <w:sz w:val="20"/>
          <w:szCs w:val="20"/>
          <w:highlight w:val="red"/>
        </w:rPr>
        <w:t>doiXXX</w:t>
      </w:r>
      <w:r w:rsidRPr="00477612">
        <w:rPr>
          <w:rFonts w:ascii="Arial" w:hAnsi="Arial" w:cs="Arial"/>
          <w:sz w:val="20"/>
          <w:szCs w:val="20"/>
        </w:rPr>
        <w:t xml:space="preserve">) under accession code </w:t>
      </w:r>
      <w:r w:rsidRPr="00477612">
        <w:rPr>
          <w:rFonts w:ascii="Arial" w:hAnsi="Arial" w:cs="Arial"/>
          <w:sz w:val="20"/>
          <w:szCs w:val="20"/>
          <w:highlight w:val="red"/>
        </w:rPr>
        <w:t>XXX</w:t>
      </w:r>
      <w:r w:rsidRPr="00477612">
        <w:rPr>
          <w:rFonts w:ascii="Arial" w:hAnsi="Arial" w:cs="Arial"/>
          <w:sz w:val="20"/>
          <w:szCs w:val="20"/>
        </w:rPr>
        <w:t>. A</w:t>
      </w:r>
      <w:r w:rsidRPr="00477612">
        <w:rPr>
          <w:rFonts w:ascii="Arial" w:hAnsi="Arial" w:cs="Arial"/>
          <w:color w:val="222222"/>
          <w:sz w:val="20"/>
          <w:szCs w:val="20"/>
          <w:shd w:val="clear" w:color="auto" w:fill="FFFFFF"/>
        </w:rPr>
        <w:t>ny additional information required to reanalyse the data reported in this study is available from the lead contact upon request.</w:t>
      </w:r>
    </w:p>
    <w:p w14:paraId="2E4CAF39"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p>
    <w:p w14:paraId="557C004D" w14:textId="0E3BFB00" w:rsidR="00980C22" w:rsidRDefault="00477612" w:rsidP="00477612">
      <w:pPr>
        <w:pBdr>
          <w:top w:val="nil"/>
          <w:left w:val="nil"/>
          <w:bottom w:val="nil"/>
          <w:right w:val="nil"/>
          <w:between w:val="nil"/>
        </w:pBdr>
        <w:contextualSpacing/>
        <w:jc w:val="both"/>
        <w:rPr>
          <w:rFonts w:ascii="Arial" w:hAnsi="Arial" w:cs="Arial"/>
          <w:sz w:val="20"/>
          <w:szCs w:val="20"/>
        </w:rPr>
      </w:pPr>
      <w:r w:rsidRPr="00477612">
        <w:rPr>
          <w:rFonts w:ascii="Arial" w:hAnsi="Arial" w:cs="Arial"/>
          <w:sz w:val="20"/>
          <w:szCs w:val="20"/>
        </w:rPr>
        <w:t xml:space="preserve">We thank Dr. Sha Zhang, Dr. Florian Lamouche, and Dr. Simon Kelly for valuable input on experimental design and data analysis, and Dr. </w:t>
      </w:r>
      <w:r w:rsidRPr="00477612">
        <w:rPr>
          <w:rFonts w:ascii="Arial" w:hAnsi="Arial" w:cs="Arial"/>
          <w:color w:val="000000"/>
          <w:sz w:val="20"/>
          <w:szCs w:val="20"/>
          <w:shd w:val="clear" w:color="auto" w:fill="FDFCFB"/>
        </w:rPr>
        <w:t>Eleni Soumpourou</w:t>
      </w:r>
      <w:r w:rsidRPr="00477612">
        <w:rPr>
          <w:rFonts w:ascii="Arial" w:hAnsi="Arial" w:cs="Arial"/>
          <w:color w:val="000000"/>
          <w:sz w:val="20"/>
          <w:szCs w:val="20"/>
          <w:shd w:val="clear" w:color="auto" w:fill="FDFCFB"/>
          <w:vertAlign w:val="superscript"/>
        </w:rPr>
        <w:t xml:space="preserve"> </w:t>
      </w:r>
      <w:r w:rsidRPr="00477612">
        <w:rPr>
          <w:rFonts w:ascii="Arial" w:hAnsi="Arial" w:cs="Arial"/>
          <w:sz w:val="20"/>
          <w:szCs w:val="20"/>
        </w:rPr>
        <w:t xml:space="preserve">for assistance with the import and genotyping of </w:t>
      </w:r>
      <w:r w:rsidRPr="00477612">
        <w:rPr>
          <w:rFonts w:ascii="Arial" w:hAnsi="Arial" w:cs="Arial"/>
          <w:i/>
          <w:iCs/>
          <w:sz w:val="20"/>
          <w:szCs w:val="20"/>
        </w:rPr>
        <w:t>Hordeum</w:t>
      </w:r>
      <w:r w:rsidRPr="00477612">
        <w:rPr>
          <w:rFonts w:ascii="Arial" w:hAnsi="Arial" w:cs="Arial"/>
          <w:sz w:val="20"/>
          <w:szCs w:val="20"/>
        </w:rPr>
        <w:t xml:space="preserve"> mutant seeds. This work was supported by </w:t>
      </w:r>
      <w:r w:rsidR="008015DA">
        <w:rPr>
          <w:rFonts w:ascii="Arial" w:hAnsi="Arial" w:cs="Arial"/>
          <w:sz w:val="20"/>
          <w:szCs w:val="20"/>
        </w:rPr>
        <w:t xml:space="preserve">grants made to the University of Cambridge by </w:t>
      </w:r>
      <w:r w:rsidRPr="00477612">
        <w:rPr>
          <w:rFonts w:ascii="Arial" w:hAnsi="Arial" w:cs="Arial"/>
          <w:sz w:val="20"/>
          <w:szCs w:val="20"/>
        </w:rPr>
        <w:t>Gates Foundation and the UK Foreign, Commonwealth and Development Office (</w:t>
      </w:r>
      <w:r w:rsidR="008015DA" w:rsidRPr="00477612">
        <w:rPr>
          <w:rFonts w:ascii="Arial" w:hAnsi="Arial" w:cs="Arial"/>
          <w:sz w:val="20"/>
          <w:szCs w:val="20"/>
        </w:rPr>
        <w:t>OPP</w:t>
      </w:r>
      <w:r w:rsidR="008015DA">
        <w:rPr>
          <w:rFonts w:ascii="Arial" w:hAnsi="Arial" w:cs="Arial"/>
          <w:sz w:val="20"/>
          <w:szCs w:val="20"/>
        </w:rPr>
        <w:t>1028264</w:t>
      </w:r>
      <w:r w:rsidRPr="00477612">
        <w:rPr>
          <w:rFonts w:ascii="Arial" w:hAnsi="Arial" w:cs="Arial"/>
          <w:sz w:val="20"/>
          <w:szCs w:val="20"/>
        </w:rPr>
        <w:t xml:space="preserve">) </w:t>
      </w:r>
      <w:r w:rsidR="008015DA">
        <w:rPr>
          <w:rFonts w:ascii="Arial" w:hAnsi="Arial" w:cs="Arial"/>
          <w:sz w:val="20"/>
          <w:szCs w:val="20"/>
        </w:rPr>
        <w:t xml:space="preserve">and Gates Agricultural Innovations (INV-57461) known as </w:t>
      </w:r>
      <w:r w:rsidRPr="00477612">
        <w:rPr>
          <w:rFonts w:ascii="Arial" w:hAnsi="Arial" w:cs="Arial"/>
          <w:sz w:val="20"/>
          <w:szCs w:val="20"/>
        </w:rPr>
        <w:t>the En</w:t>
      </w:r>
      <w:r w:rsidR="008015DA">
        <w:rPr>
          <w:rFonts w:ascii="Arial" w:hAnsi="Arial" w:cs="Arial"/>
          <w:sz w:val="20"/>
          <w:szCs w:val="20"/>
        </w:rPr>
        <w:t>abling</w:t>
      </w:r>
      <w:r w:rsidRPr="00477612">
        <w:rPr>
          <w:rFonts w:ascii="Arial" w:hAnsi="Arial" w:cs="Arial"/>
          <w:sz w:val="20"/>
          <w:szCs w:val="20"/>
        </w:rPr>
        <w:t xml:space="preserve"> N</w:t>
      </w:r>
      <w:r w:rsidR="008015DA">
        <w:rPr>
          <w:rFonts w:ascii="Arial" w:hAnsi="Arial" w:cs="Arial"/>
          <w:sz w:val="20"/>
          <w:szCs w:val="20"/>
        </w:rPr>
        <w:t>utrient</w:t>
      </w:r>
      <w:r w:rsidRPr="00477612">
        <w:rPr>
          <w:rFonts w:ascii="Arial" w:hAnsi="Arial" w:cs="Arial"/>
          <w:sz w:val="20"/>
          <w:szCs w:val="20"/>
        </w:rPr>
        <w:t xml:space="preserve"> Symbios</w:t>
      </w:r>
      <w:r w:rsidR="008015DA">
        <w:rPr>
          <w:rFonts w:ascii="Arial" w:hAnsi="Arial" w:cs="Arial"/>
          <w:sz w:val="20"/>
          <w:szCs w:val="20"/>
        </w:rPr>
        <w:t>e</w:t>
      </w:r>
      <w:r w:rsidRPr="00477612">
        <w:rPr>
          <w:rFonts w:ascii="Arial" w:hAnsi="Arial" w:cs="Arial"/>
          <w:sz w:val="20"/>
          <w:szCs w:val="20"/>
        </w:rPr>
        <w:t xml:space="preserve">s </w:t>
      </w:r>
      <w:r w:rsidR="008015DA">
        <w:rPr>
          <w:rFonts w:ascii="Arial" w:hAnsi="Arial" w:cs="Arial"/>
          <w:sz w:val="20"/>
          <w:szCs w:val="20"/>
        </w:rPr>
        <w:t>in Agriculture (ENSA)</w:t>
      </w:r>
      <w:r w:rsidRPr="00477612">
        <w:rPr>
          <w:rFonts w:ascii="Arial" w:hAnsi="Arial" w:cs="Arial"/>
          <w:sz w:val="20"/>
          <w:szCs w:val="20"/>
        </w:rPr>
        <w:t xml:space="preserve"> project, the Novo Nordisk Foundation as part of the “Molecular Mechanisms and Dynamics of Plant-microbe interactions at the Root-Soil Interface” project (NNF19SA0059362), and by the Carlsberg Foundation and the Danish National Research Foundation (DNRF 172) through the Center of Excellence for Chemistry of Clouds.</w:t>
      </w:r>
    </w:p>
    <w:p w14:paraId="2EAE1A70" w14:textId="77777777" w:rsidR="00477612" w:rsidRPr="00980C22" w:rsidRDefault="00477612" w:rsidP="00477612">
      <w:pPr>
        <w:pBdr>
          <w:top w:val="nil"/>
          <w:left w:val="nil"/>
          <w:bottom w:val="nil"/>
          <w:right w:val="nil"/>
          <w:between w:val="nil"/>
        </w:pBdr>
        <w:contextualSpacing/>
        <w:jc w:val="both"/>
        <w:rPr>
          <w:rFonts w:ascii="Arial" w:hAnsi="Arial" w:cs="Arial"/>
          <w:color w:val="000000"/>
          <w:sz w:val="20"/>
          <w:szCs w:val="20"/>
        </w:rPr>
      </w:pP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98496E">
      <w:pPr>
        <w:pBdr>
          <w:top w:val="nil"/>
          <w:left w:val="nil"/>
          <w:bottom w:val="nil"/>
          <w:right w:val="nil"/>
          <w:between w:val="nil"/>
        </w:pBdr>
        <w:contextualSpacing/>
        <w:jc w:val="both"/>
        <w:rPr>
          <w:rFonts w:ascii="Arial" w:hAnsi="Arial" w:cs="Arial"/>
          <w:color w:val="000000"/>
          <w:sz w:val="20"/>
          <w:szCs w:val="20"/>
        </w:rPr>
      </w:pPr>
      <w:r w:rsidRPr="00F649EE">
        <w:rPr>
          <w:rFonts w:ascii="Arial" w:hAnsi="Arial" w:cs="Arial"/>
          <w:b/>
          <w:color w:val="000000"/>
          <w:sz w:val="20"/>
          <w:szCs w:val="20"/>
        </w:rPr>
        <w:t>References</w:t>
      </w:r>
    </w:p>
    <w:p w14:paraId="46426A40" w14:textId="77777777" w:rsidR="00E6133D" w:rsidRPr="00980C22" w:rsidRDefault="00E6133D" w:rsidP="0098496E">
      <w:pPr>
        <w:pBdr>
          <w:top w:val="nil"/>
          <w:left w:val="nil"/>
          <w:bottom w:val="nil"/>
          <w:right w:val="nil"/>
          <w:between w:val="nil"/>
        </w:pBdr>
        <w:contextualSpacing/>
        <w:jc w:val="both"/>
        <w:rPr>
          <w:rFonts w:ascii="Arial" w:hAnsi="Arial" w:cs="Arial"/>
          <w:color w:val="000000"/>
          <w:sz w:val="20"/>
          <w:szCs w:val="20"/>
        </w:rPr>
      </w:pPr>
    </w:p>
    <w:p w14:paraId="0674178F" w14:textId="77777777" w:rsidR="0098496E" w:rsidRPr="0098496E" w:rsidRDefault="0098496E" w:rsidP="0098496E">
      <w:pPr>
        <w:pStyle w:val="Bibliography"/>
        <w:contextualSpacing/>
        <w:jc w:val="both"/>
        <w:rPr>
          <w:rFonts w:ascii="Arial" w:hAnsi="Arial" w:cs="Arial"/>
          <w:color w:val="000000"/>
          <w:sz w:val="20"/>
        </w:rPr>
      </w:pPr>
      <w:r>
        <w:rPr>
          <w:rFonts w:ascii="Arial" w:hAnsi="Arial" w:cs="Arial"/>
          <w:color w:val="333333"/>
          <w:sz w:val="20"/>
          <w:szCs w:val="20"/>
        </w:rPr>
        <w:fldChar w:fldCharType="begin"/>
      </w:r>
      <w:r>
        <w:rPr>
          <w:rFonts w:ascii="Arial" w:hAnsi="Arial" w:cs="Arial"/>
          <w:color w:val="333333"/>
          <w:sz w:val="20"/>
          <w:szCs w:val="20"/>
        </w:rPr>
        <w:instrText xml:space="preserve"> ADDIN ZOTERO_BIBL {"uncited":[],"omitted":[],"custom":[]} CSL_BIBLIOGRAPHY </w:instrText>
      </w:r>
      <w:r>
        <w:rPr>
          <w:rFonts w:ascii="Arial" w:hAnsi="Arial" w:cs="Arial"/>
          <w:color w:val="333333"/>
          <w:sz w:val="20"/>
          <w:szCs w:val="20"/>
        </w:rPr>
        <w:fldChar w:fldCharType="separate"/>
      </w:r>
      <w:r w:rsidRPr="0098496E">
        <w:rPr>
          <w:rFonts w:ascii="Arial" w:hAnsi="Arial" w:cs="Arial"/>
          <w:color w:val="000000"/>
          <w:sz w:val="20"/>
        </w:rPr>
        <w:t xml:space="preserve">1. </w:t>
      </w:r>
      <w:r w:rsidRPr="0098496E">
        <w:rPr>
          <w:rFonts w:ascii="Arial" w:hAnsi="Arial" w:cs="Arial"/>
          <w:color w:val="000000"/>
          <w:sz w:val="20"/>
        </w:rPr>
        <w:tab/>
        <w:t xml:space="preserve">J. A. Foley, </w:t>
      </w:r>
      <w:r w:rsidRPr="0098496E">
        <w:rPr>
          <w:rFonts w:ascii="Arial" w:hAnsi="Arial" w:cs="Arial"/>
          <w:i/>
          <w:iCs/>
          <w:color w:val="000000"/>
          <w:sz w:val="20"/>
        </w:rPr>
        <w:t>et al.</w:t>
      </w:r>
      <w:r w:rsidRPr="0098496E">
        <w:rPr>
          <w:rFonts w:ascii="Arial" w:hAnsi="Arial" w:cs="Arial"/>
          <w:color w:val="000000"/>
          <w:sz w:val="20"/>
        </w:rPr>
        <w:t xml:space="preserve">, Solutions for a cultivated planet.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478</w:t>
      </w:r>
      <w:r w:rsidRPr="0098496E">
        <w:rPr>
          <w:rFonts w:ascii="Arial" w:hAnsi="Arial" w:cs="Arial"/>
          <w:color w:val="000000"/>
          <w:sz w:val="20"/>
        </w:rPr>
        <w:t>, 337–342 (2011).</w:t>
      </w:r>
    </w:p>
    <w:p w14:paraId="2EB8717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 </w:t>
      </w:r>
      <w:r w:rsidRPr="0098496E">
        <w:rPr>
          <w:rFonts w:ascii="Arial" w:hAnsi="Arial" w:cs="Arial"/>
          <w:color w:val="000000"/>
          <w:sz w:val="20"/>
        </w:rPr>
        <w:tab/>
        <w:t xml:space="preserve">D. Tilman, C. Balzer, J. Hill, B. L. Befort, Global food demand and the sustainable intensification of agriculture.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108</w:t>
      </w:r>
      <w:r w:rsidRPr="0098496E">
        <w:rPr>
          <w:rFonts w:ascii="Arial" w:hAnsi="Arial" w:cs="Arial"/>
          <w:color w:val="000000"/>
          <w:sz w:val="20"/>
        </w:rPr>
        <w:t>, 20260–20264 (2011).</w:t>
      </w:r>
    </w:p>
    <w:p w14:paraId="74E6862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 </w:t>
      </w:r>
      <w:r w:rsidRPr="0098496E">
        <w:rPr>
          <w:rFonts w:ascii="Arial" w:hAnsi="Arial" w:cs="Arial"/>
          <w:color w:val="000000"/>
          <w:sz w:val="20"/>
        </w:rPr>
        <w:tab/>
        <w:t xml:space="preserve">P. M. Vitousek, </w:t>
      </w:r>
      <w:r w:rsidRPr="0098496E">
        <w:rPr>
          <w:rFonts w:ascii="Arial" w:hAnsi="Arial" w:cs="Arial"/>
          <w:i/>
          <w:iCs/>
          <w:color w:val="000000"/>
          <w:sz w:val="20"/>
        </w:rPr>
        <w:t>et al.</w:t>
      </w:r>
      <w:r w:rsidRPr="0098496E">
        <w:rPr>
          <w:rFonts w:ascii="Arial" w:hAnsi="Arial" w:cs="Arial"/>
          <w:color w:val="000000"/>
          <w:sz w:val="20"/>
        </w:rPr>
        <w:t xml:space="preserve">, Technical Report: Human Alteration of the Global Nitrogen Cycle: Sources and Consequences. </w:t>
      </w:r>
      <w:r w:rsidRPr="0098496E">
        <w:rPr>
          <w:rFonts w:ascii="Arial" w:hAnsi="Arial" w:cs="Arial"/>
          <w:i/>
          <w:iCs/>
          <w:color w:val="000000"/>
          <w:sz w:val="20"/>
        </w:rPr>
        <w:t>Ecological Applications</w:t>
      </w:r>
      <w:r w:rsidRPr="0098496E">
        <w:rPr>
          <w:rFonts w:ascii="Arial" w:hAnsi="Arial" w:cs="Arial"/>
          <w:color w:val="000000"/>
          <w:sz w:val="20"/>
        </w:rPr>
        <w:t xml:space="preserve"> </w:t>
      </w:r>
      <w:r w:rsidRPr="0098496E">
        <w:rPr>
          <w:rFonts w:ascii="Arial" w:hAnsi="Arial" w:cs="Arial"/>
          <w:b/>
          <w:bCs/>
          <w:color w:val="000000"/>
          <w:sz w:val="20"/>
        </w:rPr>
        <w:t>7</w:t>
      </w:r>
      <w:r w:rsidRPr="0098496E">
        <w:rPr>
          <w:rFonts w:ascii="Arial" w:hAnsi="Arial" w:cs="Arial"/>
          <w:color w:val="000000"/>
          <w:sz w:val="20"/>
        </w:rPr>
        <w:t>, 737–750 (1997).</w:t>
      </w:r>
    </w:p>
    <w:p w14:paraId="4AB5536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 </w:t>
      </w:r>
      <w:r w:rsidRPr="0098496E">
        <w:rPr>
          <w:rFonts w:ascii="Arial" w:hAnsi="Arial" w:cs="Arial"/>
          <w:color w:val="000000"/>
          <w:sz w:val="20"/>
        </w:rPr>
        <w:tab/>
        <w:t xml:space="preserve">F. P. Carvalho, Pesticides, environment, and food safety. </w:t>
      </w:r>
      <w:r w:rsidRPr="0098496E">
        <w:rPr>
          <w:rFonts w:ascii="Arial" w:hAnsi="Arial" w:cs="Arial"/>
          <w:i/>
          <w:iCs/>
          <w:color w:val="000000"/>
          <w:sz w:val="20"/>
        </w:rPr>
        <w:t>Food and Energy Security</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48–60 (2017).</w:t>
      </w:r>
    </w:p>
    <w:p w14:paraId="294E143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 </w:t>
      </w:r>
      <w:r w:rsidRPr="0098496E">
        <w:rPr>
          <w:rFonts w:ascii="Arial" w:hAnsi="Arial" w:cs="Arial"/>
          <w:color w:val="000000"/>
          <w:sz w:val="20"/>
        </w:rPr>
        <w:tab/>
        <w:t xml:space="preserve">G. E. D. Oldroyd, O. Leyser, A plant’s diet, surviving in a variable nutrient environment.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368</w:t>
      </w:r>
      <w:r w:rsidRPr="0098496E">
        <w:rPr>
          <w:rFonts w:ascii="Arial" w:hAnsi="Arial" w:cs="Arial"/>
          <w:color w:val="000000"/>
          <w:sz w:val="20"/>
        </w:rPr>
        <w:t>, eaba0196 (2020).</w:t>
      </w:r>
    </w:p>
    <w:p w14:paraId="3369CAA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 </w:t>
      </w:r>
      <w:r w:rsidRPr="0098496E">
        <w:rPr>
          <w:rFonts w:ascii="Arial" w:hAnsi="Arial" w:cs="Arial"/>
          <w:color w:val="000000"/>
          <w:sz w:val="20"/>
        </w:rPr>
        <w:tab/>
        <w:t xml:space="preserve">Y. Bai, </w:t>
      </w:r>
      <w:r w:rsidRPr="0098496E">
        <w:rPr>
          <w:rFonts w:ascii="Arial" w:hAnsi="Arial" w:cs="Arial"/>
          <w:i/>
          <w:iCs/>
          <w:color w:val="000000"/>
          <w:sz w:val="20"/>
        </w:rPr>
        <w:t>et al.</w:t>
      </w:r>
      <w:r w:rsidRPr="0098496E">
        <w:rPr>
          <w:rFonts w:ascii="Arial" w:hAnsi="Arial" w:cs="Arial"/>
          <w:color w:val="000000"/>
          <w:sz w:val="20"/>
        </w:rPr>
        <w:t xml:space="preserve">, Functional overlap of the Arabidopsis leaf and root microbiota.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528</w:t>
      </w:r>
      <w:r w:rsidRPr="0098496E">
        <w:rPr>
          <w:rFonts w:ascii="Arial" w:hAnsi="Arial" w:cs="Arial"/>
          <w:color w:val="000000"/>
          <w:sz w:val="20"/>
        </w:rPr>
        <w:t>, 364–369 (2015).</w:t>
      </w:r>
    </w:p>
    <w:p w14:paraId="7C91737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 </w:t>
      </w:r>
      <w:r w:rsidRPr="0098496E">
        <w:rPr>
          <w:rFonts w:ascii="Arial" w:hAnsi="Arial" w:cs="Arial"/>
          <w:color w:val="000000"/>
          <w:sz w:val="20"/>
        </w:rPr>
        <w:tab/>
        <w:t xml:space="preserve">D. S. Lundberg, </w:t>
      </w:r>
      <w:r w:rsidRPr="0098496E">
        <w:rPr>
          <w:rFonts w:ascii="Arial" w:hAnsi="Arial" w:cs="Arial"/>
          <w:i/>
          <w:iCs/>
          <w:color w:val="000000"/>
          <w:sz w:val="20"/>
        </w:rPr>
        <w:t>et al.</w:t>
      </w:r>
      <w:r w:rsidRPr="0098496E">
        <w:rPr>
          <w:rFonts w:ascii="Arial" w:hAnsi="Arial" w:cs="Arial"/>
          <w:color w:val="000000"/>
          <w:sz w:val="20"/>
        </w:rPr>
        <w:t xml:space="preserve">, Defining the core Arabidopsis thaliana root microbiome.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488</w:t>
      </w:r>
      <w:r w:rsidRPr="0098496E">
        <w:rPr>
          <w:rFonts w:ascii="Arial" w:hAnsi="Arial" w:cs="Arial"/>
          <w:color w:val="000000"/>
          <w:sz w:val="20"/>
        </w:rPr>
        <w:t>, 86–90 (2012).</w:t>
      </w:r>
    </w:p>
    <w:p w14:paraId="7307788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 </w:t>
      </w:r>
      <w:r w:rsidRPr="0098496E">
        <w:rPr>
          <w:rFonts w:ascii="Arial" w:hAnsi="Arial" w:cs="Arial"/>
          <w:color w:val="000000"/>
          <w:sz w:val="20"/>
        </w:rPr>
        <w:tab/>
        <w:t xml:space="preserve">D. Bulgarelli, </w:t>
      </w:r>
      <w:r w:rsidRPr="0098496E">
        <w:rPr>
          <w:rFonts w:ascii="Arial" w:hAnsi="Arial" w:cs="Arial"/>
          <w:i/>
          <w:iCs/>
          <w:color w:val="000000"/>
          <w:sz w:val="20"/>
        </w:rPr>
        <w:t>et al.</w:t>
      </w:r>
      <w:r w:rsidRPr="0098496E">
        <w:rPr>
          <w:rFonts w:ascii="Arial" w:hAnsi="Arial" w:cs="Arial"/>
          <w:color w:val="000000"/>
          <w:sz w:val="20"/>
        </w:rPr>
        <w:t xml:space="preserve">, Revealing structure and assembly cues for Arabidopsis root-inhabiting bacterial microbiota.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488</w:t>
      </w:r>
      <w:r w:rsidRPr="0098496E">
        <w:rPr>
          <w:rFonts w:ascii="Arial" w:hAnsi="Arial" w:cs="Arial"/>
          <w:color w:val="000000"/>
          <w:sz w:val="20"/>
        </w:rPr>
        <w:t>, 91–95 (2012).</w:t>
      </w:r>
    </w:p>
    <w:p w14:paraId="00A83DF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 </w:t>
      </w:r>
      <w:r w:rsidRPr="0098496E">
        <w:rPr>
          <w:rFonts w:ascii="Arial" w:hAnsi="Arial" w:cs="Arial"/>
          <w:color w:val="000000"/>
          <w:sz w:val="20"/>
        </w:rPr>
        <w:tab/>
        <w:t xml:space="preserve">B. Bai, </w:t>
      </w:r>
      <w:r w:rsidRPr="0098496E">
        <w:rPr>
          <w:rFonts w:ascii="Arial" w:hAnsi="Arial" w:cs="Arial"/>
          <w:i/>
          <w:iCs/>
          <w:color w:val="000000"/>
          <w:sz w:val="20"/>
        </w:rPr>
        <w:t>et al.</w:t>
      </w:r>
      <w:r w:rsidRPr="0098496E">
        <w:rPr>
          <w:rFonts w:ascii="Arial" w:hAnsi="Arial" w:cs="Arial"/>
          <w:color w:val="000000"/>
          <w:sz w:val="20"/>
        </w:rPr>
        <w:t xml:space="preserve">, The root microbiome: Community assembly and its contributions to plant fitness. </w:t>
      </w:r>
      <w:r w:rsidRPr="0098496E">
        <w:rPr>
          <w:rFonts w:ascii="Arial" w:hAnsi="Arial" w:cs="Arial"/>
          <w:i/>
          <w:iCs/>
          <w:color w:val="000000"/>
          <w:sz w:val="20"/>
        </w:rPr>
        <w:t>J Integr Plant Biol</w:t>
      </w:r>
      <w:r w:rsidRPr="0098496E">
        <w:rPr>
          <w:rFonts w:ascii="Arial" w:hAnsi="Arial" w:cs="Arial"/>
          <w:color w:val="000000"/>
          <w:sz w:val="20"/>
        </w:rPr>
        <w:t xml:space="preserve"> </w:t>
      </w:r>
      <w:r w:rsidRPr="0098496E">
        <w:rPr>
          <w:rFonts w:ascii="Arial" w:hAnsi="Arial" w:cs="Arial"/>
          <w:b/>
          <w:bCs/>
          <w:color w:val="000000"/>
          <w:sz w:val="20"/>
        </w:rPr>
        <w:t>64</w:t>
      </w:r>
      <w:r w:rsidRPr="0098496E">
        <w:rPr>
          <w:rFonts w:ascii="Arial" w:hAnsi="Arial" w:cs="Arial"/>
          <w:color w:val="000000"/>
          <w:sz w:val="20"/>
        </w:rPr>
        <w:t>, 230–243 (2022).</w:t>
      </w:r>
    </w:p>
    <w:p w14:paraId="515D317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 </w:t>
      </w:r>
      <w:r w:rsidRPr="0098496E">
        <w:rPr>
          <w:rFonts w:ascii="Arial" w:hAnsi="Arial" w:cs="Arial"/>
          <w:color w:val="000000"/>
          <w:sz w:val="20"/>
        </w:rPr>
        <w:tab/>
        <w:t xml:space="preserve">G. E. D. Oldroyd, Speak, friend, and enter: signalling systems that promote beneficial symbiotic associations in plants. </w:t>
      </w:r>
      <w:r w:rsidRPr="0098496E">
        <w:rPr>
          <w:rFonts w:ascii="Arial" w:hAnsi="Arial" w:cs="Arial"/>
          <w:i/>
          <w:iCs/>
          <w:color w:val="000000"/>
          <w:sz w:val="20"/>
        </w:rPr>
        <w:t>Nat Rev Microbiol</w:t>
      </w:r>
      <w:r w:rsidRPr="0098496E">
        <w:rPr>
          <w:rFonts w:ascii="Arial" w:hAnsi="Arial" w:cs="Arial"/>
          <w:color w:val="000000"/>
          <w:sz w:val="20"/>
        </w:rPr>
        <w:t xml:space="preserve"> </w:t>
      </w:r>
      <w:r w:rsidRPr="0098496E">
        <w:rPr>
          <w:rFonts w:ascii="Arial" w:hAnsi="Arial" w:cs="Arial"/>
          <w:b/>
          <w:bCs/>
          <w:color w:val="000000"/>
          <w:sz w:val="20"/>
        </w:rPr>
        <w:t>11</w:t>
      </w:r>
      <w:r w:rsidRPr="0098496E">
        <w:rPr>
          <w:rFonts w:ascii="Arial" w:hAnsi="Arial" w:cs="Arial"/>
          <w:color w:val="000000"/>
          <w:sz w:val="20"/>
        </w:rPr>
        <w:t>, 252–263 (2013).</w:t>
      </w:r>
    </w:p>
    <w:p w14:paraId="7F3FD08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 </w:t>
      </w:r>
      <w:r w:rsidRPr="0098496E">
        <w:rPr>
          <w:rFonts w:ascii="Arial" w:hAnsi="Arial" w:cs="Arial"/>
          <w:color w:val="000000"/>
          <w:sz w:val="20"/>
        </w:rPr>
        <w:tab/>
        <w:t xml:space="preserve">M. Parniske, Arbuscular mycorrhiza: the mother of plant root endosymbioses. </w:t>
      </w:r>
      <w:r w:rsidRPr="0098496E">
        <w:rPr>
          <w:rFonts w:ascii="Arial" w:hAnsi="Arial" w:cs="Arial"/>
          <w:i/>
          <w:iCs/>
          <w:color w:val="000000"/>
          <w:sz w:val="20"/>
        </w:rPr>
        <w:t>Nat Rev Microbiol</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763–775 (2008).</w:t>
      </w:r>
    </w:p>
    <w:p w14:paraId="4E2F29E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12. </w:t>
      </w:r>
      <w:r w:rsidRPr="0098496E">
        <w:rPr>
          <w:rFonts w:ascii="Arial" w:hAnsi="Arial" w:cs="Arial"/>
          <w:color w:val="000000"/>
          <w:sz w:val="20"/>
        </w:rPr>
        <w:tab/>
        <w:t xml:space="preserve">J. Choi, W. Summers, U. Paszkowski, Mechanisms Underlying Establishment of Arbuscular Mycorrhizal Symbioses. </w:t>
      </w:r>
      <w:r w:rsidRPr="0098496E">
        <w:rPr>
          <w:rFonts w:ascii="Arial" w:hAnsi="Arial" w:cs="Arial"/>
          <w:i/>
          <w:iCs/>
          <w:color w:val="000000"/>
          <w:sz w:val="20"/>
        </w:rPr>
        <w:t>Annu Rev Phytopathol</w:t>
      </w:r>
      <w:r w:rsidRPr="0098496E">
        <w:rPr>
          <w:rFonts w:ascii="Arial" w:hAnsi="Arial" w:cs="Arial"/>
          <w:color w:val="000000"/>
          <w:sz w:val="20"/>
        </w:rPr>
        <w:t xml:space="preserve"> </w:t>
      </w:r>
      <w:r w:rsidRPr="0098496E">
        <w:rPr>
          <w:rFonts w:ascii="Arial" w:hAnsi="Arial" w:cs="Arial"/>
          <w:b/>
          <w:bCs/>
          <w:color w:val="000000"/>
          <w:sz w:val="20"/>
        </w:rPr>
        <w:t>56</w:t>
      </w:r>
      <w:r w:rsidRPr="0098496E">
        <w:rPr>
          <w:rFonts w:ascii="Arial" w:hAnsi="Arial" w:cs="Arial"/>
          <w:color w:val="000000"/>
          <w:sz w:val="20"/>
        </w:rPr>
        <w:t>, 135–160 (2018).</w:t>
      </w:r>
    </w:p>
    <w:p w14:paraId="0268380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13. </w:t>
      </w:r>
      <w:r w:rsidRPr="0098496E">
        <w:rPr>
          <w:rFonts w:ascii="Arial" w:hAnsi="Arial" w:cs="Arial"/>
          <w:color w:val="000000"/>
          <w:sz w:val="20"/>
        </w:rPr>
        <w:tab/>
        <w:t xml:space="preserve">K. Akiyama, K. Matsuzaki, H. Hayashi, Plant sesquiterpenes induce hyphal branching in arbuscular mycorrhizal fungi.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435</w:t>
      </w:r>
      <w:r w:rsidRPr="0098496E">
        <w:rPr>
          <w:rFonts w:ascii="Arial" w:hAnsi="Arial" w:cs="Arial"/>
          <w:color w:val="000000"/>
          <w:sz w:val="20"/>
        </w:rPr>
        <w:t>, 824–827 (2005).</w:t>
      </w:r>
    </w:p>
    <w:p w14:paraId="733915B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14. </w:t>
      </w:r>
      <w:r w:rsidRPr="0098496E">
        <w:rPr>
          <w:rFonts w:ascii="Arial" w:hAnsi="Arial" w:cs="Arial"/>
          <w:color w:val="000000"/>
          <w:sz w:val="20"/>
        </w:rPr>
        <w:tab/>
        <w:t xml:space="preserve">Y. Wang, </w:t>
      </w:r>
      <w:r w:rsidRPr="0098496E">
        <w:rPr>
          <w:rFonts w:ascii="Arial" w:hAnsi="Arial" w:cs="Arial"/>
          <w:i/>
          <w:iCs/>
          <w:color w:val="000000"/>
          <w:sz w:val="20"/>
        </w:rPr>
        <w:t>et al.</w:t>
      </w:r>
      <w:r w:rsidRPr="0098496E">
        <w:rPr>
          <w:rFonts w:ascii="Arial" w:hAnsi="Arial" w:cs="Arial"/>
          <w:color w:val="000000"/>
          <w:sz w:val="20"/>
        </w:rPr>
        <w:t xml:space="preserve">, The role of strigolactones in P deficiency induced transcriptional changes in tomato roots. </w:t>
      </w:r>
      <w:r w:rsidRPr="0098496E">
        <w:rPr>
          <w:rFonts w:ascii="Arial" w:hAnsi="Arial" w:cs="Arial"/>
          <w:i/>
          <w:iCs/>
          <w:color w:val="000000"/>
          <w:sz w:val="20"/>
        </w:rPr>
        <w:t>BMC Plant Biol</w:t>
      </w:r>
      <w:r w:rsidRPr="0098496E">
        <w:rPr>
          <w:rFonts w:ascii="Arial" w:hAnsi="Arial" w:cs="Arial"/>
          <w:color w:val="000000"/>
          <w:sz w:val="20"/>
        </w:rPr>
        <w:t xml:space="preserve"> </w:t>
      </w:r>
      <w:r w:rsidRPr="0098496E">
        <w:rPr>
          <w:rFonts w:ascii="Arial" w:hAnsi="Arial" w:cs="Arial"/>
          <w:b/>
          <w:bCs/>
          <w:color w:val="000000"/>
          <w:sz w:val="20"/>
        </w:rPr>
        <w:t>21</w:t>
      </w:r>
      <w:r w:rsidRPr="0098496E">
        <w:rPr>
          <w:rFonts w:ascii="Arial" w:hAnsi="Arial" w:cs="Arial"/>
          <w:color w:val="000000"/>
          <w:sz w:val="20"/>
        </w:rPr>
        <w:t>, 349 (2021).</w:t>
      </w:r>
    </w:p>
    <w:p w14:paraId="7003E74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15. </w:t>
      </w:r>
      <w:r w:rsidRPr="0098496E">
        <w:rPr>
          <w:rFonts w:ascii="Arial" w:hAnsi="Arial" w:cs="Arial"/>
          <w:color w:val="000000"/>
          <w:sz w:val="20"/>
        </w:rPr>
        <w:tab/>
        <w:t xml:space="preserve">T. Kretzschmar, </w:t>
      </w:r>
      <w:r w:rsidRPr="0098496E">
        <w:rPr>
          <w:rFonts w:ascii="Arial" w:hAnsi="Arial" w:cs="Arial"/>
          <w:i/>
          <w:iCs/>
          <w:color w:val="000000"/>
          <w:sz w:val="20"/>
        </w:rPr>
        <w:t>et al.</w:t>
      </w:r>
      <w:r w:rsidRPr="0098496E">
        <w:rPr>
          <w:rFonts w:ascii="Arial" w:hAnsi="Arial" w:cs="Arial"/>
          <w:color w:val="000000"/>
          <w:sz w:val="20"/>
        </w:rPr>
        <w:t xml:space="preserve">, A petunia ABC protein controls strigolactone-dependent symbiotic signalling and branching.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483</w:t>
      </w:r>
      <w:r w:rsidRPr="0098496E">
        <w:rPr>
          <w:rFonts w:ascii="Arial" w:hAnsi="Arial" w:cs="Arial"/>
          <w:color w:val="000000"/>
          <w:sz w:val="20"/>
        </w:rPr>
        <w:t>, 341–344 (2012).</w:t>
      </w:r>
    </w:p>
    <w:p w14:paraId="60CC63A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16. </w:t>
      </w:r>
      <w:r w:rsidRPr="0098496E">
        <w:rPr>
          <w:rFonts w:ascii="Arial" w:hAnsi="Arial" w:cs="Arial"/>
          <w:color w:val="000000"/>
          <w:sz w:val="20"/>
        </w:rPr>
        <w:tab/>
        <w:t xml:space="preserve">F. Maillet, </w:t>
      </w:r>
      <w:r w:rsidRPr="0098496E">
        <w:rPr>
          <w:rFonts w:ascii="Arial" w:hAnsi="Arial" w:cs="Arial"/>
          <w:i/>
          <w:iCs/>
          <w:color w:val="000000"/>
          <w:sz w:val="20"/>
        </w:rPr>
        <w:t>et al.</w:t>
      </w:r>
      <w:r w:rsidRPr="0098496E">
        <w:rPr>
          <w:rFonts w:ascii="Arial" w:hAnsi="Arial" w:cs="Arial"/>
          <w:color w:val="000000"/>
          <w:sz w:val="20"/>
        </w:rPr>
        <w:t xml:space="preserve">, Fungal lipochitooligosaccharide symbiotic signals in arbuscular mycorrhiza.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469</w:t>
      </w:r>
      <w:r w:rsidRPr="0098496E">
        <w:rPr>
          <w:rFonts w:ascii="Arial" w:hAnsi="Arial" w:cs="Arial"/>
          <w:color w:val="000000"/>
          <w:sz w:val="20"/>
        </w:rPr>
        <w:t>, 58–63 (2011).</w:t>
      </w:r>
    </w:p>
    <w:p w14:paraId="1C19292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17. </w:t>
      </w:r>
      <w:r w:rsidRPr="0098496E">
        <w:rPr>
          <w:rFonts w:ascii="Arial" w:hAnsi="Arial" w:cs="Arial"/>
          <w:color w:val="000000"/>
          <w:sz w:val="20"/>
        </w:rPr>
        <w:tab/>
        <w:t xml:space="preserve">S. Kosuta, </w:t>
      </w:r>
      <w:r w:rsidRPr="0098496E">
        <w:rPr>
          <w:rFonts w:ascii="Arial" w:hAnsi="Arial" w:cs="Arial"/>
          <w:i/>
          <w:iCs/>
          <w:color w:val="000000"/>
          <w:sz w:val="20"/>
        </w:rPr>
        <w:t>et al.</w:t>
      </w:r>
      <w:r w:rsidRPr="0098496E">
        <w:rPr>
          <w:rFonts w:ascii="Arial" w:hAnsi="Arial" w:cs="Arial"/>
          <w:color w:val="000000"/>
          <w:sz w:val="20"/>
        </w:rPr>
        <w:t xml:space="preserve">, Differential and chaotic calcium signatures in the symbiosis signaling pathway of legumes.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105</w:t>
      </w:r>
      <w:r w:rsidRPr="0098496E">
        <w:rPr>
          <w:rFonts w:ascii="Arial" w:hAnsi="Arial" w:cs="Arial"/>
          <w:color w:val="000000"/>
          <w:sz w:val="20"/>
        </w:rPr>
        <w:t>, 9823–9828 (2008).</w:t>
      </w:r>
    </w:p>
    <w:p w14:paraId="0C4BE12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18. </w:t>
      </w:r>
      <w:r w:rsidRPr="0098496E">
        <w:rPr>
          <w:rFonts w:ascii="Arial" w:hAnsi="Arial" w:cs="Arial"/>
          <w:color w:val="000000"/>
          <w:sz w:val="20"/>
        </w:rPr>
        <w:tab/>
        <w:t xml:space="preserve">A. Genre, M. Chabaud, A. Faccio, D. G. Barker, P. Bonfante, Prepenetration apparatus assembly precedes and predicts the colonization patterns of arbuscular mycorrhizal fungi within the root cortex of both Medicago truncatula and Daucus carota.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20</w:t>
      </w:r>
      <w:r w:rsidRPr="0098496E">
        <w:rPr>
          <w:rFonts w:ascii="Arial" w:hAnsi="Arial" w:cs="Arial"/>
          <w:color w:val="000000"/>
          <w:sz w:val="20"/>
        </w:rPr>
        <w:t>, 1407–1420 (2008).</w:t>
      </w:r>
    </w:p>
    <w:p w14:paraId="5609934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19. </w:t>
      </w:r>
      <w:r w:rsidRPr="0098496E">
        <w:rPr>
          <w:rFonts w:ascii="Arial" w:hAnsi="Arial" w:cs="Arial"/>
          <w:color w:val="000000"/>
          <w:sz w:val="20"/>
        </w:rPr>
        <w:tab/>
        <w:t xml:space="preserve">A. Keymer, C. Gutjahr, Cross-kingdom lipid transfer in arbuscular mycorrhiza symbiosis and beyond. </w:t>
      </w:r>
      <w:r w:rsidRPr="0098496E">
        <w:rPr>
          <w:rFonts w:ascii="Arial" w:hAnsi="Arial" w:cs="Arial"/>
          <w:i/>
          <w:iCs/>
          <w:color w:val="000000"/>
          <w:sz w:val="20"/>
        </w:rPr>
        <w:t>Curr Opin Plant Biol</w:t>
      </w:r>
      <w:r w:rsidRPr="0098496E">
        <w:rPr>
          <w:rFonts w:ascii="Arial" w:hAnsi="Arial" w:cs="Arial"/>
          <w:color w:val="000000"/>
          <w:sz w:val="20"/>
        </w:rPr>
        <w:t xml:space="preserve"> </w:t>
      </w:r>
      <w:r w:rsidRPr="0098496E">
        <w:rPr>
          <w:rFonts w:ascii="Arial" w:hAnsi="Arial" w:cs="Arial"/>
          <w:b/>
          <w:bCs/>
          <w:color w:val="000000"/>
          <w:sz w:val="20"/>
        </w:rPr>
        <w:t>44</w:t>
      </w:r>
      <w:r w:rsidRPr="0098496E">
        <w:rPr>
          <w:rFonts w:ascii="Arial" w:hAnsi="Arial" w:cs="Arial"/>
          <w:color w:val="000000"/>
          <w:sz w:val="20"/>
        </w:rPr>
        <w:t>, 137–144 (2018).</w:t>
      </w:r>
    </w:p>
    <w:p w14:paraId="4863B2C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20. </w:t>
      </w:r>
      <w:r w:rsidRPr="0098496E">
        <w:rPr>
          <w:rFonts w:ascii="Arial" w:hAnsi="Arial" w:cs="Arial"/>
          <w:color w:val="000000"/>
          <w:sz w:val="20"/>
        </w:rPr>
        <w:tab/>
        <w:t xml:space="preserve">P. Xu, E. Wang, Diversity and regulation of symbiotic nitrogen fixation in plants. </w:t>
      </w:r>
      <w:r w:rsidRPr="0098496E">
        <w:rPr>
          <w:rFonts w:ascii="Arial" w:hAnsi="Arial" w:cs="Arial"/>
          <w:i/>
          <w:iCs/>
          <w:color w:val="000000"/>
          <w:sz w:val="20"/>
        </w:rPr>
        <w:t>Current Biology</w:t>
      </w:r>
      <w:r w:rsidRPr="0098496E">
        <w:rPr>
          <w:rFonts w:ascii="Arial" w:hAnsi="Arial" w:cs="Arial"/>
          <w:color w:val="000000"/>
          <w:sz w:val="20"/>
        </w:rPr>
        <w:t xml:space="preserve"> </w:t>
      </w:r>
      <w:r w:rsidRPr="0098496E">
        <w:rPr>
          <w:rFonts w:ascii="Arial" w:hAnsi="Arial" w:cs="Arial"/>
          <w:b/>
          <w:bCs/>
          <w:color w:val="000000"/>
          <w:sz w:val="20"/>
        </w:rPr>
        <w:t>33</w:t>
      </w:r>
      <w:r w:rsidRPr="0098496E">
        <w:rPr>
          <w:rFonts w:ascii="Arial" w:hAnsi="Arial" w:cs="Arial"/>
          <w:color w:val="000000"/>
          <w:sz w:val="20"/>
        </w:rPr>
        <w:t>, R543–R559 (2023).</w:t>
      </w:r>
    </w:p>
    <w:p w14:paraId="33CF628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21. </w:t>
      </w:r>
      <w:r w:rsidRPr="0098496E">
        <w:rPr>
          <w:rFonts w:ascii="Arial" w:hAnsi="Arial" w:cs="Arial"/>
          <w:color w:val="000000"/>
          <w:sz w:val="20"/>
        </w:rPr>
        <w:tab/>
        <w:t xml:space="preserve">S. E. Dupin, R. Geurts, E. T. Kiers, The Non-Legume Parasponia andersonii Mediates the Fitness of Nitrogen-Fixing Rhizobial Symbionts Under High Nitrogen Conditions. </w:t>
      </w:r>
      <w:r w:rsidRPr="0098496E">
        <w:rPr>
          <w:rFonts w:ascii="Arial" w:hAnsi="Arial" w:cs="Arial"/>
          <w:i/>
          <w:iCs/>
          <w:color w:val="000000"/>
          <w:sz w:val="20"/>
        </w:rPr>
        <w:t>Front Plant Sci</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1779 (2019).</w:t>
      </w:r>
    </w:p>
    <w:p w14:paraId="360398C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22. </w:t>
      </w:r>
      <w:r w:rsidRPr="0098496E">
        <w:rPr>
          <w:rFonts w:ascii="Arial" w:hAnsi="Arial" w:cs="Arial"/>
          <w:color w:val="000000"/>
          <w:sz w:val="20"/>
        </w:rPr>
        <w:tab/>
        <w:t xml:space="preserve">J.-L. Ferrer, M. B. Austin, C. Stewart, J. P. Noel, Structure and function of enzymes involved in the biosynthesis of phenylpropanoids. </w:t>
      </w:r>
      <w:r w:rsidRPr="0098496E">
        <w:rPr>
          <w:rFonts w:ascii="Arial" w:hAnsi="Arial" w:cs="Arial"/>
          <w:i/>
          <w:iCs/>
          <w:color w:val="000000"/>
          <w:sz w:val="20"/>
        </w:rPr>
        <w:t>Plant Physiol Biochem</w:t>
      </w:r>
      <w:r w:rsidRPr="0098496E">
        <w:rPr>
          <w:rFonts w:ascii="Arial" w:hAnsi="Arial" w:cs="Arial"/>
          <w:color w:val="000000"/>
          <w:sz w:val="20"/>
        </w:rPr>
        <w:t xml:space="preserve"> </w:t>
      </w:r>
      <w:r w:rsidRPr="0098496E">
        <w:rPr>
          <w:rFonts w:ascii="Arial" w:hAnsi="Arial" w:cs="Arial"/>
          <w:b/>
          <w:bCs/>
          <w:color w:val="000000"/>
          <w:sz w:val="20"/>
        </w:rPr>
        <w:t>46</w:t>
      </w:r>
      <w:r w:rsidRPr="0098496E">
        <w:rPr>
          <w:rFonts w:ascii="Arial" w:hAnsi="Arial" w:cs="Arial"/>
          <w:color w:val="000000"/>
          <w:sz w:val="20"/>
        </w:rPr>
        <w:t>, 356–370 (2008).</w:t>
      </w:r>
    </w:p>
    <w:p w14:paraId="4308EBE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23. </w:t>
      </w:r>
      <w:r w:rsidRPr="0098496E">
        <w:rPr>
          <w:rFonts w:ascii="Arial" w:hAnsi="Arial" w:cs="Arial"/>
          <w:color w:val="000000"/>
          <w:sz w:val="20"/>
        </w:rPr>
        <w:tab/>
        <w:t xml:space="preserve">C.-W. Liu, J. D. Murray, The Role of Flavonoids in Nodulation Host-Range Specificity: An Update. </w:t>
      </w:r>
      <w:r w:rsidRPr="0098496E">
        <w:rPr>
          <w:rFonts w:ascii="Arial" w:hAnsi="Arial" w:cs="Arial"/>
          <w:i/>
          <w:iCs/>
          <w:color w:val="000000"/>
          <w:sz w:val="20"/>
        </w:rPr>
        <w:t>Plants (Basel)</w:t>
      </w:r>
      <w:r w:rsidRPr="0098496E">
        <w:rPr>
          <w:rFonts w:ascii="Arial" w:hAnsi="Arial" w:cs="Arial"/>
          <w:color w:val="000000"/>
          <w:sz w:val="20"/>
        </w:rPr>
        <w:t xml:space="preserve"> </w:t>
      </w:r>
      <w:r w:rsidRPr="0098496E">
        <w:rPr>
          <w:rFonts w:ascii="Arial" w:hAnsi="Arial" w:cs="Arial"/>
          <w:b/>
          <w:bCs/>
          <w:color w:val="000000"/>
          <w:sz w:val="20"/>
        </w:rPr>
        <w:t>5</w:t>
      </w:r>
      <w:r w:rsidRPr="0098496E">
        <w:rPr>
          <w:rFonts w:ascii="Arial" w:hAnsi="Arial" w:cs="Arial"/>
          <w:color w:val="000000"/>
          <w:sz w:val="20"/>
        </w:rPr>
        <w:t>, 33 (2016).</w:t>
      </w:r>
    </w:p>
    <w:p w14:paraId="484FB09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24. </w:t>
      </w:r>
      <w:r w:rsidRPr="0098496E">
        <w:rPr>
          <w:rFonts w:ascii="Arial" w:hAnsi="Arial" w:cs="Arial"/>
          <w:color w:val="000000"/>
          <w:sz w:val="20"/>
        </w:rPr>
        <w:tab/>
        <w:t xml:space="preserve">W. Dong, Y. Song, The Significance of Flavonoids in the Process of Biological Nitrogen Fixation. </w:t>
      </w:r>
      <w:r w:rsidRPr="0098496E">
        <w:rPr>
          <w:rFonts w:ascii="Arial" w:hAnsi="Arial" w:cs="Arial"/>
          <w:i/>
          <w:iCs/>
          <w:color w:val="000000"/>
          <w:sz w:val="20"/>
        </w:rPr>
        <w:t>International Journal of Molecular Sciences</w:t>
      </w:r>
      <w:r w:rsidRPr="0098496E">
        <w:rPr>
          <w:rFonts w:ascii="Arial" w:hAnsi="Arial" w:cs="Arial"/>
          <w:color w:val="000000"/>
          <w:sz w:val="20"/>
        </w:rPr>
        <w:t xml:space="preserve"> </w:t>
      </w:r>
      <w:r w:rsidRPr="0098496E">
        <w:rPr>
          <w:rFonts w:ascii="Arial" w:hAnsi="Arial" w:cs="Arial"/>
          <w:b/>
          <w:bCs/>
          <w:color w:val="000000"/>
          <w:sz w:val="20"/>
        </w:rPr>
        <w:t>21</w:t>
      </w:r>
      <w:r w:rsidRPr="0098496E">
        <w:rPr>
          <w:rFonts w:ascii="Arial" w:hAnsi="Arial" w:cs="Arial"/>
          <w:color w:val="000000"/>
          <w:sz w:val="20"/>
        </w:rPr>
        <w:t xml:space="preserve"> (2020).</w:t>
      </w:r>
    </w:p>
    <w:p w14:paraId="3435CA3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25. </w:t>
      </w:r>
      <w:r w:rsidRPr="0098496E">
        <w:rPr>
          <w:rFonts w:ascii="Arial" w:hAnsi="Arial" w:cs="Arial"/>
          <w:color w:val="000000"/>
          <w:sz w:val="20"/>
        </w:rPr>
        <w:tab/>
        <w:t xml:space="preserve">N. J. Booth, P. M. C. Smith, S. A. Ramesh, D. A. Day, Malate Transport and Metabolism in Nitrogen-Fixing Legume Nodules. </w:t>
      </w:r>
      <w:r w:rsidRPr="0098496E">
        <w:rPr>
          <w:rFonts w:ascii="Arial" w:hAnsi="Arial" w:cs="Arial"/>
          <w:i/>
          <w:iCs/>
          <w:color w:val="000000"/>
          <w:sz w:val="20"/>
        </w:rPr>
        <w:t>Molecules</w:t>
      </w:r>
      <w:r w:rsidRPr="0098496E">
        <w:rPr>
          <w:rFonts w:ascii="Arial" w:hAnsi="Arial" w:cs="Arial"/>
          <w:color w:val="000000"/>
          <w:sz w:val="20"/>
        </w:rPr>
        <w:t xml:space="preserve"> </w:t>
      </w:r>
      <w:r w:rsidRPr="0098496E">
        <w:rPr>
          <w:rFonts w:ascii="Arial" w:hAnsi="Arial" w:cs="Arial"/>
          <w:b/>
          <w:bCs/>
          <w:color w:val="000000"/>
          <w:sz w:val="20"/>
        </w:rPr>
        <w:t>26</w:t>
      </w:r>
      <w:r w:rsidRPr="0098496E">
        <w:rPr>
          <w:rFonts w:ascii="Arial" w:hAnsi="Arial" w:cs="Arial"/>
          <w:color w:val="000000"/>
          <w:sz w:val="20"/>
        </w:rPr>
        <w:t xml:space="preserve"> (2021).</w:t>
      </w:r>
    </w:p>
    <w:p w14:paraId="0E9AD55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26. </w:t>
      </w:r>
      <w:r w:rsidRPr="0098496E">
        <w:rPr>
          <w:rFonts w:ascii="Arial" w:hAnsi="Arial" w:cs="Arial"/>
          <w:color w:val="000000"/>
          <w:sz w:val="20"/>
        </w:rPr>
        <w:tab/>
        <w:t xml:space="preserve">S. Rawsthorne, F. R. Minchin, R. J. Summerfield, C. Cookson, J. Coombs, Carbon and nitrogen metabolism in legume root nodules. </w:t>
      </w:r>
      <w:r w:rsidRPr="0098496E">
        <w:rPr>
          <w:rFonts w:ascii="Arial" w:hAnsi="Arial" w:cs="Arial"/>
          <w:i/>
          <w:iCs/>
          <w:color w:val="000000"/>
          <w:sz w:val="20"/>
        </w:rPr>
        <w:t>Phytochemistry</w:t>
      </w:r>
      <w:r w:rsidRPr="0098496E">
        <w:rPr>
          <w:rFonts w:ascii="Arial" w:hAnsi="Arial" w:cs="Arial"/>
          <w:color w:val="000000"/>
          <w:sz w:val="20"/>
        </w:rPr>
        <w:t xml:space="preserve"> </w:t>
      </w:r>
      <w:r w:rsidRPr="0098496E">
        <w:rPr>
          <w:rFonts w:ascii="Arial" w:hAnsi="Arial" w:cs="Arial"/>
          <w:b/>
          <w:bCs/>
          <w:color w:val="000000"/>
          <w:sz w:val="20"/>
        </w:rPr>
        <w:t>19</w:t>
      </w:r>
      <w:r w:rsidRPr="0098496E">
        <w:rPr>
          <w:rFonts w:ascii="Arial" w:hAnsi="Arial" w:cs="Arial"/>
          <w:color w:val="000000"/>
          <w:sz w:val="20"/>
        </w:rPr>
        <w:t>, 341–355 (1980).</w:t>
      </w:r>
    </w:p>
    <w:p w14:paraId="64F7BAD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27. </w:t>
      </w:r>
      <w:r w:rsidRPr="0098496E">
        <w:rPr>
          <w:rFonts w:ascii="Arial" w:hAnsi="Arial" w:cs="Arial"/>
          <w:color w:val="000000"/>
          <w:sz w:val="20"/>
        </w:rPr>
        <w:tab/>
        <w:t xml:space="preserve">F. J. Bergersen, Delivery of N2 to bacteroids in simulated soybean nodule cells: consideration of gradients of concentration of dissolved N2 in cell walls, cytoplasm, and symbiosomes. </w:t>
      </w:r>
      <w:r w:rsidRPr="0098496E">
        <w:rPr>
          <w:rFonts w:ascii="Arial" w:hAnsi="Arial" w:cs="Arial"/>
          <w:i/>
          <w:iCs/>
          <w:color w:val="000000"/>
          <w:sz w:val="20"/>
        </w:rPr>
        <w:t>Protoplasma</w:t>
      </w:r>
      <w:r w:rsidRPr="0098496E">
        <w:rPr>
          <w:rFonts w:ascii="Arial" w:hAnsi="Arial" w:cs="Arial"/>
          <w:color w:val="000000"/>
          <w:sz w:val="20"/>
        </w:rPr>
        <w:t xml:space="preserve"> </w:t>
      </w:r>
      <w:r w:rsidRPr="0098496E">
        <w:rPr>
          <w:rFonts w:ascii="Arial" w:hAnsi="Arial" w:cs="Arial"/>
          <w:b/>
          <w:bCs/>
          <w:color w:val="000000"/>
          <w:sz w:val="20"/>
        </w:rPr>
        <w:t>206</w:t>
      </w:r>
      <w:r w:rsidRPr="0098496E">
        <w:rPr>
          <w:rFonts w:ascii="Arial" w:hAnsi="Arial" w:cs="Arial"/>
          <w:color w:val="000000"/>
          <w:sz w:val="20"/>
        </w:rPr>
        <w:t>, 137–142 (1999).</w:t>
      </w:r>
    </w:p>
    <w:p w14:paraId="0EC74EC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28. </w:t>
      </w:r>
      <w:r w:rsidRPr="0098496E">
        <w:rPr>
          <w:rFonts w:ascii="Arial" w:hAnsi="Arial" w:cs="Arial"/>
          <w:color w:val="000000"/>
          <w:sz w:val="20"/>
        </w:rPr>
        <w:tab/>
        <w:t xml:space="preserve">M. Udvardi, P. S. Poole, Transport and metabolism in legume-rhizobia symbioses. </w:t>
      </w:r>
      <w:r w:rsidRPr="0098496E">
        <w:rPr>
          <w:rFonts w:ascii="Arial" w:hAnsi="Arial" w:cs="Arial"/>
          <w:i/>
          <w:iCs/>
          <w:color w:val="000000"/>
          <w:sz w:val="20"/>
        </w:rPr>
        <w:t>Annu Rev Plant Biol</w:t>
      </w:r>
      <w:r w:rsidRPr="0098496E">
        <w:rPr>
          <w:rFonts w:ascii="Arial" w:hAnsi="Arial" w:cs="Arial"/>
          <w:color w:val="000000"/>
          <w:sz w:val="20"/>
        </w:rPr>
        <w:t xml:space="preserve"> </w:t>
      </w:r>
      <w:r w:rsidRPr="0098496E">
        <w:rPr>
          <w:rFonts w:ascii="Arial" w:hAnsi="Arial" w:cs="Arial"/>
          <w:b/>
          <w:bCs/>
          <w:color w:val="000000"/>
          <w:sz w:val="20"/>
        </w:rPr>
        <w:t>64</w:t>
      </w:r>
      <w:r w:rsidRPr="0098496E">
        <w:rPr>
          <w:rFonts w:ascii="Arial" w:hAnsi="Arial" w:cs="Arial"/>
          <w:color w:val="000000"/>
          <w:sz w:val="20"/>
        </w:rPr>
        <w:t>, 781–805 (2013).</w:t>
      </w:r>
    </w:p>
    <w:p w14:paraId="0F24FFA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29. </w:t>
      </w:r>
      <w:r w:rsidRPr="0098496E">
        <w:rPr>
          <w:rFonts w:ascii="Arial" w:hAnsi="Arial" w:cs="Arial"/>
          <w:color w:val="000000"/>
          <w:sz w:val="20"/>
        </w:rPr>
        <w:tab/>
        <w:t xml:space="preserve">R. F. Denison, Y. Okano, Leghaemoglobin oxygenation gradients in alfalfa and yellow sweetclover nodules. </w:t>
      </w:r>
      <w:r w:rsidRPr="0098496E">
        <w:rPr>
          <w:rFonts w:ascii="Arial" w:hAnsi="Arial" w:cs="Arial"/>
          <w:i/>
          <w:iCs/>
          <w:color w:val="000000"/>
          <w:sz w:val="20"/>
        </w:rPr>
        <w:t>J Exp Bot</w:t>
      </w:r>
      <w:r w:rsidRPr="0098496E">
        <w:rPr>
          <w:rFonts w:ascii="Arial" w:hAnsi="Arial" w:cs="Arial"/>
          <w:color w:val="000000"/>
          <w:sz w:val="20"/>
        </w:rPr>
        <w:t xml:space="preserve"> </w:t>
      </w:r>
      <w:r w:rsidRPr="0098496E">
        <w:rPr>
          <w:rFonts w:ascii="Arial" w:hAnsi="Arial" w:cs="Arial"/>
          <w:b/>
          <w:bCs/>
          <w:color w:val="000000"/>
          <w:sz w:val="20"/>
        </w:rPr>
        <w:t>54</w:t>
      </w:r>
      <w:r w:rsidRPr="0098496E">
        <w:rPr>
          <w:rFonts w:ascii="Arial" w:hAnsi="Arial" w:cs="Arial"/>
          <w:color w:val="000000"/>
          <w:sz w:val="20"/>
        </w:rPr>
        <w:t>, 1085–1091 (2003).</w:t>
      </w:r>
    </w:p>
    <w:p w14:paraId="196FA23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30. </w:t>
      </w:r>
      <w:r w:rsidRPr="0098496E">
        <w:rPr>
          <w:rFonts w:ascii="Arial" w:hAnsi="Arial" w:cs="Arial"/>
          <w:color w:val="000000"/>
          <w:sz w:val="20"/>
        </w:rPr>
        <w:tab/>
        <w:t xml:space="preserve">F. J. de Bruijn, “The common symbiotic signaling pathway (CSSP or SYM)” in </w:t>
      </w:r>
      <w:r w:rsidRPr="0098496E">
        <w:rPr>
          <w:rFonts w:ascii="Arial" w:hAnsi="Arial" w:cs="Arial"/>
          <w:i/>
          <w:iCs/>
          <w:color w:val="000000"/>
          <w:sz w:val="20"/>
        </w:rPr>
        <w:t>The Model Legume Medicago Truncatula</w:t>
      </w:r>
      <w:r w:rsidRPr="0098496E">
        <w:rPr>
          <w:rFonts w:ascii="Arial" w:hAnsi="Arial" w:cs="Arial"/>
          <w:color w:val="000000"/>
          <w:sz w:val="20"/>
        </w:rPr>
        <w:t>, (John Wiley &amp; Sons, Ltd, 2020), pp. 521–521.</w:t>
      </w:r>
    </w:p>
    <w:p w14:paraId="6AAE48C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31. </w:t>
      </w:r>
      <w:r w:rsidRPr="0098496E">
        <w:rPr>
          <w:rFonts w:ascii="Arial" w:hAnsi="Arial" w:cs="Arial"/>
          <w:color w:val="000000"/>
          <w:sz w:val="20"/>
        </w:rPr>
        <w:tab/>
        <w:t xml:space="preserve">P.-M. Delaux, S. Schornack, Plant evolution driven by interactions with symbiotic and pathogenic microbes.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371</w:t>
      </w:r>
      <w:r w:rsidRPr="0098496E">
        <w:rPr>
          <w:rFonts w:ascii="Arial" w:hAnsi="Arial" w:cs="Arial"/>
          <w:color w:val="000000"/>
          <w:sz w:val="20"/>
        </w:rPr>
        <w:t>, eaba6605 (2021).</w:t>
      </w:r>
    </w:p>
    <w:p w14:paraId="3B2AFAB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32. </w:t>
      </w:r>
      <w:r w:rsidRPr="0098496E">
        <w:rPr>
          <w:rFonts w:ascii="Arial" w:hAnsi="Arial" w:cs="Arial"/>
          <w:color w:val="000000"/>
          <w:sz w:val="20"/>
        </w:rPr>
        <w:tab/>
        <w:t xml:space="preserve">C. Gutjahr, </w:t>
      </w:r>
      <w:r w:rsidRPr="0098496E">
        <w:rPr>
          <w:rFonts w:ascii="Arial" w:hAnsi="Arial" w:cs="Arial"/>
          <w:i/>
          <w:iCs/>
          <w:color w:val="000000"/>
          <w:sz w:val="20"/>
        </w:rPr>
        <w:t>et al.</w:t>
      </w:r>
      <w:r w:rsidRPr="0098496E">
        <w:rPr>
          <w:rFonts w:ascii="Arial" w:hAnsi="Arial" w:cs="Arial"/>
          <w:color w:val="000000"/>
          <w:sz w:val="20"/>
        </w:rPr>
        <w:t xml:space="preserve">, Arbuscular mycorrhiza-specific signaling in rice transcends the common symbiosis signaling pathway.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20</w:t>
      </w:r>
      <w:r w:rsidRPr="0098496E">
        <w:rPr>
          <w:rFonts w:ascii="Arial" w:hAnsi="Arial" w:cs="Arial"/>
          <w:color w:val="000000"/>
          <w:sz w:val="20"/>
        </w:rPr>
        <w:t>, 2989–3005 (2008).</w:t>
      </w:r>
    </w:p>
    <w:p w14:paraId="7AE14B6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33. </w:t>
      </w:r>
      <w:r w:rsidRPr="0098496E">
        <w:rPr>
          <w:rFonts w:ascii="Arial" w:hAnsi="Arial" w:cs="Arial"/>
          <w:color w:val="000000"/>
          <w:sz w:val="20"/>
        </w:rPr>
        <w:tab/>
        <w:t xml:space="preserve">J. Sun, </w:t>
      </w:r>
      <w:r w:rsidRPr="0098496E">
        <w:rPr>
          <w:rFonts w:ascii="Arial" w:hAnsi="Arial" w:cs="Arial"/>
          <w:i/>
          <w:iCs/>
          <w:color w:val="000000"/>
          <w:sz w:val="20"/>
        </w:rPr>
        <w:t>et al.</w:t>
      </w:r>
      <w:r w:rsidRPr="0098496E">
        <w:rPr>
          <w:rFonts w:ascii="Arial" w:hAnsi="Arial" w:cs="Arial"/>
          <w:color w:val="000000"/>
          <w:sz w:val="20"/>
        </w:rPr>
        <w:t xml:space="preserve">, Activation of symbiosis signaling by arbuscular mycorrhizal fungi in legumes and rice.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27</w:t>
      </w:r>
      <w:r w:rsidRPr="0098496E">
        <w:rPr>
          <w:rFonts w:ascii="Arial" w:hAnsi="Arial" w:cs="Arial"/>
          <w:color w:val="000000"/>
          <w:sz w:val="20"/>
        </w:rPr>
        <w:t>, 823–838 (2015).</w:t>
      </w:r>
    </w:p>
    <w:p w14:paraId="30173B4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34. </w:t>
      </w:r>
      <w:r w:rsidRPr="0098496E">
        <w:rPr>
          <w:rFonts w:ascii="Arial" w:hAnsi="Arial" w:cs="Arial"/>
          <w:color w:val="000000"/>
          <w:sz w:val="20"/>
        </w:rPr>
        <w:tab/>
        <w:t xml:space="preserve">M. Antolín-Llovera, M. K. Ried, M. Parniske, Cleavage of the SYMBIOSIS RECEPTOR-LIKE KINASE ectodomain promotes complex formation with Nod factor receptor 5. </w:t>
      </w:r>
      <w:r w:rsidRPr="0098496E">
        <w:rPr>
          <w:rFonts w:ascii="Arial" w:hAnsi="Arial" w:cs="Arial"/>
          <w:i/>
          <w:iCs/>
          <w:color w:val="000000"/>
          <w:sz w:val="20"/>
        </w:rPr>
        <w:t>Curr Biol</w:t>
      </w:r>
      <w:r w:rsidRPr="0098496E">
        <w:rPr>
          <w:rFonts w:ascii="Arial" w:hAnsi="Arial" w:cs="Arial"/>
          <w:color w:val="000000"/>
          <w:sz w:val="20"/>
        </w:rPr>
        <w:t xml:space="preserve"> </w:t>
      </w:r>
      <w:r w:rsidRPr="0098496E">
        <w:rPr>
          <w:rFonts w:ascii="Arial" w:hAnsi="Arial" w:cs="Arial"/>
          <w:b/>
          <w:bCs/>
          <w:color w:val="000000"/>
          <w:sz w:val="20"/>
        </w:rPr>
        <w:t>24</w:t>
      </w:r>
      <w:r w:rsidRPr="0098496E">
        <w:rPr>
          <w:rFonts w:ascii="Arial" w:hAnsi="Arial" w:cs="Arial"/>
          <w:color w:val="000000"/>
          <w:sz w:val="20"/>
        </w:rPr>
        <w:t>, 422–427 (2014).</w:t>
      </w:r>
    </w:p>
    <w:p w14:paraId="064948B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35. </w:t>
      </w:r>
      <w:r w:rsidRPr="0098496E">
        <w:rPr>
          <w:rFonts w:ascii="Arial" w:hAnsi="Arial" w:cs="Arial"/>
          <w:color w:val="000000"/>
          <w:sz w:val="20"/>
        </w:rPr>
        <w:tab/>
        <w:t xml:space="preserve">K. Demchenko, T. Winzer, J. Stougaard, M. Parniske, K. Pawlowski, Distinct roles of Lotus japonicus SYMRK and SYM15 in root colonization and arbuscule formation. </w:t>
      </w:r>
      <w:r w:rsidRPr="0098496E">
        <w:rPr>
          <w:rFonts w:ascii="Arial" w:hAnsi="Arial" w:cs="Arial"/>
          <w:i/>
          <w:iCs/>
          <w:color w:val="000000"/>
          <w:sz w:val="20"/>
        </w:rPr>
        <w:t>New Phytologist</w:t>
      </w:r>
      <w:r w:rsidRPr="0098496E">
        <w:rPr>
          <w:rFonts w:ascii="Arial" w:hAnsi="Arial" w:cs="Arial"/>
          <w:color w:val="000000"/>
          <w:sz w:val="20"/>
        </w:rPr>
        <w:t xml:space="preserve"> </w:t>
      </w:r>
      <w:r w:rsidRPr="0098496E">
        <w:rPr>
          <w:rFonts w:ascii="Arial" w:hAnsi="Arial" w:cs="Arial"/>
          <w:b/>
          <w:bCs/>
          <w:color w:val="000000"/>
          <w:sz w:val="20"/>
        </w:rPr>
        <w:t>163</w:t>
      </w:r>
      <w:r w:rsidRPr="0098496E">
        <w:rPr>
          <w:rFonts w:ascii="Arial" w:hAnsi="Arial" w:cs="Arial"/>
          <w:color w:val="000000"/>
          <w:sz w:val="20"/>
        </w:rPr>
        <w:t>, 381–392 (2004).</w:t>
      </w:r>
    </w:p>
    <w:p w14:paraId="44766F7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36. </w:t>
      </w:r>
      <w:r w:rsidRPr="0098496E">
        <w:rPr>
          <w:rFonts w:ascii="Arial" w:hAnsi="Arial" w:cs="Arial"/>
          <w:color w:val="000000"/>
          <w:sz w:val="20"/>
        </w:rPr>
        <w:tab/>
        <w:t xml:space="preserve">N. B. Abel, </w:t>
      </w:r>
      <w:r w:rsidRPr="0098496E">
        <w:rPr>
          <w:rFonts w:ascii="Arial" w:hAnsi="Arial" w:cs="Arial"/>
          <w:i/>
          <w:iCs/>
          <w:color w:val="000000"/>
          <w:sz w:val="20"/>
        </w:rPr>
        <w:t>et al.</w:t>
      </w:r>
      <w:r w:rsidRPr="0098496E">
        <w:rPr>
          <w:rFonts w:ascii="Arial" w:hAnsi="Arial" w:cs="Arial"/>
          <w:color w:val="000000"/>
          <w:sz w:val="20"/>
        </w:rPr>
        <w:t xml:space="preserve">, Phosphorylation of the alpha-I motif in SYMRK drives root nodule organogenesis. </w:t>
      </w:r>
      <w:r w:rsidRPr="0098496E">
        <w:rPr>
          <w:rFonts w:ascii="Arial" w:hAnsi="Arial" w:cs="Arial"/>
          <w:i/>
          <w:iCs/>
          <w:color w:val="000000"/>
          <w:sz w:val="20"/>
        </w:rPr>
        <w:t>Proc Natl Acad Sci U S A</w:t>
      </w:r>
      <w:r w:rsidRPr="0098496E">
        <w:rPr>
          <w:rFonts w:ascii="Arial" w:hAnsi="Arial" w:cs="Arial"/>
          <w:color w:val="000000"/>
          <w:sz w:val="20"/>
        </w:rPr>
        <w:t xml:space="preserve"> </w:t>
      </w:r>
      <w:r w:rsidRPr="0098496E">
        <w:rPr>
          <w:rFonts w:ascii="Arial" w:hAnsi="Arial" w:cs="Arial"/>
          <w:b/>
          <w:bCs/>
          <w:color w:val="000000"/>
          <w:sz w:val="20"/>
        </w:rPr>
        <w:t>121</w:t>
      </w:r>
      <w:r w:rsidRPr="0098496E">
        <w:rPr>
          <w:rFonts w:ascii="Arial" w:hAnsi="Arial" w:cs="Arial"/>
          <w:color w:val="000000"/>
          <w:sz w:val="20"/>
        </w:rPr>
        <w:t>, e2311522121 (2024).</w:t>
      </w:r>
    </w:p>
    <w:p w14:paraId="0E9FE94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37. </w:t>
      </w:r>
      <w:r w:rsidRPr="0098496E">
        <w:rPr>
          <w:rFonts w:ascii="Arial" w:hAnsi="Arial" w:cs="Arial"/>
          <w:color w:val="000000"/>
          <w:sz w:val="20"/>
        </w:rPr>
        <w:tab/>
        <w:t xml:space="preserve">H. Gherbi, </w:t>
      </w:r>
      <w:r w:rsidRPr="0098496E">
        <w:rPr>
          <w:rFonts w:ascii="Arial" w:hAnsi="Arial" w:cs="Arial"/>
          <w:i/>
          <w:iCs/>
          <w:color w:val="000000"/>
          <w:sz w:val="20"/>
        </w:rPr>
        <w:t>et al.</w:t>
      </w:r>
      <w:r w:rsidRPr="0098496E">
        <w:rPr>
          <w:rFonts w:ascii="Arial" w:hAnsi="Arial" w:cs="Arial"/>
          <w:color w:val="000000"/>
          <w:sz w:val="20"/>
        </w:rPr>
        <w:t xml:space="preserve">, SymRK defines a common genetic basis for plant root endosymbioses with arbuscular mycorrhiza fungi, rhizobia, and Frankiabacteria.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105</w:t>
      </w:r>
      <w:r w:rsidRPr="0098496E">
        <w:rPr>
          <w:rFonts w:ascii="Arial" w:hAnsi="Arial" w:cs="Arial"/>
          <w:color w:val="000000"/>
          <w:sz w:val="20"/>
        </w:rPr>
        <w:t>, 4928–4932 (2008).</w:t>
      </w:r>
    </w:p>
    <w:p w14:paraId="27C5EF1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38. </w:t>
      </w:r>
      <w:r w:rsidRPr="0098496E">
        <w:rPr>
          <w:rFonts w:ascii="Arial" w:hAnsi="Arial" w:cs="Arial"/>
          <w:color w:val="000000"/>
          <w:sz w:val="20"/>
        </w:rPr>
        <w:tab/>
        <w:t xml:space="preserve">N. Tuteja, S. Mahajan, Calcium signaling network in plants: an overview. </w:t>
      </w:r>
      <w:r w:rsidRPr="0098496E">
        <w:rPr>
          <w:rFonts w:ascii="Arial" w:hAnsi="Arial" w:cs="Arial"/>
          <w:i/>
          <w:iCs/>
          <w:color w:val="000000"/>
          <w:sz w:val="20"/>
        </w:rPr>
        <w:t>Plant Signal Behav</w:t>
      </w:r>
      <w:r w:rsidRPr="0098496E">
        <w:rPr>
          <w:rFonts w:ascii="Arial" w:hAnsi="Arial" w:cs="Arial"/>
          <w:color w:val="000000"/>
          <w:sz w:val="20"/>
        </w:rPr>
        <w:t xml:space="preserve"> </w:t>
      </w:r>
      <w:r w:rsidRPr="0098496E">
        <w:rPr>
          <w:rFonts w:ascii="Arial" w:hAnsi="Arial" w:cs="Arial"/>
          <w:b/>
          <w:bCs/>
          <w:color w:val="000000"/>
          <w:sz w:val="20"/>
        </w:rPr>
        <w:t>2</w:t>
      </w:r>
      <w:r w:rsidRPr="0098496E">
        <w:rPr>
          <w:rFonts w:ascii="Arial" w:hAnsi="Arial" w:cs="Arial"/>
          <w:color w:val="000000"/>
          <w:sz w:val="20"/>
        </w:rPr>
        <w:t>, 79–85 (2007).</w:t>
      </w:r>
    </w:p>
    <w:p w14:paraId="6F72F19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39. </w:t>
      </w:r>
      <w:r w:rsidRPr="0098496E">
        <w:rPr>
          <w:rFonts w:ascii="Arial" w:hAnsi="Arial" w:cs="Arial"/>
          <w:color w:val="000000"/>
          <w:sz w:val="20"/>
        </w:rPr>
        <w:tab/>
        <w:t xml:space="preserve">J. Lévy, </w:t>
      </w:r>
      <w:r w:rsidRPr="0098496E">
        <w:rPr>
          <w:rFonts w:ascii="Arial" w:hAnsi="Arial" w:cs="Arial"/>
          <w:i/>
          <w:iCs/>
          <w:color w:val="000000"/>
          <w:sz w:val="20"/>
        </w:rPr>
        <w:t>et al.</w:t>
      </w:r>
      <w:r w:rsidRPr="0098496E">
        <w:rPr>
          <w:rFonts w:ascii="Arial" w:hAnsi="Arial" w:cs="Arial"/>
          <w:color w:val="000000"/>
          <w:sz w:val="20"/>
        </w:rPr>
        <w:t xml:space="preserve">, A putative Ca2+ and calmodulin-dependent protein kinase required for bacterial and fungal symbioses.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303</w:t>
      </w:r>
      <w:r w:rsidRPr="0098496E">
        <w:rPr>
          <w:rFonts w:ascii="Arial" w:hAnsi="Arial" w:cs="Arial"/>
          <w:color w:val="000000"/>
          <w:sz w:val="20"/>
        </w:rPr>
        <w:t>, 1361–1364 (2004).</w:t>
      </w:r>
    </w:p>
    <w:p w14:paraId="27AB27B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40. </w:t>
      </w:r>
      <w:r w:rsidRPr="0098496E">
        <w:rPr>
          <w:rFonts w:ascii="Arial" w:hAnsi="Arial" w:cs="Arial"/>
          <w:color w:val="000000"/>
          <w:sz w:val="20"/>
        </w:rPr>
        <w:tab/>
        <w:t xml:space="preserve">T. Hayashi, </w:t>
      </w:r>
      <w:r w:rsidRPr="0098496E">
        <w:rPr>
          <w:rFonts w:ascii="Arial" w:hAnsi="Arial" w:cs="Arial"/>
          <w:i/>
          <w:iCs/>
          <w:color w:val="000000"/>
          <w:sz w:val="20"/>
        </w:rPr>
        <w:t>et al.</w:t>
      </w:r>
      <w:r w:rsidRPr="0098496E">
        <w:rPr>
          <w:rFonts w:ascii="Arial" w:hAnsi="Arial" w:cs="Arial"/>
          <w:color w:val="000000"/>
          <w:sz w:val="20"/>
        </w:rPr>
        <w:t xml:space="preserve">, A dominant function of CCaMK in intracellular accommodation of bacterial and fungal endosymbionts. </w:t>
      </w:r>
      <w:r w:rsidRPr="0098496E">
        <w:rPr>
          <w:rFonts w:ascii="Arial" w:hAnsi="Arial" w:cs="Arial"/>
          <w:i/>
          <w:iCs/>
          <w:color w:val="000000"/>
          <w:sz w:val="20"/>
        </w:rPr>
        <w:t>Plant J</w:t>
      </w:r>
      <w:r w:rsidRPr="0098496E">
        <w:rPr>
          <w:rFonts w:ascii="Arial" w:hAnsi="Arial" w:cs="Arial"/>
          <w:color w:val="000000"/>
          <w:sz w:val="20"/>
        </w:rPr>
        <w:t xml:space="preserve"> </w:t>
      </w:r>
      <w:r w:rsidRPr="0098496E">
        <w:rPr>
          <w:rFonts w:ascii="Arial" w:hAnsi="Arial" w:cs="Arial"/>
          <w:b/>
          <w:bCs/>
          <w:color w:val="000000"/>
          <w:sz w:val="20"/>
        </w:rPr>
        <w:t>63</w:t>
      </w:r>
      <w:r w:rsidRPr="0098496E">
        <w:rPr>
          <w:rFonts w:ascii="Arial" w:hAnsi="Arial" w:cs="Arial"/>
          <w:color w:val="000000"/>
          <w:sz w:val="20"/>
        </w:rPr>
        <w:t>, 141–154 (2010).</w:t>
      </w:r>
    </w:p>
    <w:p w14:paraId="6C1E721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41. </w:t>
      </w:r>
      <w:r w:rsidRPr="0098496E">
        <w:rPr>
          <w:rFonts w:ascii="Arial" w:hAnsi="Arial" w:cs="Arial"/>
          <w:color w:val="000000"/>
          <w:sz w:val="20"/>
        </w:rPr>
        <w:tab/>
        <w:t xml:space="preserve">R. M. Mitra, </w:t>
      </w:r>
      <w:r w:rsidRPr="0098496E">
        <w:rPr>
          <w:rFonts w:ascii="Arial" w:hAnsi="Arial" w:cs="Arial"/>
          <w:i/>
          <w:iCs/>
          <w:color w:val="000000"/>
          <w:sz w:val="20"/>
        </w:rPr>
        <w:t>et al.</w:t>
      </w:r>
      <w:r w:rsidRPr="0098496E">
        <w:rPr>
          <w:rFonts w:ascii="Arial" w:hAnsi="Arial" w:cs="Arial"/>
          <w:color w:val="000000"/>
          <w:sz w:val="20"/>
        </w:rPr>
        <w:t xml:space="preserve">, A Ca2+/calmodulin-dependent protein kinase required for symbiotic nodule development: Gene identification by transcript-based cloning. </w:t>
      </w:r>
      <w:r w:rsidRPr="0098496E">
        <w:rPr>
          <w:rFonts w:ascii="Arial" w:hAnsi="Arial" w:cs="Arial"/>
          <w:i/>
          <w:iCs/>
          <w:color w:val="000000"/>
          <w:sz w:val="20"/>
        </w:rPr>
        <w:t>Proc Natl Acad Sci U S A</w:t>
      </w:r>
      <w:r w:rsidRPr="0098496E">
        <w:rPr>
          <w:rFonts w:ascii="Arial" w:hAnsi="Arial" w:cs="Arial"/>
          <w:color w:val="000000"/>
          <w:sz w:val="20"/>
        </w:rPr>
        <w:t xml:space="preserve"> </w:t>
      </w:r>
      <w:r w:rsidRPr="0098496E">
        <w:rPr>
          <w:rFonts w:ascii="Arial" w:hAnsi="Arial" w:cs="Arial"/>
          <w:b/>
          <w:bCs/>
          <w:color w:val="000000"/>
          <w:sz w:val="20"/>
        </w:rPr>
        <w:t>101</w:t>
      </w:r>
      <w:r w:rsidRPr="0098496E">
        <w:rPr>
          <w:rFonts w:ascii="Arial" w:hAnsi="Arial" w:cs="Arial"/>
          <w:color w:val="000000"/>
          <w:sz w:val="20"/>
        </w:rPr>
        <w:t>, 4701–4705 (2004).</w:t>
      </w:r>
    </w:p>
    <w:p w14:paraId="670CA0F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42. </w:t>
      </w:r>
      <w:r w:rsidRPr="0098496E">
        <w:rPr>
          <w:rFonts w:ascii="Arial" w:hAnsi="Arial" w:cs="Arial"/>
          <w:color w:val="000000"/>
          <w:sz w:val="20"/>
        </w:rPr>
        <w:tab/>
        <w:t xml:space="preserve">N. M. Cook, </w:t>
      </w:r>
      <w:r w:rsidRPr="0098496E">
        <w:rPr>
          <w:rFonts w:ascii="Arial" w:hAnsi="Arial" w:cs="Arial"/>
          <w:i/>
          <w:iCs/>
          <w:color w:val="000000"/>
          <w:sz w:val="20"/>
        </w:rPr>
        <w:t>et al.</w:t>
      </w:r>
      <w:r w:rsidRPr="0098496E">
        <w:rPr>
          <w:rFonts w:ascii="Arial" w:hAnsi="Arial" w:cs="Arial"/>
          <w:color w:val="000000"/>
          <w:sz w:val="20"/>
        </w:rPr>
        <w:t xml:space="preserve">, Autoactive CNGC15 enhances root endosymbiosis in legume and wheat.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638</w:t>
      </w:r>
      <w:r w:rsidRPr="0098496E">
        <w:rPr>
          <w:rFonts w:ascii="Arial" w:hAnsi="Arial" w:cs="Arial"/>
          <w:color w:val="000000"/>
          <w:sz w:val="20"/>
        </w:rPr>
        <w:t>, 752–759 (2025).</w:t>
      </w:r>
    </w:p>
    <w:p w14:paraId="6A8738A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43. </w:t>
      </w:r>
      <w:r w:rsidRPr="0098496E">
        <w:rPr>
          <w:rFonts w:ascii="Arial" w:hAnsi="Arial" w:cs="Arial"/>
          <w:color w:val="000000"/>
          <w:sz w:val="20"/>
        </w:rPr>
        <w:tab/>
        <w:t xml:space="preserve">K. Yano, </w:t>
      </w:r>
      <w:r w:rsidRPr="0098496E">
        <w:rPr>
          <w:rFonts w:ascii="Arial" w:hAnsi="Arial" w:cs="Arial"/>
          <w:i/>
          <w:iCs/>
          <w:color w:val="000000"/>
          <w:sz w:val="20"/>
        </w:rPr>
        <w:t>et al.</w:t>
      </w:r>
      <w:r w:rsidRPr="0098496E">
        <w:rPr>
          <w:rFonts w:ascii="Arial" w:hAnsi="Arial" w:cs="Arial"/>
          <w:color w:val="000000"/>
          <w:sz w:val="20"/>
        </w:rPr>
        <w:t xml:space="preserve">, CYCLOPS, a mediator of symbiotic intracellular accommodation.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105</w:t>
      </w:r>
      <w:r w:rsidRPr="0098496E">
        <w:rPr>
          <w:rFonts w:ascii="Arial" w:hAnsi="Arial" w:cs="Arial"/>
          <w:color w:val="000000"/>
          <w:sz w:val="20"/>
        </w:rPr>
        <w:t>, 20540–20545 (2008).</w:t>
      </w:r>
    </w:p>
    <w:p w14:paraId="60956F9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44. </w:t>
      </w:r>
      <w:r w:rsidRPr="0098496E">
        <w:rPr>
          <w:rFonts w:ascii="Arial" w:hAnsi="Arial" w:cs="Arial"/>
          <w:color w:val="000000"/>
          <w:sz w:val="20"/>
        </w:rPr>
        <w:tab/>
        <w:t xml:space="preserve">B. Horváth, </w:t>
      </w:r>
      <w:r w:rsidRPr="0098496E">
        <w:rPr>
          <w:rFonts w:ascii="Arial" w:hAnsi="Arial" w:cs="Arial"/>
          <w:i/>
          <w:iCs/>
          <w:color w:val="000000"/>
          <w:sz w:val="20"/>
        </w:rPr>
        <w:t>et al.</w:t>
      </w:r>
      <w:r w:rsidRPr="0098496E">
        <w:rPr>
          <w:rFonts w:ascii="Arial" w:hAnsi="Arial" w:cs="Arial"/>
          <w:color w:val="000000"/>
          <w:sz w:val="20"/>
        </w:rPr>
        <w:t xml:space="preserve">, Medicago truncatula IPD3 is a member of the common symbiotic signaling pathway required for rhizobial and mycorrhizal symbioses. </w:t>
      </w:r>
      <w:r w:rsidRPr="0098496E">
        <w:rPr>
          <w:rFonts w:ascii="Arial" w:hAnsi="Arial" w:cs="Arial"/>
          <w:i/>
          <w:iCs/>
          <w:color w:val="000000"/>
          <w:sz w:val="20"/>
        </w:rPr>
        <w:t>Mol Plant Microbe Interact</w:t>
      </w:r>
      <w:r w:rsidRPr="0098496E">
        <w:rPr>
          <w:rFonts w:ascii="Arial" w:hAnsi="Arial" w:cs="Arial"/>
          <w:color w:val="000000"/>
          <w:sz w:val="20"/>
        </w:rPr>
        <w:t xml:space="preserve"> </w:t>
      </w:r>
      <w:r w:rsidRPr="0098496E">
        <w:rPr>
          <w:rFonts w:ascii="Arial" w:hAnsi="Arial" w:cs="Arial"/>
          <w:b/>
          <w:bCs/>
          <w:color w:val="000000"/>
          <w:sz w:val="20"/>
        </w:rPr>
        <w:t>24</w:t>
      </w:r>
      <w:r w:rsidRPr="0098496E">
        <w:rPr>
          <w:rFonts w:ascii="Arial" w:hAnsi="Arial" w:cs="Arial"/>
          <w:color w:val="000000"/>
          <w:sz w:val="20"/>
        </w:rPr>
        <w:t>, 1345–1358 (2011).</w:t>
      </w:r>
    </w:p>
    <w:p w14:paraId="5FE665D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45. </w:t>
      </w:r>
      <w:r w:rsidRPr="0098496E">
        <w:rPr>
          <w:rFonts w:ascii="Arial" w:hAnsi="Arial" w:cs="Arial"/>
          <w:color w:val="000000"/>
          <w:sz w:val="20"/>
        </w:rPr>
        <w:tab/>
        <w:t xml:space="preserve">L. H. Madsen, </w:t>
      </w:r>
      <w:r w:rsidRPr="0098496E">
        <w:rPr>
          <w:rFonts w:ascii="Arial" w:hAnsi="Arial" w:cs="Arial"/>
          <w:i/>
          <w:iCs/>
          <w:color w:val="000000"/>
          <w:sz w:val="20"/>
        </w:rPr>
        <w:t>et al.</w:t>
      </w:r>
      <w:r w:rsidRPr="0098496E">
        <w:rPr>
          <w:rFonts w:ascii="Arial" w:hAnsi="Arial" w:cs="Arial"/>
          <w:color w:val="000000"/>
          <w:sz w:val="20"/>
        </w:rPr>
        <w:t xml:space="preserve">, The molecular network governing nodule organogenesis and infection in the model legume Lotus japonicus.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w:t>
      </w:r>
      <w:r w:rsidRPr="0098496E">
        <w:rPr>
          <w:rFonts w:ascii="Arial" w:hAnsi="Arial" w:cs="Arial"/>
          <w:color w:val="000000"/>
          <w:sz w:val="20"/>
        </w:rPr>
        <w:t>, 10 (2010).</w:t>
      </w:r>
    </w:p>
    <w:p w14:paraId="24DDEA9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46. </w:t>
      </w:r>
      <w:r w:rsidRPr="0098496E">
        <w:rPr>
          <w:rFonts w:ascii="Arial" w:hAnsi="Arial" w:cs="Arial"/>
          <w:color w:val="000000"/>
          <w:sz w:val="20"/>
        </w:rPr>
        <w:tab/>
        <w:t xml:space="preserve">A. B. Heckmann, </w:t>
      </w:r>
      <w:r w:rsidRPr="0098496E">
        <w:rPr>
          <w:rFonts w:ascii="Arial" w:hAnsi="Arial" w:cs="Arial"/>
          <w:i/>
          <w:iCs/>
          <w:color w:val="000000"/>
          <w:sz w:val="20"/>
        </w:rPr>
        <w:t>et al.</w:t>
      </w:r>
      <w:r w:rsidRPr="0098496E">
        <w:rPr>
          <w:rFonts w:ascii="Arial" w:hAnsi="Arial" w:cs="Arial"/>
          <w:color w:val="000000"/>
          <w:sz w:val="20"/>
        </w:rPr>
        <w:t xml:space="preserve">, Lotus japonicus nodulation requires two GRAS domain regulators, one of which is functionally conserved in a non-legume.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142</w:t>
      </w:r>
      <w:r w:rsidRPr="0098496E">
        <w:rPr>
          <w:rFonts w:ascii="Arial" w:hAnsi="Arial" w:cs="Arial"/>
          <w:color w:val="000000"/>
          <w:sz w:val="20"/>
        </w:rPr>
        <w:t>, 1739–1750 (2006).</w:t>
      </w:r>
    </w:p>
    <w:p w14:paraId="707D2B2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47. </w:t>
      </w:r>
      <w:r w:rsidRPr="0098496E">
        <w:rPr>
          <w:rFonts w:ascii="Arial" w:hAnsi="Arial" w:cs="Arial"/>
          <w:color w:val="000000"/>
          <w:sz w:val="20"/>
        </w:rPr>
        <w:tab/>
        <w:t xml:space="preserve">R. Geurts, A. Lillo, T. Bisseling, Exploiting an ancient signalling machinery to enjoy a nitrogen fixing symbiosis. </w:t>
      </w:r>
      <w:r w:rsidRPr="0098496E">
        <w:rPr>
          <w:rFonts w:ascii="Arial" w:hAnsi="Arial" w:cs="Arial"/>
          <w:i/>
          <w:iCs/>
          <w:color w:val="000000"/>
          <w:sz w:val="20"/>
        </w:rPr>
        <w:t>Curr Opin Plant Biol</w:t>
      </w:r>
      <w:r w:rsidRPr="0098496E">
        <w:rPr>
          <w:rFonts w:ascii="Arial" w:hAnsi="Arial" w:cs="Arial"/>
          <w:color w:val="000000"/>
          <w:sz w:val="20"/>
        </w:rPr>
        <w:t xml:space="preserve"> </w:t>
      </w:r>
      <w:r w:rsidRPr="0098496E">
        <w:rPr>
          <w:rFonts w:ascii="Arial" w:hAnsi="Arial" w:cs="Arial"/>
          <w:b/>
          <w:bCs/>
          <w:color w:val="000000"/>
          <w:sz w:val="20"/>
        </w:rPr>
        <w:t>15</w:t>
      </w:r>
      <w:r w:rsidRPr="0098496E">
        <w:rPr>
          <w:rFonts w:ascii="Arial" w:hAnsi="Arial" w:cs="Arial"/>
          <w:color w:val="000000"/>
          <w:sz w:val="20"/>
        </w:rPr>
        <w:t>, 438–443 (2012).</w:t>
      </w:r>
    </w:p>
    <w:p w14:paraId="0CEE170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48. </w:t>
      </w:r>
      <w:r w:rsidRPr="0098496E">
        <w:rPr>
          <w:rFonts w:ascii="Arial" w:hAnsi="Arial" w:cs="Arial"/>
          <w:color w:val="000000"/>
          <w:sz w:val="20"/>
        </w:rPr>
        <w:tab/>
        <w:t xml:space="preserve">W. Liu, </w:t>
      </w:r>
      <w:r w:rsidRPr="0098496E">
        <w:rPr>
          <w:rFonts w:ascii="Arial" w:hAnsi="Arial" w:cs="Arial"/>
          <w:i/>
          <w:iCs/>
          <w:color w:val="000000"/>
          <w:sz w:val="20"/>
        </w:rPr>
        <w:t>et al.</w:t>
      </w:r>
      <w:r w:rsidRPr="0098496E">
        <w:rPr>
          <w:rFonts w:ascii="Arial" w:hAnsi="Arial" w:cs="Arial"/>
          <w:color w:val="000000"/>
          <w:sz w:val="20"/>
        </w:rPr>
        <w:t xml:space="preserve">, Strigolactone Biosynthesis in Medicago  truncatula and Rice Requires the Symbiotic GRAS-Type Transcription Factors NSP1 and NSP2.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23</w:t>
      </w:r>
      <w:r w:rsidRPr="0098496E">
        <w:rPr>
          <w:rFonts w:ascii="Arial" w:hAnsi="Arial" w:cs="Arial"/>
          <w:color w:val="000000"/>
          <w:sz w:val="20"/>
        </w:rPr>
        <w:t>, 3853–3865 (2011).</w:t>
      </w:r>
    </w:p>
    <w:p w14:paraId="24F6D59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49. </w:t>
      </w:r>
      <w:r w:rsidRPr="0098496E">
        <w:rPr>
          <w:rFonts w:ascii="Arial" w:hAnsi="Arial" w:cs="Arial"/>
          <w:color w:val="000000"/>
          <w:sz w:val="20"/>
        </w:rPr>
        <w:tab/>
        <w:t xml:space="preserve">X.-R. Li, </w:t>
      </w:r>
      <w:r w:rsidRPr="0098496E">
        <w:rPr>
          <w:rFonts w:ascii="Arial" w:hAnsi="Arial" w:cs="Arial"/>
          <w:i/>
          <w:iCs/>
          <w:color w:val="000000"/>
          <w:sz w:val="20"/>
        </w:rPr>
        <w:t>et al.</w:t>
      </w:r>
      <w:r w:rsidRPr="0098496E">
        <w:rPr>
          <w:rFonts w:ascii="Arial" w:hAnsi="Arial" w:cs="Arial"/>
          <w:color w:val="000000"/>
          <w:sz w:val="20"/>
        </w:rPr>
        <w:t xml:space="preserve">, Nutrient regulation of lipochitooligosaccharide recognition in plants via NSP1 and NSP2.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13</w:t>
      </w:r>
      <w:r w:rsidRPr="0098496E">
        <w:rPr>
          <w:rFonts w:ascii="Arial" w:hAnsi="Arial" w:cs="Arial"/>
          <w:color w:val="000000"/>
          <w:sz w:val="20"/>
        </w:rPr>
        <w:t>, 6421 (2022).</w:t>
      </w:r>
    </w:p>
    <w:p w14:paraId="2C6CDE7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50. </w:t>
      </w:r>
      <w:r w:rsidRPr="0098496E">
        <w:rPr>
          <w:rFonts w:ascii="Arial" w:hAnsi="Arial" w:cs="Arial"/>
          <w:color w:val="000000"/>
          <w:sz w:val="20"/>
        </w:rPr>
        <w:tab/>
        <w:t xml:space="preserve">M. Tsitsikli, </w:t>
      </w:r>
      <w:r w:rsidRPr="0098496E">
        <w:rPr>
          <w:rFonts w:ascii="Arial" w:hAnsi="Arial" w:cs="Arial"/>
          <w:i/>
          <w:iCs/>
          <w:color w:val="000000"/>
          <w:sz w:val="20"/>
        </w:rPr>
        <w:t>et al.</w:t>
      </w:r>
      <w:r w:rsidRPr="0098496E">
        <w:rPr>
          <w:rFonts w:ascii="Arial" w:hAnsi="Arial" w:cs="Arial"/>
          <w:color w:val="000000"/>
          <w:sz w:val="20"/>
        </w:rPr>
        <w:t xml:space="preserve">, Two residues reprogram immunity receptors for nitrogen-fixing symbiosis.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648</w:t>
      </w:r>
      <w:r w:rsidRPr="0098496E">
        <w:rPr>
          <w:rFonts w:ascii="Arial" w:hAnsi="Arial" w:cs="Arial"/>
          <w:color w:val="000000"/>
          <w:sz w:val="20"/>
        </w:rPr>
        <w:t>, 443–450 (2025).</w:t>
      </w:r>
    </w:p>
    <w:p w14:paraId="679F688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51. </w:t>
      </w:r>
      <w:r w:rsidRPr="0098496E">
        <w:rPr>
          <w:rFonts w:ascii="Arial" w:hAnsi="Arial" w:cs="Arial"/>
          <w:color w:val="000000"/>
          <w:sz w:val="20"/>
        </w:rPr>
        <w:tab/>
        <w:t xml:space="preserve">T. Vernié, </w:t>
      </w:r>
      <w:r w:rsidRPr="0098496E">
        <w:rPr>
          <w:rFonts w:ascii="Arial" w:hAnsi="Arial" w:cs="Arial"/>
          <w:i/>
          <w:iCs/>
          <w:color w:val="000000"/>
          <w:sz w:val="20"/>
        </w:rPr>
        <w:t>et al.</w:t>
      </w:r>
      <w:r w:rsidRPr="0098496E">
        <w:rPr>
          <w:rFonts w:ascii="Arial" w:hAnsi="Arial" w:cs="Arial"/>
          <w:color w:val="000000"/>
          <w:sz w:val="20"/>
        </w:rPr>
        <w:t xml:space="preserve">, Conservation of symbiotic signaling since the most recent common ancestor of land plants.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122</w:t>
      </w:r>
      <w:r w:rsidRPr="0098496E">
        <w:rPr>
          <w:rFonts w:ascii="Arial" w:hAnsi="Arial" w:cs="Arial"/>
          <w:color w:val="000000"/>
          <w:sz w:val="20"/>
        </w:rPr>
        <w:t>, e2408539121 (2025).</w:t>
      </w:r>
    </w:p>
    <w:p w14:paraId="697AC39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52. </w:t>
      </w:r>
      <w:r w:rsidRPr="0098496E">
        <w:rPr>
          <w:rFonts w:ascii="Arial" w:hAnsi="Arial" w:cs="Arial"/>
          <w:color w:val="000000"/>
          <w:sz w:val="20"/>
        </w:rPr>
        <w:tab/>
        <w:t xml:space="preserve">H. Rübsam, </w:t>
      </w:r>
      <w:r w:rsidRPr="0098496E">
        <w:rPr>
          <w:rFonts w:ascii="Arial" w:hAnsi="Arial" w:cs="Arial"/>
          <w:i/>
          <w:iCs/>
          <w:color w:val="000000"/>
          <w:sz w:val="20"/>
        </w:rPr>
        <w:t>et al.</w:t>
      </w:r>
      <w:r w:rsidRPr="0098496E">
        <w:rPr>
          <w:rFonts w:ascii="Arial" w:hAnsi="Arial" w:cs="Arial"/>
          <w:color w:val="000000"/>
          <w:sz w:val="20"/>
        </w:rPr>
        <w:t xml:space="preserve">, Nanobody-driven signaling reveals the core receptor complex in root nodule symbiosis.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379</w:t>
      </w:r>
      <w:r w:rsidRPr="0098496E">
        <w:rPr>
          <w:rFonts w:ascii="Arial" w:hAnsi="Arial" w:cs="Arial"/>
          <w:color w:val="000000"/>
          <w:sz w:val="20"/>
        </w:rPr>
        <w:t>, 272–277 (2023).</w:t>
      </w:r>
    </w:p>
    <w:p w14:paraId="25AE2D9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53. </w:t>
      </w:r>
      <w:r w:rsidRPr="0098496E">
        <w:rPr>
          <w:rFonts w:ascii="Arial" w:hAnsi="Arial" w:cs="Arial"/>
          <w:color w:val="000000"/>
          <w:sz w:val="20"/>
        </w:rPr>
        <w:tab/>
        <w:t xml:space="preserve">J.-P. Gao, C. H. Chiu, G. E. D. Oldroyd, Unlocking the role of </w:t>
      </w:r>
      <w:r w:rsidRPr="0098496E">
        <w:rPr>
          <w:rFonts w:ascii="Arial" w:hAnsi="Arial" w:cs="Arial"/>
          <w:i/>
          <w:iCs/>
          <w:color w:val="000000"/>
          <w:sz w:val="20"/>
        </w:rPr>
        <w:t>NSP1</w:t>
      </w:r>
      <w:r w:rsidRPr="0098496E">
        <w:rPr>
          <w:rFonts w:ascii="Arial" w:hAnsi="Arial" w:cs="Arial"/>
          <w:color w:val="000000"/>
          <w:sz w:val="20"/>
        </w:rPr>
        <w:t xml:space="preserve"> and </w:t>
      </w:r>
      <w:r w:rsidRPr="0098496E">
        <w:rPr>
          <w:rFonts w:ascii="Arial" w:hAnsi="Arial" w:cs="Arial"/>
          <w:i/>
          <w:iCs/>
          <w:color w:val="000000"/>
          <w:sz w:val="20"/>
        </w:rPr>
        <w:t>NSP2</w:t>
      </w:r>
      <w:r w:rsidRPr="0098496E">
        <w:rPr>
          <w:rFonts w:ascii="Arial" w:hAnsi="Arial" w:cs="Arial"/>
          <w:color w:val="000000"/>
          <w:sz w:val="20"/>
        </w:rPr>
        <w:t xml:space="preserve">: nutrient-responsive regulators in nodulation. </w:t>
      </w:r>
      <w:r w:rsidRPr="0098496E">
        <w:rPr>
          <w:rFonts w:ascii="Arial" w:hAnsi="Arial" w:cs="Arial"/>
          <w:i/>
          <w:iCs/>
          <w:color w:val="000000"/>
          <w:sz w:val="20"/>
        </w:rPr>
        <w:t>Trends in Plant Science</w:t>
      </w:r>
      <w:r w:rsidRPr="0098496E">
        <w:rPr>
          <w:rFonts w:ascii="Arial" w:hAnsi="Arial" w:cs="Arial"/>
          <w:color w:val="000000"/>
          <w:sz w:val="20"/>
        </w:rPr>
        <w:t xml:space="preserve"> </w:t>
      </w:r>
      <w:r w:rsidRPr="0098496E">
        <w:rPr>
          <w:rFonts w:ascii="Arial" w:hAnsi="Arial" w:cs="Arial"/>
          <w:b/>
          <w:bCs/>
          <w:color w:val="000000"/>
          <w:sz w:val="20"/>
        </w:rPr>
        <w:t>30</w:t>
      </w:r>
      <w:r w:rsidRPr="0098496E">
        <w:rPr>
          <w:rFonts w:ascii="Arial" w:hAnsi="Arial" w:cs="Arial"/>
          <w:color w:val="000000"/>
          <w:sz w:val="20"/>
        </w:rPr>
        <w:t>, 925–928 (2025).</w:t>
      </w:r>
    </w:p>
    <w:p w14:paraId="261769A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54. </w:t>
      </w:r>
      <w:r w:rsidRPr="0098496E">
        <w:rPr>
          <w:rFonts w:ascii="Arial" w:hAnsi="Arial" w:cs="Arial"/>
          <w:color w:val="000000"/>
          <w:sz w:val="20"/>
        </w:rPr>
        <w:tab/>
        <w:t xml:space="preserve">K. Tao, </w:t>
      </w:r>
      <w:r w:rsidRPr="0098496E">
        <w:rPr>
          <w:rFonts w:ascii="Arial" w:hAnsi="Arial" w:cs="Arial"/>
          <w:i/>
          <w:iCs/>
          <w:color w:val="000000"/>
          <w:sz w:val="20"/>
        </w:rPr>
        <w:t>et al.</w:t>
      </w:r>
      <w:r w:rsidRPr="0098496E">
        <w:rPr>
          <w:rFonts w:ascii="Arial" w:hAnsi="Arial" w:cs="Arial"/>
          <w:color w:val="000000"/>
          <w:sz w:val="20"/>
        </w:rPr>
        <w:t xml:space="preserve">, Nitrogen and Nod factor signaling determine Lotus japonicus root exudate composition and bacterial assembly.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15</w:t>
      </w:r>
      <w:r w:rsidRPr="0098496E">
        <w:rPr>
          <w:rFonts w:ascii="Arial" w:hAnsi="Arial" w:cs="Arial"/>
          <w:color w:val="000000"/>
          <w:sz w:val="20"/>
        </w:rPr>
        <w:t>, 3436 (2024).</w:t>
      </w:r>
    </w:p>
    <w:p w14:paraId="6B3DBC5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55. </w:t>
      </w:r>
      <w:r w:rsidRPr="0098496E">
        <w:rPr>
          <w:rFonts w:ascii="Arial" w:hAnsi="Arial" w:cs="Arial"/>
          <w:color w:val="000000"/>
          <w:sz w:val="20"/>
        </w:rPr>
        <w:tab/>
        <w:t xml:space="preserve">R. Zgadzaj, </w:t>
      </w:r>
      <w:r w:rsidRPr="0098496E">
        <w:rPr>
          <w:rFonts w:ascii="Arial" w:hAnsi="Arial" w:cs="Arial"/>
          <w:i/>
          <w:iCs/>
          <w:color w:val="000000"/>
          <w:sz w:val="20"/>
        </w:rPr>
        <w:t>et al.</w:t>
      </w:r>
      <w:r w:rsidRPr="0098496E">
        <w:rPr>
          <w:rFonts w:ascii="Arial" w:hAnsi="Arial" w:cs="Arial"/>
          <w:color w:val="000000"/>
          <w:sz w:val="20"/>
        </w:rPr>
        <w:t xml:space="preserve">, Root nodule symbiosis in Lotus japonicus drives the establishment of distinctive rhizosphere, root, and nodule bacterial communities.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113</w:t>
      </w:r>
      <w:r w:rsidRPr="0098496E">
        <w:rPr>
          <w:rFonts w:ascii="Arial" w:hAnsi="Arial" w:cs="Arial"/>
          <w:color w:val="000000"/>
          <w:sz w:val="20"/>
        </w:rPr>
        <w:t>, E7996–E8005 (2016).</w:t>
      </w:r>
    </w:p>
    <w:p w14:paraId="3A6EE25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56. </w:t>
      </w:r>
      <w:r w:rsidRPr="0098496E">
        <w:rPr>
          <w:rFonts w:ascii="Arial" w:hAnsi="Arial" w:cs="Arial"/>
          <w:color w:val="000000"/>
          <w:sz w:val="20"/>
        </w:rPr>
        <w:tab/>
        <w:t xml:space="preserve">T. Thiergart, </w:t>
      </w:r>
      <w:r w:rsidRPr="0098496E">
        <w:rPr>
          <w:rFonts w:ascii="Arial" w:hAnsi="Arial" w:cs="Arial"/>
          <w:i/>
          <w:iCs/>
          <w:color w:val="000000"/>
          <w:sz w:val="20"/>
        </w:rPr>
        <w:t>et al.</w:t>
      </w:r>
      <w:r w:rsidRPr="0098496E">
        <w:rPr>
          <w:rFonts w:ascii="Arial" w:hAnsi="Arial" w:cs="Arial"/>
          <w:color w:val="000000"/>
          <w:sz w:val="20"/>
        </w:rPr>
        <w:t xml:space="preserve">, Lotus japonicus Symbiosis Genes Impact Microbial Interactions between Symbionts and Multikingdom Commensal Communities. </w:t>
      </w:r>
      <w:r w:rsidRPr="0098496E">
        <w:rPr>
          <w:rFonts w:ascii="Arial" w:hAnsi="Arial" w:cs="Arial"/>
          <w:i/>
          <w:iCs/>
          <w:color w:val="000000"/>
          <w:sz w:val="20"/>
        </w:rPr>
        <w:t>mBio</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e01833-19 (2019).</w:t>
      </w:r>
    </w:p>
    <w:p w14:paraId="4AEE1F2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57. </w:t>
      </w:r>
      <w:r w:rsidRPr="0098496E">
        <w:rPr>
          <w:rFonts w:ascii="Arial" w:hAnsi="Arial" w:cs="Arial"/>
          <w:color w:val="000000"/>
          <w:sz w:val="20"/>
        </w:rPr>
        <w:tab/>
        <w:t xml:space="preserve">A. Tkacz, </w:t>
      </w:r>
      <w:r w:rsidRPr="0098496E">
        <w:rPr>
          <w:rFonts w:ascii="Arial" w:hAnsi="Arial" w:cs="Arial"/>
          <w:i/>
          <w:iCs/>
          <w:color w:val="000000"/>
          <w:sz w:val="20"/>
        </w:rPr>
        <w:t>et al.</w:t>
      </w:r>
      <w:r w:rsidRPr="0098496E">
        <w:rPr>
          <w:rFonts w:ascii="Arial" w:hAnsi="Arial" w:cs="Arial"/>
          <w:color w:val="000000"/>
          <w:sz w:val="20"/>
        </w:rPr>
        <w:t xml:space="preserve">, Nodulation and nitrogen fixation in Medicago truncatula strongly alters the abundance of its root microbiota and subtly affects its structure. </w:t>
      </w:r>
      <w:r w:rsidRPr="0098496E">
        <w:rPr>
          <w:rFonts w:ascii="Arial" w:hAnsi="Arial" w:cs="Arial"/>
          <w:i/>
          <w:iCs/>
          <w:color w:val="000000"/>
          <w:sz w:val="20"/>
        </w:rPr>
        <w:t>Environ Microbiol</w:t>
      </w:r>
      <w:r w:rsidRPr="0098496E">
        <w:rPr>
          <w:rFonts w:ascii="Arial" w:hAnsi="Arial" w:cs="Arial"/>
          <w:color w:val="000000"/>
          <w:sz w:val="20"/>
        </w:rPr>
        <w:t xml:space="preserve"> </w:t>
      </w:r>
      <w:r w:rsidRPr="0098496E">
        <w:rPr>
          <w:rFonts w:ascii="Arial" w:hAnsi="Arial" w:cs="Arial"/>
          <w:b/>
          <w:bCs/>
          <w:color w:val="000000"/>
          <w:sz w:val="20"/>
        </w:rPr>
        <w:t>24</w:t>
      </w:r>
      <w:r w:rsidRPr="0098496E">
        <w:rPr>
          <w:rFonts w:ascii="Arial" w:hAnsi="Arial" w:cs="Arial"/>
          <w:color w:val="000000"/>
          <w:sz w:val="20"/>
        </w:rPr>
        <w:t>, 5524–5533 (2022).</w:t>
      </w:r>
    </w:p>
    <w:p w14:paraId="2C2E55E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58. </w:t>
      </w:r>
      <w:r w:rsidRPr="0098496E">
        <w:rPr>
          <w:rFonts w:ascii="Arial" w:hAnsi="Arial" w:cs="Arial"/>
          <w:color w:val="000000"/>
          <w:sz w:val="20"/>
        </w:rPr>
        <w:tab/>
        <w:t xml:space="preserve">S. Ikeda, </w:t>
      </w:r>
      <w:r w:rsidRPr="0098496E">
        <w:rPr>
          <w:rFonts w:ascii="Arial" w:hAnsi="Arial" w:cs="Arial"/>
          <w:i/>
          <w:iCs/>
          <w:color w:val="000000"/>
          <w:sz w:val="20"/>
        </w:rPr>
        <w:t>et al.</w:t>
      </w:r>
      <w:r w:rsidRPr="0098496E">
        <w:rPr>
          <w:rFonts w:ascii="Arial" w:hAnsi="Arial" w:cs="Arial"/>
          <w:color w:val="000000"/>
          <w:sz w:val="20"/>
        </w:rPr>
        <w:t xml:space="preserve">, The genotype of the calcium/calmodulin-dependent protein kinase gene (CCaMK) determines bacterial community diversity in rice roots under paddy and upland field conditions. </w:t>
      </w:r>
      <w:r w:rsidRPr="0098496E">
        <w:rPr>
          <w:rFonts w:ascii="Arial" w:hAnsi="Arial" w:cs="Arial"/>
          <w:i/>
          <w:iCs/>
          <w:color w:val="000000"/>
          <w:sz w:val="20"/>
        </w:rPr>
        <w:t>Appl Environ Microbiol</w:t>
      </w:r>
      <w:r w:rsidRPr="0098496E">
        <w:rPr>
          <w:rFonts w:ascii="Arial" w:hAnsi="Arial" w:cs="Arial"/>
          <w:color w:val="000000"/>
          <w:sz w:val="20"/>
        </w:rPr>
        <w:t xml:space="preserve"> </w:t>
      </w:r>
      <w:r w:rsidRPr="0098496E">
        <w:rPr>
          <w:rFonts w:ascii="Arial" w:hAnsi="Arial" w:cs="Arial"/>
          <w:b/>
          <w:bCs/>
          <w:color w:val="000000"/>
          <w:sz w:val="20"/>
        </w:rPr>
        <w:t>77</w:t>
      </w:r>
      <w:r w:rsidRPr="0098496E">
        <w:rPr>
          <w:rFonts w:ascii="Arial" w:hAnsi="Arial" w:cs="Arial"/>
          <w:color w:val="000000"/>
          <w:sz w:val="20"/>
        </w:rPr>
        <w:t>, 4399–4405 (2011).</w:t>
      </w:r>
    </w:p>
    <w:p w14:paraId="08A1D82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59. </w:t>
      </w:r>
      <w:r w:rsidRPr="0098496E">
        <w:rPr>
          <w:rFonts w:ascii="Arial" w:hAnsi="Arial" w:cs="Arial"/>
          <w:color w:val="000000"/>
          <w:sz w:val="20"/>
        </w:rPr>
        <w:tab/>
        <w:t xml:space="preserve">B. T. Christensen, I. K. Thomsen, J. Eriksen, The Askov long-term field experiment (1894–2021) represents a unique research platform. </w:t>
      </w:r>
      <w:r w:rsidRPr="0098496E">
        <w:rPr>
          <w:rFonts w:ascii="Arial" w:hAnsi="Arial" w:cs="Arial"/>
          <w:i/>
          <w:iCs/>
          <w:color w:val="000000"/>
          <w:sz w:val="20"/>
        </w:rPr>
        <w:t>Journal of Plant Nutrition and Soil Science</w:t>
      </w:r>
      <w:r w:rsidRPr="0098496E">
        <w:rPr>
          <w:rFonts w:ascii="Arial" w:hAnsi="Arial" w:cs="Arial"/>
          <w:color w:val="000000"/>
          <w:sz w:val="20"/>
        </w:rPr>
        <w:t xml:space="preserve"> </w:t>
      </w:r>
      <w:r w:rsidRPr="0098496E">
        <w:rPr>
          <w:rFonts w:ascii="Arial" w:hAnsi="Arial" w:cs="Arial"/>
          <w:b/>
          <w:bCs/>
          <w:color w:val="000000"/>
          <w:sz w:val="20"/>
        </w:rPr>
        <w:t>185</w:t>
      </w:r>
      <w:r w:rsidRPr="0098496E">
        <w:rPr>
          <w:rFonts w:ascii="Arial" w:hAnsi="Arial" w:cs="Arial"/>
          <w:color w:val="000000"/>
          <w:sz w:val="20"/>
        </w:rPr>
        <w:t>, 187–201 (2022).</w:t>
      </w:r>
    </w:p>
    <w:p w14:paraId="43EF3A1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60. </w:t>
      </w:r>
      <w:r w:rsidRPr="0098496E">
        <w:rPr>
          <w:rFonts w:ascii="Arial" w:hAnsi="Arial" w:cs="Arial"/>
          <w:color w:val="000000"/>
          <w:sz w:val="20"/>
        </w:rPr>
        <w:tab/>
        <w:t xml:space="preserve">M. Delgado-Baquerizo, </w:t>
      </w:r>
      <w:r w:rsidRPr="0098496E">
        <w:rPr>
          <w:rFonts w:ascii="Arial" w:hAnsi="Arial" w:cs="Arial"/>
          <w:i/>
          <w:iCs/>
          <w:color w:val="000000"/>
          <w:sz w:val="20"/>
        </w:rPr>
        <w:t>et al.</w:t>
      </w:r>
      <w:r w:rsidRPr="0098496E">
        <w:rPr>
          <w:rFonts w:ascii="Arial" w:hAnsi="Arial" w:cs="Arial"/>
          <w:color w:val="000000"/>
          <w:sz w:val="20"/>
        </w:rPr>
        <w:t xml:space="preserve">, A global atlas of the dominant bacteria found in soil.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359</w:t>
      </w:r>
      <w:r w:rsidRPr="0098496E">
        <w:rPr>
          <w:rFonts w:ascii="Arial" w:hAnsi="Arial" w:cs="Arial"/>
          <w:color w:val="000000"/>
          <w:sz w:val="20"/>
        </w:rPr>
        <w:t>, 320–325 (2018).</w:t>
      </w:r>
    </w:p>
    <w:p w14:paraId="4B93AAD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61. </w:t>
      </w:r>
      <w:r w:rsidRPr="0098496E">
        <w:rPr>
          <w:rFonts w:ascii="Arial" w:hAnsi="Arial" w:cs="Arial"/>
          <w:color w:val="000000"/>
          <w:sz w:val="20"/>
        </w:rPr>
        <w:tab/>
        <w:t xml:space="preserve">F. R. Kulcheski, R. Côrrea, I. A. Gomes, J. C. de Lima, R. Margis, NPK macronutrients and microRNA homeostasis. </w:t>
      </w:r>
      <w:r w:rsidRPr="0098496E">
        <w:rPr>
          <w:rFonts w:ascii="Arial" w:hAnsi="Arial" w:cs="Arial"/>
          <w:i/>
          <w:iCs/>
          <w:color w:val="000000"/>
          <w:sz w:val="20"/>
        </w:rPr>
        <w:t>Front. Plant Sci.</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xml:space="preserve"> (2015).</w:t>
      </w:r>
    </w:p>
    <w:p w14:paraId="7B0CEB7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62. </w:t>
      </w:r>
      <w:r w:rsidRPr="0098496E">
        <w:rPr>
          <w:rFonts w:ascii="Arial" w:hAnsi="Arial" w:cs="Arial"/>
          <w:color w:val="000000"/>
          <w:sz w:val="20"/>
        </w:rPr>
        <w:tab/>
        <w:t xml:space="preserve">F. Mus, </w:t>
      </w:r>
      <w:r w:rsidRPr="0098496E">
        <w:rPr>
          <w:rFonts w:ascii="Arial" w:hAnsi="Arial" w:cs="Arial"/>
          <w:i/>
          <w:iCs/>
          <w:color w:val="000000"/>
          <w:sz w:val="20"/>
        </w:rPr>
        <w:t>et al.</w:t>
      </w:r>
      <w:r w:rsidRPr="0098496E">
        <w:rPr>
          <w:rFonts w:ascii="Arial" w:hAnsi="Arial" w:cs="Arial"/>
          <w:color w:val="000000"/>
          <w:sz w:val="20"/>
        </w:rPr>
        <w:t xml:space="preserve">, Symbiotic Nitrogen Fixation and the Challenges to Its Extension to Nonlegumes. </w:t>
      </w:r>
      <w:r w:rsidRPr="0098496E">
        <w:rPr>
          <w:rFonts w:ascii="Arial" w:hAnsi="Arial" w:cs="Arial"/>
          <w:i/>
          <w:iCs/>
          <w:color w:val="000000"/>
          <w:sz w:val="20"/>
        </w:rPr>
        <w:t>Appl Environ Microbiol</w:t>
      </w:r>
      <w:r w:rsidRPr="0098496E">
        <w:rPr>
          <w:rFonts w:ascii="Arial" w:hAnsi="Arial" w:cs="Arial"/>
          <w:color w:val="000000"/>
          <w:sz w:val="20"/>
        </w:rPr>
        <w:t xml:space="preserve"> </w:t>
      </w:r>
      <w:r w:rsidRPr="0098496E">
        <w:rPr>
          <w:rFonts w:ascii="Arial" w:hAnsi="Arial" w:cs="Arial"/>
          <w:b/>
          <w:bCs/>
          <w:color w:val="000000"/>
          <w:sz w:val="20"/>
        </w:rPr>
        <w:t>82</w:t>
      </w:r>
      <w:r w:rsidRPr="0098496E">
        <w:rPr>
          <w:rFonts w:ascii="Arial" w:hAnsi="Arial" w:cs="Arial"/>
          <w:color w:val="000000"/>
          <w:sz w:val="20"/>
        </w:rPr>
        <w:t>, 3698–3710 (2016).</w:t>
      </w:r>
    </w:p>
    <w:p w14:paraId="39B12DE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63. </w:t>
      </w:r>
      <w:r w:rsidRPr="0098496E">
        <w:rPr>
          <w:rFonts w:ascii="Arial" w:hAnsi="Arial" w:cs="Arial"/>
          <w:color w:val="000000"/>
          <w:sz w:val="20"/>
        </w:rPr>
        <w:tab/>
        <w:t xml:space="preserve">K. Wippel, </w:t>
      </w:r>
      <w:r w:rsidRPr="0098496E">
        <w:rPr>
          <w:rFonts w:ascii="Arial" w:hAnsi="Arial" w:cs="Arial"/>
          <w:i/>
          <w:iCs/>
          <w:color w:val="000000"/>
          <w:sz w:val="20"/>
        </w:rPr>
        <w:t>et al.</w:t>
      </w:r>
      <w:r w:rsidRPr="0098496E">
        <w:rPr>
          <w:rFonts w:ascii="Arial" w:hAnsi="Arial" w:cs="Arial"/>
          <w:color w:val="000000"/>
          <w:sz w:val="20"/>
        </w:rPr>
        <w:t xml:space="preserve">, Host preference and invasiveness of commensal bacteria in the Lotus and Arabidopsis root microbiota. </w:t>
      </w:r>
      <w:r w:rsidRPr="0098496E">
        <w:rPr>
          <w:rFonts w:ascii="Arial" w:hAnsi="Arial" w:cs="Arial"/>
          <w:i/>
          <w:iCs/>
          <w:color w:val="000000"/>
          <w:sz w:val="20"/>
        </w:rPr>
        <w:t>Nat Microbiol</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1150–1162 (2021).</w:t>
      </w:r>
    </w:p>
    <w:p w14:paraId="5D3A1D3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64. </w:t>
      </w:r>
      <w:r w:rsidRPr="0098496E">
        <w:rPr>
          <w:rFonts w:ascii="Arial" w:hAnsi="Arial" w:cs="Arial"/>
          <w:color w:val="000000"/>
          <w:sz w:val="20"/>
        </w:rPr>
        <w:tab/>
        <w:t xml:space="preserve">S. Stracke, </w:t>
      </w:r>
      <w:r w:rsidRPr="0098496E">
        <w:rPr>
          <w:rFonts w:ascii="Arial" w:hAnsi="Arial" w:cs="Arial"/>
          <w:i/>
          <w:iCs/>
          <w:color w:val="000000"/>
          <w:sz w:val="20"/>
        </w:rPr>
        <w:t>et al.</w:t>
      </w:r>
      <w:r w:rsidRPr="0098496E">
        <w:rPr>
          <w:rFonts w:ascii="Arial" w:hAnsi="Arial" w:cs="Arial"/>
          <w:color w:val="000000"/>
          <w:sz w:val="20"/>
        </w:rPr>
        <w:t xml:space="preserve">, A plant receptor-like kinase required for both bacterial and fungal symbiosis.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417</w:t>
      </w:r>
      <w:r w:rsidRPr="0098496E">
        <w:rPr>
          <w:rFonts w:ascii="Arial" w:hAnsi="Arial" w:cs="Arial"/>
          <w:color w:val="000000"/>
          <w:sz w:val="20"/>
        </w:rPr>
        <w:t>, 959–962 (2002).</w:t>
      </w:r>
    </w:p>
    <w:p w14:paraId="19802A0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65. </w:t>
      </w:r>
      <w:r w:rsidRPr="0098496E">
        <w:rPr>
          <w:rFonts w:ascii="Arial" w:hAnsi="Arial" w:cs="Arial"/>
          <w:color w:val="000000"/>
          <w:sz w:val="20"/>
        </w:rPr>
        <w:tab/>
        <w:t xml:space="preserve">L. Tirichine, </w:t>
      </w:r>
      <w:r w:rsidRPr="0098496E">
        <w:rPr>
          <w:rFonts w:ascii="Arial" w:hAnsi="Arial" w:cs="Arial"/>
          <w:i/>
          <w:iCs/>
          <w:color w:val="000000"/>
          <w:sz w:val="20"/>
        </w:rPr>
        <w:t>et al.</w:t>
      </w:r>
      <w:r w:rsidRPr="0098496E">
        <w:rPr>
          <w:rFonts w:ascii="Arial" w:hAnsi="Arial" w:cs="Arial"/>
          <w:color w:val="000000"/>
          <w:sz w:val="20"/>
        </w:rPr>
        <w:t xml:space="preserve">, Deregulation of a Ca2+/calmodulin-dependent kinase leads to spontaneous nodule development.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441</w:t>
      </w:r>
      <w:r w:rsidRPr="0098496E">
        <w:rPr>
          <w:rFonts w:ascii="Arial" w:hAnsi="Arial" w:cs="Arial"/>
          <w:color w:val="000000"/>
          <w:sz w:val="20"/>
        </w:rPr>
        <w:t>, 1153–1156 (2006).</w:t>
      </w:r>
    </w:p>
    <w:p w14:paraId="64D89D2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66. </w:t>
      </w:r>
      <w:r w:rsidRPr="0098496E">
        <w:rPr>
          <w:rFonts w:ascii="Arial" w:hAnsi="Arial" w:cs="Arial"/>
          <w:color w:val="000000"/>
          <w:sz w:val="20"/>
        </w:rPr>
        <w:tab/>
        <w:t xml:space="preserve">N. Takeda, S. Tsuzuki, T. Suzaki, M. Parniske, M. Kawaguchi, CERBERUS and NSP1 of Lotus japonicus are common symbiosis genes that modulate arbuscular mycorrhiza development. </w:t>
      </w:r>
      <w:r w:rsidRPr="0098496E">
        <w:rPr>
          <w:rFonts w:ascii="Arial" w:hAnsi="Arial" w:cs="Arial"/>
          <w:i/>
          <w:iCs/>
          <w:color w:val="000000"/>
          <w:sz w:val="20"/>
        </w:rPr>
        <w:t>Plant Cell Physiol</w:t>
      </w:r>
      <w:r w:rsidRPr="0098496E">
        <w:rPr>
          <w:rFonts w:ascii="Arial" w:hAnsi="Arial" w:cs="Arial"/>
          <w:color w:val="000000"/>
          <w:sz w:val="20"/>
        </w:rPr>
        <w:t xml:space="preserve"> </w:t>
      </w:r>
      <w:r w:rsidRPr="0098496E">
        <w:rPr>
          <w:rFonts w:ascii="Arial" w:hAnsi="Arial" w:cs="Arial"/>
          <w:b/>
          <w:bCs/>
          <w:color w:val="000000"/>
          <w:sz w:val="20"/>
        </w:rPr>
        <w:t>54</w:t>
      </w:r>
      <w:r w:rsidRPr="0098496E">
        <w:rPr>
          <w:rFonts w:ascii="Arial" w:hAnsi="Arial" w:cs="Arial"/>
          <w:color w:val="000000"/>
          <w:sz w:val="20"/>
        </w:rPr>
        <w:t>, 1711–1723 (2013).</w:t>
      </w:r>
    </w:p>
    <w:p w14:paraId="6512398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67. </w:t>
      </w:r>
      <w:r w:rsidRPr="0098496E">
        <w:rPr>
          <w:rFonts w:ascii="Arial" w:hAnsi="Arial" w:cs="Arial"/>
          <w:color w:val="000000"/>
          <w:sz w:val="20"/>
        </w:rPr>
        <w:tab/>
        <w:t xml:space="preserve">Y. Murakami, </w:t>
      </w:r>
      <w:r w:rsidRPr="0098496E">
        <w:rPr>
          <w:rFonts w:ascii="Arial" w:hAnsi="Arial" w:cs="Arial"/>
          <w:i/>
          <w:iCs/>
          <w:color w:val="000000"/>
          <w:sz w:val="20"/>
        </w:rPr>
        <w:t>et al.</w:t>
      </w:r>
      <w:r w:rsidRPr="0098496E">
        <w:rPr>
          <w:rFonts w:ascii="Arial" w:hAnsi="Arial" w:cs="Arial"/>
          <w:color w:val="000000"/>
          <w:sz w:val="20"/>
        </w:rPr>
        <w:t xml:space="preserve">, Positional Cloning Identifies Lotus japonicus NSP2, A Putative Transcription Factor of the GRAS Family, Required for NIN and ENOD40 Gene Expression in Nodule Initiation. </w:t>
      </w:r>
      <w:r w:rsidRPr="0098496E">
        <w:rPr>
          <w:rFonts w:ascii="Arial" w:hAnsi="Arial" w:cs="Arial"/>
          <w:i/>
          <w:iCs/>
          <w:color w:val="000000"/>
          <w:sz w:val="20"/>
        </w:rPr>
        <w:t>DNA Res</w:t>
      </w:r>
      <w:r w:rsidRPr="0098496E">
        <w:rPr>
          <w:rFonts w:ascii="Arial" w:hAnsi="Arial" w:cs="Arial"/>
          <w:color w:val="000000"/>
          <w:sz w:val="20"/>
        </w:rPr>
        <w:t xml:space="preserve"> </w:t>
      </w:r>
      <w:r w:rsidRPr="0098496E">
        <w:rPr>
          <w:rFonts w:ascii="Arial" w:hAnsi="Arial" w:cs="Arial"/>
          <w:b/>
          <w:bCs/>
          <w:color w:val="000000"/>
          <w:sz w:val="20"/>
        </w:rPr>
        <w:t>13</w:t>
      </w:r>
      <w:r w:rsidRPr="0098496E">
        <w:rPr>
          <w:rFonts w:ascii="Arial" w:hAnsi="Arial" w:cs="Arial"/>
          <w:color w:val="000000"/>
          <w:sz w:val="20"/>
        </w:rPr>
        <w:t>, 255–265 (2006).</w:t>
      </w:r>
    </w:p>
    <w:p w14:paraId="073712F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68. </w:t>
      </w:r>
      <w:r w:rsidRPr="0098496E">
        <w:rPr>
          <w:rFonts w:ascii="Arial" w:hAnsi="Arial" w:cs="Arial"/>
          <w:color w:val="000000"/>
          <w:sz w:val="20"/>
        </w:rPr>
        <w:tab/>
        <w:t xml:space="preserve">V. Vives-Peris, C. de Ollas, A. Gómez-Cadenas, R. M. Pérez-Clemente, Root exudates: from plant to rhizosphere and beyond. </w:t>
      </w:r>
      <w:r w:rsidRPr="0098496E">
        <w:rPr>
          <w:rFonts w:ascii="Arial" w:hAnsi="Arial" w:cs="Arial"/>
          <w:i/>
          <w:iCs/>
          <w:color w:val="000000"/>
          <w:sz w:val="20"/>
        </w:rPr>
        <w:t>Plant Cell Rep</w:t>
      </w:r>
      <w:r w:rsidRPr="0098496E">
        <w:rPr>
          <w:rFonts w:ascii="Arial" w:hAnsi="Arial" w:cs="Arial"/>
          <w:color w:val="000000"/>
          <w:sz w:val="20"/>
        </w:rPr>
        <w:t xml:space="preserve"> </w:t>
      </w:r>
      <w:r w:rsidRPr="0098496E">
        <w:rPr>
          <w:rFonts w:ascii="Arial" w:hAnsi="Arial" w:cs="Arial"/>
          <w:b/>
          <w:bCs/>
          <w:color w:val="000000"/>
          <w:sz w:val="20"/>
        </w:rPr>
        <w:t>39</w:t>
      </w:r>
      <w:r w:rsidRPr="0098496E">
        <w:rPr>
          <w:rFonts w:ascii="Arial" w:hAnsi="Arial" w:cs="Arial"/>
          <w:color w:val="000000"/>
          <w:sz w:val="20"/>
        </w:rPr>
        <w:t>, 3–17 (2020).</w:t>
      </w:r>
    </w:p>
    <w:p w14:paraId="66DF7CC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69. </w:t>
      </w:r>
      <w:r w:rsidRPr="0098496E">
        <w:rPr>
          <w:rFonts w:ascii="Arial" w:hAnsi="Arial" w:cs="Arial"/>
          <w:color w:val="000000"/>
          <w:sz w:val="20"/>
        </w:rPr>
        <w:tab/>
        <w:t xml:space="preserve">A. Canarini, C. Kaiser, A. Merchant, A. Richter, W. Wanek, Root Exudation of Primary Metabolites: Mechanisms and Their Roles in Plant Responses to Environmental Stimuli. </w:t>
      </w:r>
      <w:r w:rsidRPr="0098496E">
        <w:rPr>
          <w:rFonts w:ascii="Arial" w:hAnsi="Arial" w:cs="Arial"/>
          <w:i/>
          <w:iCs/>
          <w:color w:val="000000"/>
          <w:sz w:val="20"/>
        </w:rPr>
        <w:t>Front. Plant Sci.</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xml:space="preserve"> (2019).</w:t>
      </w:r>
    </w:p>
    <w:p w14:paraId="26C2991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70. </w:t>
      </w:r>
      <w:r w:rsidRPr="0098496E">
        <w:rPr>
          <w:rFonts w:ascii="Arial" w:hAnsi="Arial" w:cs="Arial"/>
          <w:color w:val="000000"/>
          <w:sz w:val="20"/>
        </w:rPr>
        <w:tab/>
        <w:t xml:space="preserve">H. P. Bais, T. L. Weir, L. G. Perry, S. Gilroy, J. M. Vivanco, The role of root exudates in rhizosphere interactions with plants and other organisms. </w:t>
      </w:r>
      <w:r w:rsidRPr="0098496E">
        <w:rPr>
          <w:rFonts w:ascii="Arial" w:hAnsi="Arial" w:cs="Arial"/>
          <w:i/>
          <w:iCs/>
          <w:color w:val="000000"/>
          <w:sz w:val="20"/>
        </w:rPr>
        <w:t>Annu Rev Plant Biol</w:t>
      </w:r>
      <w:r w:rsidRPr="0098496E">
        <w:rPr>
          <w:rFonts w:ascii="Arial" w:hAnsi="Arial" w:cs="Arial"/>
          <w:color w:val="000000"/>
          <w:sz w:val="20"/>
        </w:rPr>
        <w:t xml:space="preserve"> </w:t>
      </w:r>
      <w:r w:rsidRPr="0098496E">
        <w:rPr>
          <w:rFonts w:ascii="Arial" w:hAnsi="Arial" w:cs="Arial"/>
          <w:b/>
          <w:bCs/>
          <w:color w:val="000000"/>
          <w:sz w:val="20"/>
        </w:rPr>
        <w:t>57</w:t>
      </w:r>
      <w:r w:rsidRPr="0098496E">
        <w:rPr>
          <w:rFonts w:ascii="Arial" w:hAnsi="Arial" w:cs="Arial"/>
          <w:color w:val="000000"/>
          <w:sz w:val="20"/>
        </w:rPr>
        <w:t>, 233–266 (2006).</w:t>
      </w:r>
    </w:p>
    <w:p w14:paraId="1278B79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71. </w:t>
      </w:r>
      <w:r w:rsidRPr="0098496E">
        <w:rPr>
          <w:rFonts w:ascii="Arial" w:hAnsi="Arial" w:cs="Arial"/>
          <w:color w:val="000000"/>
          <w:sz w:val="20"/>
        </w:rPr>
        <w:tab/>
        <w:t xml:space="preserve">G. Selten, </w:t>
      </w:r>
      <w:r w:rsidRPr="0098496E">
        <w:rPr>
          <w:rFonts w:ascii="Arial" w:hAnsi="Arial" w:cs="Arial"/>
          <w:i/>
          <w:iCs/>
          <w:color w:val="000000"/>
          <w:sz w:val="20"/>
        </w:rPr>
        <w:t>et al.</w:t>
      </w:r>
      <w:r w:rsidRPr="0098496E">
        <w:rPr>
          <w:rFonts w:ascii="Arial" w:hAnsi="Arial" w:cs="Arial"/>
          <w:color w:val="000000"/>
          <w:sz w:val="20"/>
        </w:rPr>
        <w:t>, Functional capacities drive recruitment of bacteria into plant root microbiota. [Preprint] (2024). Available at: https://www.biorxiv.org/content/10.1101/2024.08.22.609090v1 [Accessed 17 February 2026].</w:t>
      </w:r>
    </w:p>
    <w:p w14:paraId="3C26FAD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72. </w:t>
      </w:r>
      <w:r w:rsidRPr="0098496E">
        <w:rPr>
          <w:rFonts w:ascii="Arial" w:hAnsi="Arial" w:cs="Arial"/>
          <w:color w:val="000000"/>
          <w:sz w:val="20"/>
        </w:rPr>
        <w:tab/>
        <w:t xml:space="preserve">N. A. Ginnan, </w:t>
      </w:r>
      <w:r w:rsidRPr="0098496E">
        <w:rPr>
          <w:rFonts w:ascii="Arial" w:hAnsi="Arial" w:cs="Arial"/>
          <w:i/>
          <w:iCs/>
          <w:color w:val="000000"/>
          <w:sz w:val="20"/>
        </w:rPr>
        <w:t>et al.</w:t>
      </w:r>
      <w:r w:rsidRPr="0098496E">
        <w:rPr>
          <w:rFonts w:ascii="Arial" w:hAnsi="Arial" w:cs="Arial"/>
          <w:color w:val="000000"/>
          <w:sz w:val="20"/>
        </w:rPr>
        <w:t xml:space="preserve">, Precipitation legacy effects on soil microbiota facilitate adaptive drought responses in plants. </w:t>
      </w:r>
      <w:r w:rsidRPr="0098496E">
        <w:rPr>
          <w:rFonts w:ascii="Arial" w:hAnsi="Arial" w:cs="Arial"/>
          <w:i/>
          <w:iCs/>
          <w:color w:val="000000"/>
          <w:sz w:val="20"/>
        </w:rPr>
        <w:t>Nat Microbiol</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2823–2844 (2025).</w:t>
      </w:r>
    </w:p>
    <w:p w14:paraId="3E71B05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73. </w:t>
      </w:r>
      <w:r w:rsidRPr="0098496E">
        <w:rPr>
          <w:rFonts w:ascii="Arial" w:hAnsi="Arial" w:cs="Arial"/>
          <w:color w:val="000000"/>
          <w:sz w:val="20"/>
        </w:rPr>
        <w:tab/>
        <w:t xml:space="preserve">L. Philippot, C. Chenu, A. Kappler, M. C. Rillig, N. Fierer, The interplay between microbial communities and soil properties. </w:t>
      </w:r>
      <w:r w:rsidRPr="0098496E">
        <w:rPr>
          <w:rFonts w:ascii="Arial" w:hAnsi="Arial" w:cs="Arial"/>
          <w:i/>
          <w:iCs/>
          <w:color w:val="000000"/>
          <w:sz w:val="20"/>
        </w:rPr>
        <w:t>Nat Rev Microbiol</w:t>
      </w:r>
      <w:r w:rsidRPr="0098496E">
        <w:rPr>
          <w:rFonts w:ascii="Arial" w:hAnsi="Arial" w:cs="Arial"/>
          <w:color w:val="000000"/>
          <w:sz w:val="20"/>
        </w:rPr>
        <w:t xml:space="preserve"> </w:t>
      </w:r>
      <w:r w:rsidRPr="0098496E">
        <w:rPr>
          <w:rFonts w:ascii="Arial" w:hAnsi="Arial" w:cs="Arial"/>
          <w:b/>
          <w:bCs/>
          <w:color w:val="000000"/>
          <w:sz w:val="20"/>
        </w:rPr>
        <w:t>22</w:t>
      </w:r>
      <w:r w:rsidRPr="0098496E">
        <w:rPr>
          <w:rFonts w:ascii="Arial" w:hAnsi="Arial" w:cs="Arial"/>
          <w:color w:val="000000"/>
          <w:sz w:val="20"/>
        </w:rPr>
        <w:t>, 226–239 (2024).</w:t>
      </w:r>
    </w:p>
    <w:p w14:paraId="2A8605B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74. </w:t>
      </w:r>
      <w:r w:rsidRPr="0098496E">
        <w:rPr>
          <w:rFonts w:ascii="Arial" w:hAnsi="Arial" w:cs="Arial"/>
          <w:color w:val="000000"/>
          <w:sz w:val="20"/>
        </w:rPr>
        <w:tab/>
        <w:t xml:space="preserve">W. Kong, </w:t>
      </w:r>
      <w:r w:rsidRPr="0098496E">
        <w:rPr>
          <w:rFonts w:ascii="Arial" w:hAnsi="Arial" w:cs="Arial"/>
          <w:i/>
          <w:iCs/>
          <w:color w:val="000000"/>
          <w:sz w:val="20"/>
        </w:rPr>
        <w:t>et al.</w:t>
      </w:r>
      <w:r w:rsidRPr="0098496E">
        <w:rPr>
          <w:rFonts w:ascii="Arial" w:hAnsi="Arial" w:cs="Arial"/>
          <w:color w:val="000000"/>
          <w:sz w:val="20"/>
        </w:rPr>
        <w:t xml:space="preserve">, Contrasting response of soil microbiomes to long-term fertilization in various highland cropping systems. </w:t>
      </w:r>
      <w:r w:rsidRPr="0098496E">
        <w:rPr>
          <w:rFonts w:ascii="Arial" w:hAnsi="Arial" w:cs="Arial"/>
          <w:i/>
          <w:iCs/>
          <w:color w:val="000000"/>
          <w:sz w:val="20"/>
        </w:rPr>
        <w:t>ISME COMMUN.</w:t>
      </w:r>
      <w:r w:rsidRPr="0098496E">
        <w:rPr>
          <w:rFonts w:ascii="Arial" w:hAnsi="Arial" w:cs="Arial"/>
          <w:color w:val="000000"/>
          <w:sz w:val="20"/>
        </w:rPr>
        <w:t xml:space="preserve"> </w:t>
      </w:r>
      <w:r w:rsidRPr="0098496E">
        <w:rPr>
          <w:rFonts w:ascii="Arial" w:hAnsi="Arial" w:cs="Arial"/>
          <w:b/>
          <w:bCs/>
          <w:color w:val="000000"/>
          <w:sz w:val="20"/>
        </w:rPr>
        <w:t>3</w:t>
      </w:r>
      <w:r w:rsidRPr="0098496E">
        <w:rPr>
          <w:rFonts w:ascii="Arial" w:hAnsi="Arial" w:cs="Arial"/>
          <w:color w:val="000000"/>
          <w:sz w:val="20"/>
        </w:rPr>
        <w:t>, 81 (2023).</w:t>
      </w:r>
    </w:p>
    <w:p w14:paraId="7295313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75. </w:t>
      </w:r>
      <w:r w:rsidRPr="0098496E">
        <w:rPr>
          <w:rFonts w:ascii="Arial" w:hAnsi="Arial" w:cs="Arial"/>
          <w:color w:val="000000"/>
          <w:sz w:val="20"/>
        </w:rPr>
        <w:tab/>
        <w:t xml:space="preserve">S. Hallin, C. M. Jones, M. Schloter, L. Philippot, Relationship between N-cycling communities and ecosystem functioning in a 50-year-old fertilization experiment. </w:t>
      </w:r>
      <w:r w:rsidRPr="0098496E">
        <w:rPr>
          <w:rFonts w:ascii="Arial" w:hAnsi="Arial" w:cs="Arial"/>
          <w:i/>
          <w:iCs/>
          <w:color w:val="000000"/>
          <w:sz w:val="20"/>
        </w:rPr>
        <w:t>ISME J</w:t>
      </w:r>
      <w:r w:rsidRPr="0098496E">
        <w:rPr>
          <w:rFonts w:ascii="Arial" w:hAnsi="Arial" w:cs="Arial"/>
          <w:color w:val="000000"/>
          <w:sz w:val="20"/>
        </w:rPr>
        <w:t xml:space="preserve"> </w:t>
      </w:r>
      <w:r w:rsidRPr="0098496E">
        <w:rPr>
          <w:rFonts w:ascii="Arial" w:hAnsi="Arial" w:cs="Arial"/>
          <w:b/>
          <w:bCs/>
          <w:color w:val="000000"/>
          <w:sz w:val="20"/>
        </w:rPr>
        <w:t>3</w:t>
      </w:r>
      <w:r w:rsidRPr="0098496E">
        <w:rPr>
          <w:rFonts w:ascii="Arial" w:hAnsi="Arial" w:cs="Arial"/>
          <w:color w:val="000000"/>
          <w:sz w:val="20"/>
        </w:rPr>
        <w:t>, 597–605 (2009).</w:t>
      </w:r>
    </w:p>
    <w:p w14:paraId="608DE39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76. </w:t>
      </w:r>
      <w:r w:rsidRPr="0098496E">
        <w:rPr>
          <w:rFonts w:ascii="Arial" w:hAnsi="Arial" w:cs="Arial"/>
          <w:color w:val="000000"/>
          <w:sz w:val="20"/>
        </w:rPr>
        <w:tab/>
        <w:t xml:space="preserve">M. Wang, </w:t>
      </w:r>
      <w:r w:rsidRPr="0098496E">
        <w:rPr>
          <w:rFonts w:ascii="Arial" w:hAnsi="Arial" w:cs="Arial"/>
          <w:i/>
          <w:iCs/>
          <w:color w:val="000000"/>
          <w:sz w:val="20"/>
        </w:rPr>
        <w:t>et al.</w:t>
      </w:r>
      <w:r w:rsidRPr="0098496E">
        <w:rPr>
          <w:rFonts w:ascii="Arial" w:hAnsi="Arial" w:cs="Arial"/>
          <w:color w:val="000000"/>
          <w:sz w:val="20"/>
        </w:rPr>
        <w:t xml:space="preserve">, Dynamic root microbiome sustains soybean productivity under unbalanced fertilization.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15</w:t>
      </w:r>
      <w:r w:rsidRPr="0098496E">
        <w:rPr>
          <w:rFonts w:ascii="Arial" w:hAnsi="Arial" w:cs="Arial"/>
          <w:color w:val="000000"/>
          <w:sz w:val="20"/>
        </w:rPr>
        <w:t>, 1668 (2024).</w:t>
      </w:r>
    </w:p>
    <w:p w14:paraId="3E62201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77. </w:t>
      </w:r>
      <w:r w:rsidRPr="0098496E">
        <w:rPr>
          <w:rFonts w:ascii="Arial" w:hAnsi="Arial" w:cs="Arial"/>
          <w:color w:val="000000"/>
          <w:sz w:val="20"/>
        </w:rPr>
        <w:tab/>
        <w:t xml:space="preserve">S. E. Hannula, </w:t>
      </w:r>
      <w:r w:rsidRPr="0098496E">
        <w:rPr>
          <w:rFonts w:ascii="Arial" w:hAnsi="Arial" w:cs="Arial"/>
          <w:i/>
          <w:iCs/>
          <w:color w:val="000000"/>
          <w:sz w:val="20"/>
        </w:rPr>
        <w:t>et al.</w:t>
      </w:r>
      <w:r w:rsidRPr="0098496E">
        <w:rPr>
          <w:rFonts w:ascii="Arial" w:hAnsi="Arial" w:cs="Arial"/>
          <w:color w:val="000000"/>
          <w:sz w:val="20"/>
        </w:rPr>
        <w:t xml:space="preserve">, Persistence of plant-mediated microbial soil legacy effects in soil and inside roots.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12</w:t>
      </w:r>
      <w:r w:rsidRPr="0098496E">
        <w:rPr>
          <w:rFonts w:ascii="Arial" w:hAnsi="Arial" w:cs="Arial"/>
          <w:color w:val="000000"/>
          <w:sz w:val="20"/>
        </w:rPr>
        <w:t>, 5686 (2021).</w:t>
      </w:r>
    </w:p>
    <w:p w14:paraId="5576816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78. </w:t>
      </w:r>
      <w:r w:rsidRPr="0098496E">
        <w:rPr>
          <w:rFonts w:ascii="Arial" w:hAnsi="Arial" w:cs="Arial"/>
          <w:color w:val="000000"/>
          <w:sz w:val="20"/>
        </w:rPr>
        <w:tab/>
        <w:t xml:space="preserve">Z. Yang, T. Zhao, H. Cheng, J. Yang, Microbiome-enabled genomic selection improves prediction accuracy for nitrogen-related traits in maize. </w:t>
      </w:r>
      <w:r w:rsidRPr="0098496E">
        <w:rPr>
          <w:rFonts w:ascii="Arial" w:hAnsi="Arial" w:cs="Arial"/>
          <w:i/>
          <w:iCs/>
          <w:color w:val="000000"/>
          <w:sz w:val="20"/>
        </w:rPr>
        <w:t>G3 (Bethesda)</w:t>
      </w:r>
      <w:r w:rsidRPr="0098496E">
        <w:rPr>
          <w:rFonts w:ascii="Arial" w:hAnsi="Arial" w:cs="Arial"/>
          <w:color w:val="000000"/>
          <w:sz w:val="20"/>
        </w:rPr>
        <w:t xml:space="preserve"> </w:t>
      </w:r>
      <w:r w:rsidRPr="0098496E">
        <w:rPr>
          <w:rFonts w:ascii="Arial" w:hAnsi="Arial" w:cs="Arial"/>
          <w:b/>
          <w:bCs/>
          <w:color w:val="000000"/>
          <w:sz w:val="20"/>
        </w:rPr>
        <w:t>14</w:t>
      </w:r>
      <w:r w:rsidRPr="0098496E">
        <w:rPr>
          <w:rFonts w:ascii="Arial" w:hAnsi="Arial" w:cs="Arial"/>
          <w:color w:val="000000"/>
          <w:sz w:val="20"/>
        </w:rPr>
        <w:t>, jkad286 (2024).</w:t>
      </w:r>
    </w:p>
    <w:p w14:paraId="3E4E2A5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79. </w:t>
      </w:r>
      <w:r w:rsidRPr="0098496E">
        <w:rPr>
          <w:rFonts w:ascii="Arial" w:hAnsi="Arial" w:cs="Arial"/>
          <w:color w:val="000000"/>
          <w:sz w:val="20"/>
        </w:rPr>
        <w:tab/>
        <w:t xml:space="preserve">W.-X. Shi, </w:t>
      </w:r>
      <w:r w:rsidRPr="0098496E">
        <w:rPr>
          <w:rFonts w:ascii="Arial" w:hAnsi="Arial" w:cs="Arial"/>
          <w:i/>
          <w:iCs/>
          <w:color w:val="000000"/>
          <w:sz w:val="20"/>
        </w:rPr>
        <w:t>et al.</w:t>
      </w:r>
      <w:r w:rsidRPr="0098496E">
        <w:rPr>
          <w:rFonts w:ascii="Arial" w:hAnsi="Arial" w:cs="Arial"/>
          <w:color w:val="000000"/>
          <w:sz w:val="20"/>
        </w:rPr>
        <w:t xml:space="preserve">, Diversity and interactions of rhizobacteria determine multinutrient traits in tomato host plants under nitrogen and water disturbances. </w:t>
      </w:r>
      <w:r w:rsidRPr="0098496E">
        <w:rPr>
          <w:rFonts w:ascii="Arial" w:hAnsi="Arial" w:cs="Arial"/>
          <w:i/>
          <w:iCs/>
          <w:color w:val="000000"/>
          <w:sz w:val="20"/>
        </w:rPr>
        <w:t>Hortic Res</w:t>
      </w:r>
      <w:r w:rsidRPr="0098496E">
        <w:rPr>
          <w:rFonts w:ascii="Arial" w:hAnsi="Arial" w:cs="Arial"/>
          <w:color w:val="000000"/>
          <w:sz w:val="20"/>
        </w:rPr>
        <w:t xml:space="preserve"> </w:t>
      </w:r>
      <w:r w:rsidRPr="0098496E">
        <w:rPr>
          <w:rFonts w:ascii="Arial" w:hAnsi="Arial" w:cs="Arial"/>
          <w:b/>
          <w:bCs/>
          <w:color w:val="000000"/>
          <w:sz w:val="20"/>
        </w:rPr>
        <w:t>12</w:t>
      </w:r>
      <w:r w:rsidRPr="0098496E">
        <w:rPr>
          <w:rFonts w:ascii="Arial" w:hAnsi="Arial" w:cs="Arial"/>
          <w:color w:val="000000"/>
          <w:sz w:val="20"/>
        </w:rPr>
        <w:t>, uhae290 (2025).</w:t>
      </w:r>
    </w:p>
    <w:p w14:paraId="57BB767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80. </w:t>
      </w:r>
      <w:r w:rsidRPr="0098496E">
        <w:rPr>
          <w:rFonts w:ascii="Arial" w:hAnsi="Arial" w:cs="Arial"/>
          <w:color w:val="000000"/>
          <w:sz w:val="20"/>
        </w:rPr>
        <w:tab/>
        <w:t xml:space="preserve">J. Zhang, </w:t>
      </w:r>
      <w:r w:rsidRPr="0098496E">
        <w:rPr>
          <w:rFonts w:ascii="Arial" w:hAnsi="Arial" w:cs="Arial"/>
          <w:i/>
          <w:iCs/>
          <w:color w:val="000000"/>
          <w:sz w:val="20"/>
        </w:rPr>
        <w:t>et al.</w:t>
      </w:r>
      <w:r w:rsidRPr="0098496E">
        <w:rPr>
          <w:rFonts w:ascii="Arial" w:hAnsi="Arial" w:cs="Arial"/>
          <w:color w:val="000000"/>
          <w:sz w:val="20"/>
        </w:rPr>
        <w:t xml:space="preserve">, Analysis and Functional Prediction of Core Bacteria in the Arabidopsis Rhizosphere Microbiome under Drought Stress. </w:t>
      </w:r>
      <w:r w:rsidRPr="0098496E">
        <w:rPr>
          <w:rFonts w:ascii="Arial" w:hAnsi="Arial" w:cs="Arial"/>
          <w:i/>
          <w:iCs/>
          <w:color w:val="000000"/>
          <w:sz w:val="20"/>
        </w:rPr>
        <w:t>Microorganisms</w:t>
      </w:r>
      <w:r w:rsidRPr="0098496E">
        <w:rPr>
          <w:rFonts w:ascii="Arial" w:hAnsi="Arial" w:cs="Arial"/>
          <w:color w:val="000000"/>
          <w:sz w:val="20"/>
        </w:rPr>
        <w:t xml:space="preserve"> </w:t>
      </w:r>
      <w:r w:rsidRPr="0098496E">
        <w:rPr>
          <w:rFonts w:ascii="Arial" w:hAnsi="Arial" w:cs="Arial"/>
          <w:b/>
          <w:bCs/>
          <w:color w:val="000000"/>
          <w:sz w:val="20"/>
        </w:rPr>
        <w:t>12</w:t>
      </w:r>
      <w:r w:rsidRPr="0098496E">
        <w:rPr>
          <w:rFonts w:ascii="Arial" w:hAnsi="Arial" w:cs="Arial"/>
          <w:color w:val="000000"/>
          <w:sz w:val="20"/>
        </w:rPr>
        <w:t>, 790 (2024).</w:t>
      </w:r>
    </w:p>
    <w:p w14:paraId="4DBBAC4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81. </w:t>
      </w:r>
      <w:r w:rsidRPr="0098496E">
        <w:rPr>
          <w:rFonts w:ascii="Arial" w:hAnsi="Arial" w:cs="Arial"/>
          <w:color w:val="000000"/>
          <w:sz w:val="20"/>
        </w:rPr>
        <w:tab/>
        <w:t xml:space="preserve">J.-P. Gao, </w:t>
      </w:r>
      <w:r w:rsidRPr="0098496E">
        <w:rPr>
          <w:rFonts w:ascii="Arial" w:hAnsi="Arial" w:cs="Arial"/>
          <w:i/>
          <w:iCs/>
          <w:color w:val="000000"/>
          <w:sz w:val="20"/>
        </w:rPr>
        <w:t>et al.</w:t>
      </w:r>
      <w:r w:rsidRPr="0098496E">
        <w:rPr>
          <w:rFonts w:ascii="Arial" w:hAnsi="Arial" w:cs="Arial"/>
          <w:color w:val="000000"/>
          <w:sz w:val="20"/>
        </w:rPr>
        <w:t xml:space="preserve">, An NSP2-MYB module orchestrates flavonoid biosynthesis and nodule symbiosis. </w:t>
      </w:r>
      <w:r w:rsidRPr="0098496E">
        <w:rPr>
          <w:rFonts w:ascii="Arial" w:hAnsi="Arial" w:cs="Arial"/>
          <w:i/>
          <w:iCs/>
          <w:color w:val="000000"/>
          <w:sz w:val="20"/>
        </w:rPr>
        <w:t>Current Biology</w:t>
      </w:r>
      <w:r w:rsidRPr="0098496E">
        <w:rPr>
          <w:rFonts w:ascii="Arial" w:hAnsi="Arial" w:cs="Arial"/>
          <w:color w:val="000000"/>
          <w:sz w:val="20"/>
        </w:rPr>
        <w:t xml:space="preserve"> </w:t>
      </w:r>
      <w:r w:rsidRPr="0098496E">
        <w:rPr>
          <w:rFonts w:ascii="Arial" w:hAnsi="Arial" w:cs="Arial"/>
          <w:b/>
          <w:bCs/>
          <w:color w:val="000000"/>
          <w:sz w:val="20"/>
        </w:rPr>
        <w:t>0</w:t>
      </w:r>
      <w:r w:rsidRPr="0098496E">
        <w:rPr>
          <w:rFonts w:ascii="Arial" w:hAnsi="Arial" w:cs="Arial"/>
          <w:color w:val="000000"/>
          <w:sz w:val="20"/>
        </w:rPr>
        <w:t xml:space="preserve"> (2026).</w:t>
      </w:r>
    </w:p>
    <w:p w14:paraId="33CD413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82. </w:t>
      </w:r>
      <w:r w:rsidRPr="0098496E">
        <w:rPr>
          <w:rFonts w:ascii="Arial" w:hAnsi="Arial" w:cs="Arial"/>
          <w:color w:val="000000"/>
          <w:sz w:val="20"/>
        </w:rPr>
        <w:tab/>
        <w:t xml:space="preserve">E. Foo, J. J. Ross, W. T. Jones, J. B. Reid, Plant hormones in arbuscular mycorrhizal symbioses: an emerging role for gibberellins. </w:t>
      </w:r>
      <w:r w:rsidRPr="0098496E">
        <w:rPr>
          <w:rFonts w:ascii="Arial" w:hAnsi="Arial" w:cs="Arial"/>
          <w:i/>
          <w:iCs/>
          <w:color w:val="000000"/>
          <w:sz w:val="20"/>
        </w:rPr>
        <w:t>Ann Bot</w:t>
      </w:r>
      <w:r w:rsidRPr="0098496E">
        <w:rPr>
          <w:rFonts w:ascii="Arial" w:hAnsi="Arial" w:cs="Arial"/>
          <w:color w:val="000000"/>
          <w:sz w:val="20"/>
        </w:rPr>
        <w:t xml:space="preserve"> </w:t>
      </w:r>
      <w:r w:rsidRPr="0098496E">
        <w:rPr>
          <w:rFonts w:ascii="Arial" w:hAnsi="Arial" w:cs="Arial"/>
          <w:b/>
          <w:bCs/>
          <w:color w:val="000000"/>
          <w:sz w:val="20"/>
        </w:rPr>
        <w:t>111</w:t>
      </w:r>
      <w:r w:rsidRPr="0098496E">
        <w:rPr>
          <w:rFonts w:ascii="Arial" w:hAnsi="Arial" w:cs="Arial"/>
          <w:color w:val="000000"/>
          <w:sz w:val="20"/>
        </w:rPr>
        <w:t>, 769–779 (2013).</w:t>
      </w:r>
    </w:p>
    <w:p w14:paraId="644AB20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83. </w:t>
      </w:r>
      <w:r w:rsidRPr="0098496E">
        <w:rPr>
          <w:rFonts w:ascii="Arial" w:hAnsi="Arial" w:cs="Arial"/>
          <w:color w:val="000000"/>
          <w:sz w:val="20"/>
        </w:rPr>
        <w:tab/>
        <w:t xml:space="preserve">N. Takeda, </w:t>
      </w:r>
      <w:r w:rsidRPr="0098496E">
        <w:rPr>
          <w:rFonts w:ascii="Arial" w:hAnsi="Arial" w:cs="Arial"/>
          <w:i/>
          <w:iCs/>
          <w:color w:val="000000"/>
          <w:sz w:val="20"/>
        </w:rPr>
        <w:t>et al.</w:t>
      </w:r>
      <w:r w:rsidRPr="0098496E">
        <w:rPr>
          <w:rFonts w:ascii="Arial" w:hAnsi="Arial" w:cs="Arial"/>
          <w:color w:val="000000"/>
          <w:sz w:val="20"/>
        </w:rPr>
        <w:t xml:space="preserve">, Gibberellins interfere with symbiosis signaling and gene expression and alter colonization by arbuscular mycorrhizal fungi in Lotus japonicus.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167</w:t>
      </w:r>
      <w:r w:rsidRPr="0098496E">
        <w:rPr>
          <w:rFonts w:ascii="Arial" w:hAnsi="Arial" w:cs="Arial"/>
          <w:color w:val="000000"/>
          <w:sz w:val="20"/>
        </w:rPr>
        <w:t>, 545–557 (2015).</w:t>
      </w:r>
    </w:p>
    <w:p w14:paraId="209C2CA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84. </w:t>
      </w:r>
      <w:r w:rsidRPr="0098496E">
        <w:rPr>
          <w:rFonts w:ascii="Arial" w:hAnsi="Arial" w:cs="Arial"/>
          <w:color w:val="000000"/>
          <w:sz w:val="20"/>
        </w:rPr>
        <w:tab/>
        <w:t xml:space="preserve">E. Nouri, </w:t>
      </w:r>
      <w:r w:rsidRPr="0098496E">
        <w:rPr>
          <w:rFonts w:ascii="Arial" w:hAnsi="Arial" w:cs="Arial"/>
          <w:i/>
          <w:iCs/>
          <w:color w:val="000000"/>
          <w:sz w:val="20"/>
        </w:rPr>
        <w:t>et al.</w:t>
      </w:r>
      <w:r w:rsidRPr="0098496E">
        <w:rPr>
          <w:rFonts w:ascii="Arial" w:hAnsi="Arial" w:cs="Arial"/>
          <w:color w:val="000000"/>
          <w:sz w:val="20"/>
        </w:rPr>
        <w:t xml:space="preserve">, Phosphate Suppression of Arbuscular Mycorrhizal Symbiosis Involves Gibberellic Acid Signaling. </w:t>
      </w:r>
      <w:r w:rsidRPr="0098496E">
        <w:rPr>
          <w:rFonts w:ascii="Arial" w:hAnsi="Arial" w:cs="Arial"/>
          <w:i/>
          <w:iCs/>
          <w:color w:val="000000"/>
          <w:sz w:val="20"/>
        </w:rPr>
        <w:t>Plant Cell Physiol</w:t>
      </w:r>
      <w:r w:rsidRPr="0098496E">
        <w:rPr>
          <w:rFonts w:ascii="Arial" w:hAnsi="Arial" w:cs="Arial"/>
          <w:color w:val="000000"/>
          <w:sz w:val="20"/>
        </w:rPr>
        <w:t xml:space="preserve"> </w:t>
      </w:r>
      <w:r w:rsidRPr="0098496E">
        <w:rPr>
          <w:rFonts w:ascii="Arial" w:hAnsi="Arial" w:cs="Arial"/>
          <w:b/>
          <w:bCs/>
          <w:color w:val="000000"/>
          <w:sz w:val="20"/>
        </w:rPr>
        <w:t>62</w:t>
      </w:r>
      <w:r w:rsidRPr="0098496E">
        <w:rPr>
          <w:rFonts w:ascii="Arial" w:hAnsi="Arial" w:cs="Arial"/>
          <w:color w:val="000000"/>
          <w:sz w:val="20"/>
        </w:rPr>
        <w:t>, 959–970 (2021).</w:t>
      </w:r>
    </w:p>
    <w:p w14:paraId="2269DD6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85. </w:t>
      </w:r>
      <w:r w:rsidRPr="0098496E">
        <w:rPr>
          <w:rFonts w:ascii="Arial" w:hAnsi="Arial" w:cs="Arial"/>
          <w:color w:val="000000"/>
          <w:sz w:val="20"/>
        </w:rPr>
        <w:tab/>
        <w:t xml:space="preserve">E. Korenblum, H. Massalha, A. Aharoni, Plant-microbe interactions in the rhizosphere via a circular metabolic economy.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34</w:t>
      </w:r>
      <w:r w:rsidRPr="0098496E">
        <w:rPr>
          <w:rFonts w:ascii="Arial" w:hAnsi="Arial" w:cs="Arial"/>
          <w:color w:val="000000"/>
          <w:sz w:val="20"/>
        </w:rPr>
        <w:t>, 3168–3182 (2022).</w:t>
      </w:r>
    </w:p>
    <w:p w14:paraId="525FB75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86. </w:t>
      </w:r>
      <w:r w:rsidRPr="0098496E">
        <w:rPr>
          <w:rFonts w:ascii="Arial" w:hAnsi="Arial" w:cs="Arial"/>
          <w:color w:val="000000"/>
          <w:sz w:val="20"/>
        </w:rPr>
        <w:tab/>
        <w:t xml:space="preserve">H. Zhang, J. Zhu, Z. Gong, J.-K. Zhu, Abiotic stress responses in plants. </w:t>
      </w:r>
      <w:r w:rsidRPr="0098496E">
        <w:rPr>
          <w:rFonts w:ascii="Arial" w:hAnsi="Arial" w:cs="Arial"/>
          <w:i/>
          <w:iCs/>
          <w:color w:val="000000"/>
          <w:sz w:val="20"/>
        </w:rPr>
        <w:t>Nat Rev Genet</w:t>
      </w:r>
      <w:r w:rsidRPr="0098496E">
        <w:rPr>
          <w:rFonts w:ascii="Arial" w:hAnsi="Arial" w:cs="Arial"/>
          <w:color w:val="000000"/>
          <w:sz w:val="20"/>
        </w:rPr>
        <w:t xml:space="preserve"> </w:t>
      </w:r>
      <w:r w:rsidRPr="0098496E">
        <w:rPr>
          <w:rFonts w:ascii="Arial" w:hAnsi="Arial" w:cs="Arial"/>
          <w:b/>
          <w:bCs/>
          <w:color w:val="000000"/>
          <w:sz w:val="20"/>
        </w:rPr>
        <w:t>23</w:t>
      </w:r>
      <w:r w:rsidRPr="0098496E">
        <w:rPr>
          <w:rFonts w:ascii="Arial" w:hAnsi="Arial" w:cs="Arial"/>
          <w:color w:val="000000"/>
          <w:sz w:val="20"/>
        </w:rPr>
        <w:t>, 104–119 (2022).</w:t>
      </w:r>
    </w:p>
    <w:p w14:paraId="3D099FA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87. </w:t>
      </w:r>
      <w:r w:rsidRPr="0098496E">
        <w:rPr>
          <w:rFonts w:ascii="Arial" w:hAnsi="Arial" w:cs="Arial"/>
          <w:color w:val="000000"/>
          <w:sz w:val="20"/>
        </w:rPr>
        <w:tab/>
        <w:t xml:space="preserve">M. Charpentier, J. Sun, J. Wen, K. S. Mysore, G. E. D. Oldroyd, Abscisic Acid Promotion of Arbuscular Mycorrhizal Colonization Requires a Component of the PROTEIN PHOSPHATASE 2A Complex1[W][OPEN].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166</w:t>
      </w:r>
      <w:r w:rsidRPr="0098496E">
        <w:rPr>
          <w:rFonts w:ascii="Arial" w:hAnsi="Arial" w:cs="Arial"/>
          <w:color w:val="000000"/>
          <w:sz w:val="20"/>
        </w:rPr>
        <w:t>, 2077–2090 (2014).</w:t>
      </w:r>
    </w:p>
    <w:p w14:paraId="353DDC9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88. </w:t>
      </w:r>
      <w:r w:rsidRPr="0098496E">
        <w:rPr>
          <w:rFonts w:ascii="Arial" w:hAnsi="Arial" w:cs="Arial"/>
          <w:color w:val="000000"/>
          <w:sz w:val="20"/>
        </w:rPr>
        <w:tab/>
        <w:t xml:space="preserve">R. J. H. Sawers, M. R. Ramírez-Flores, V. Olalde-Portugal, U. Paszkowski, The impact of domestication and crop improvement on arbuscular mycorrhizal symbiosis in cereals: insights from genetics and genomics. </w:t>
      </w:r>
      <w:r w:rsidRPr="0098496E">
        <w:rPr>
          <w:rFonts w:ascii="Arial" w:hAnsi="Arial" w:cs="Arial"/>
          <w:i/>
          <w:iCs/>
          <w:color w:val="000000"/>
          <w:sz w:val="20"/>
        </w:rPr>
        <w:t>New Phytol</w:t>
      </w:r>
      <w:r w:rsidRPr="0098496E">
        <w:rPr>
          <w:rFonts w:ascii="Arial" w:hAnsi="Arial" w:cs="Arial"/>
          <w:color w:val="000000"/>
          <w:sz w:val="20"/>
        </w:rPr>
        <w:t xml:space="preserve"> </w:t>
      </w:r>
      <w:r w:rsidRPr="0098496E">
        <w:rPr>
          <w:rFonts w:ascii="Arial" w:hAnsi="Arial" w:cs="Arial"/>
          <w:b/>
          <w:bCs/>
          <w:color w:val="000000"/>
          <w:sz w:val="20"/>
        </w:rPr>
        <w:t>220</w:t>
      </w:r>
      <w:r w:rsidRPr="0098496E">
        <w:rPr>
          <w:rFonts w:ascii="Arial" w:hAnsi="Arial" w:cs="Arial"/>
          <w:color w:val="000000"/>
          <w:sz w:val="20"/>
        </w:rPr>
        <w:t>, 1135–1140 (2018).</w:t>
      </w:r>
    </w:p>
    <w:p w14:paraId="2143BB4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89. </w:t>
      </w:r>
      <w:r w:rsidRPr="0098496E">
        <w:rPr>
          <w:rFonts w:ascii="Arial" w:hAnsi="Arial" w:cs="Arial"/>
          <w:color w:val="000000"/>
          <w:sz w:val="20"/>
        </w:rPr>
        <w:tab/>
        <w:t xml:space="preserve">B. W. Poovaiah, L. Du, H. Wang, T. Yang, Recent Advances in Calcium/Calmodulin-Mediated Signaling with an Emphasis on Plant-Microbe Interactions1.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163</w:t>
      </w:r>
      <w:r w:rsidRPr="0098496E">
        <w:rPr>
          <w:rFonts w:ascii="Arial" w:hAnsi="Arial" w:cs="Arial"/>
          <w:color w:val="000000"/>
          <w:sz w:val="20"/>
        </w:rPr>
        <w:t>, 531–542 (2013).</w:t>
      </w:r>
    </w:p>
    <w:p w14:paraId="3E73B43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90. </w:t>
      </w:r>
      <w:r w:rsidRPr="0098496E">
        <w:rPr>
          <w:rFonts w:ascii="Arial" w:hAnsi="Arial" w:cs="Arial"/>
          <w:color w:val="000000"/>
          <w:sz w:val="20"/>
        </w:rPr>
        <w:tab/>
        <w:t xml:space="preserve">A. Małolepszy, </w:t>
      </w:r>
      <w:r w:rsidRPr="0098496E">
        <w:rPr>
          <w:rFonts w:ascii="Arial" w:hAnsi="Arial" w:cs="Arial"/>
          <w:i/>
          <w:iCs/>
          <w:color w:val="000000"/>
          <w:sz w:val="20"/>
        </w:rPr>
        <w:t>et al.</w:t>
      </w:r>
      <w:r w:rsidRPr="0098496E">
        <w:rPr>
          <w:rFonts w:ascii="Arial" w:hAnsi="Arial" w:cs="Arial"/>
          <w:color w:val="000000"/>
          <w:sz w:val="20"/>
        </w:rPr>
        <w:t xml:space="preserve">, The LORE1 insertion mutant resource. </w:t>
      </w:r>
      <w:r w:rsidRPr="0098496E">
        <w:rPr>
          <w:rFonts w:ascii="Arial" w:hAnsi="Arial" w:cs="Arial"/>
          <w:i/>
          <w:iCs/>
          <w:color w:val="000000"/>
          <w:sz w:val="20"/>
        </w:rPr>
        <w:t>Plant J</w:t>
      </w:r>
      <w:r w:rsidRPr="0098496E">
        <w:rPr>
          <w:rFonts w:ascii="Arial" w:hAnsi="Arial" w:cs="Arial"/>
          <w:color w:val="000000"/>
          <w:sz w:val="20"/>
        </w:rPr>
        <w:t xml:space="preserve"> </w:t>
      </w:r>
      <w:r w:rsidRPr="0098496E">
        <w:rPr>
          <w:rFonts w:ascii="Arial" w:hAnsi="Arial" w:cs="Arial"/>
          <w:b/>
          <w:bCs/>
          <w:color w:val="000000"/>
          <w:sz w:val="20"/>
        </w:rPr>
        <w:t>88</w:t>
      </w:r>
      <w:r w:rsidRPr="0098496E">
        <w:rPr>
          <w:rFonts w:ascii="Arial" w:hAnsi="Arial" w:cs="Arial"/>
          <w:color w:val="000000"/>
          <w:sz w:val="20"/>
        </w:rPr>
        <w:t>, 306–317 (2016).</w:t>
      </w:r>
    </w:p>
    <w:p w14:paraId="77D632C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91. </w:t>
      </w:r>
      <w:r w:rsidRPr="0098496E">
        <w:rPr>
          <w:rFonts w:ascii="Arial" w:hAnsi="Arial" w:cs="Arial"/>
          <w:color w:val="000000"/>
          <w:sz w:val="20"/>
        </w:rPr>
        <w:tab/>
        <w:t xml:space="preserve">K. Wippel, </w:t>
      </w:r>
      <w:r w:rsidRPr="0098496E">
        <w:rPr>
          <w:rFonts w:ascii="Arial" w:hAnsi="Arial" w:cs="Arial"/>
          <w:i/>
          <w:iCs/>
          <w:color w:val="000000"/>
          <w:sz w:val="20"/>
        </w:rPr>
        <w:t>et al.</w:t>
      </w:r>
      <w:r w:rsidRPr="0098496E">
        <w:rPr>
          <w:rFonts w:ascii="Arial" w:hAnsi="Arial" w:cs="Arial"/>
          <w:color w:val="000000"/>
          <w:sz w:val="20"/>
        </w:rPr>
        <w:t xml:space="preserve">, Host preference and invasiveness of commensal bacteria in the Lotus and Arabidopsis root microbiota. </w:t>
      </w:r>
      <w:r w:rsidRPr="0098496E">
        <w:rPr>
          <w:rFonts w:ascii="Arial" w:hAnsi="Arial" w:cs="Arial"/>
          <w:i/>
          <w:iCs/>
          <w:color w:val="000000"/>
          <w:sz w:val="20"/>
        </w:rPr>
        <w:t>Nat Microbiol</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1150–1162 (2021).</w:t>
      </w:r>
    </w:p>
    <w:p w14:paraId="6F677D2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92. </w:t>
      </w:r>
      <w:r w:rsidRPr="0098496E">
        <w:rPr>
          <w:rFonts w:ascii="Arial" w:hAnsi="Arial" w:cs="Arial"/>
          <w:color w:val="000000"/>
          <w:sz w:val="20"/>
        </w:rPr>
        <w:tab/>
        <w:t xml:space="preserve">E. Bolyen, </w:t>
      </w:r>
      <w:r w:rsidRPr="0098496E">
        <w:rPr>
          <w:rFonts w:ascii="Arial" w:hAnsi="Arial" w:cs="Arial"/>
          <w:i/>
          <w:iCs/>
          <w:color w:val="000000"/>
          <w:sz w:val="20"/>
        </w:rPr>
        <w:t>et al.</w:t>
      </w:r>
      <w:r w:rsidRPr="0098496E">
        <w:rPr>
          <w:rFonts w:ascii="Arial" w:hAnsi="Arial" w:cs="Arial"/>
          <w:color w:val="000000"/>
          <w:sz w:val="20"/>
        </w:rPr>
        <w:t xml:space="preserve">, Reproducible, interactive, scalable and extensible microbiome data science using QIIME 2. </w:t>
      </w:r>
      <w:r w:rsidRPr="0098496E">
        <w:rPr>
          <w:rFonts w:ascii="Arial" w:hAnsi="Arial" w:cs="Arial"/>
          <w:i/>
          <w:iCs/>
          <w:color w:val="000000"/>
          <w:sz w:val="20"/>
        </w:rPr>
        <w:t>Nat Biotechnol</w:t>
      </w:r>
      <w:r w:rsidRPr="0098496E">
        <w:rPr>
          <w:rFonts w:ascii="Arial" w:hAnsi="Arial" w:cs="Arial"/>
          <w:color w:val="000000"/>
          <w:sz w:val="20"/>
        </w:rPr>
        <w:t xml:space="preserve"> </w:t>
      </w:r>
      <w:r w:rsidRPr="0098496E">
        <w:rPr>
          <w:rFonts w:ascii="Arial" w:hAnsi="Arial" w:cs="Arial"/>
          <w:b/>
          <w:bCs/>
          <w:color w:val="000000"/>
          <w:sz w:val="20"/>
        </w:rPr>
        <w:t>37</w:t>
      </w:r>
      <w:r w:rsidRPr="0098496E">
        <w:rPr>
          <w:rFonts w:ascii="Arial" w:hAnsi="Arial" w:cs="Arial"/>
          <w:color w:val="000000"/>
          <w:sz w:val="20"/>
        </w:rPr>
        <w:t>, 852–857 (2019).</w:t>
      </w:r>
    </w:p>
    <w:p w14:paraId="7038E7C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93. </w:t>
      </w:r>
      <w:r w:rsidRPr="0098496E">
        <w:rPr>
          <w:rFonts w:ascii="Arial" w:hAnsi="Arial" w:cs="Arial"/>
          <w:color w:val="000000"/>
          <w:sz w:val="20"/>
        </w:rPr>
        <w:tab/>
        <w:t xml:space="preserve">B. J. Callahan, </w:t>
      </w:r>
      <w:r w:rsidRPr="0098496E">
        <w:rPr>
          <w:rFonts w:ascii="Arial" w:hAnsi="Arial" w:cs="Arial"/>
          <w:i/>
          <w:iCs/>
          <w:color w:val="000000"/>
          <w:sz w:val="20"/>
        </w:rPr>
        <w:t>et al.</w:t>
      </w:r>
      <w:r w:rsidRPr="0098496E">
        <w:rPr>
          <w:rFonts w:ascii="Arial" w:hAnsi="Arial" w:cs="Arial"/>
          <w:color w:val="000000"/>
          <w:sz w:val="20"/>
        </w:rPr>
        <w:t xml:space="preserve">, DADA2: High-resolution sample inference from Illumina amplicon data. </w:t>
      </w:r>
      <w:r w:rsidRPr="0098496E">
        <w:rPr>
          <w:rFonts w:ascii="Arial" w:hAnsi="Arial" w:cs="Arial"/>
          <w:i/>
          <w:iCs/>
          <w:color w:val="000000"/>
          <w:sz w:val="20"/>
        </w:rPr>
        <w:t>Nat Methods</w:t>
      </w:r>
      <w:r w:rsidRPr="0098496E">
        <w:rPr>
          <w:rFonts w:ascii="Arial" w:hAnsi="Arial" w:cs="Arial"/>
          <w:color w:val="000000"/>
          <w:sz w:val="20"/>
        </w:rPr>
        <w:t xml:space="preserve"> </w:t>
      </w:r>
      <w:r w:rsidRPr="0098496E">
        <w:rPr>
          <w:rFonts w:ascii="Arial" w:hAnsi="Arial" w:cs="Arial"/>
          <w:b/>
          <w:bCs/>
          <w:color w:val="000000"/>
          <w:sz w:val="20"/>
        </w:rPr>
        <w:t>13</w:t>
      </w:r>
      <w:r w:rsidRPr="0098496E">
        <w:rPr>
          <w:rFonts w:ascii="Arial" w:hAnsi="Arial" w:cs="Arial"/>
          <w:color w:val="000000"/>
          <w:sz w:val="20"/>
        </w:rPr>
        <w:t>, 581–583 (2016).</w:t>
      </w:r>
    </w:p>
    <w:p w14:paraId="521FC5E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94. </w:t>
      </w:r>
      <w:r w:rsidRPr="0098496E">
        <w:rPr>
          <w:rFonts w:ascii="Arial" w:hAnsi="Arial" w:cs="Arial"/>
          <w:color w:val="000000"/>
          <w:sz w:val="20"/>
        </w:rPr>
        <w:tab/>
        <w:t xml:space="preserve">N. A. Bokulich, </w:t>
      </w:r>
      <w:r w:rsidRPr="0098496E">
        <w:rPr>
          <w:rFonts w:ascii="Arial" w:hAnsi="Arial" w:cs="Arial"/>
          <w:i/>
          <w:iCs/>
          <w:color w:val="000000"/>
          <w:sz w:val="20"/>
        </w:rPr>
        <w:t>et al.</w:t>
      </w:r>
      <w:r w:rsidRPr="0098496E">
        <w:rPr>
          <w:rFonts w:ascii="Arial" w:hAnsi="Arial" w:cs="Arial"/>
          <w:color w:val="000000"/>
          <w:sz w:val="20"/>
        </w:rPr>
        <w:t xml:space="preserve">, Optimizing taxonomic classification of marker-gene amplicon sequences with QIIME 2’s q2-feature-classifier plugin. </w:t>
      </w:r>
      <w:r w:rsidRPr="0098496E">
        <w:rPr>
          <w:rFonts w:ascii="Arial" w:hAnsi="Arial" w:cs="Arial"/>
          <w:i/>
          <w:iCs/>
          <w:color w:val="000000"/>
          <w:sz w:val="20"/>
        </w:rPr>
        <w:t>Microbiome</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90 (2018).</w:t>
      </w:r>
    </w:p>
    <w:p w14:paraId="27F92E2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95. </w:t>
      </w:r>
      <w:r w:rsidRPr="0098496E">
        <w:rPr>
          <w:rFonts w:ascii="Arial" w:hAnsi="Arial" w:cs="Arial"/>
          <w:color w:val="000000"/>
          <w:sz w:val="20"/>
        </w:rPr>
        <w:tab/>
        <w:t xml:space="preserve">M. Chuvochina, </w:t>
      </w:r>
      <w:r w:rsidRPr="0098496E">
        <w:rPr>
          <w:rFonts w:ascii="Arial" w:hAnsi="Arial" w:cs="Arial"/>
          <w:i/>
          <w:iCs/>
          <w:color w:val="000000"/>
          <w:sz w:val="20"/>
        </w:rPr>
        <w:t>et al.</w:t>
      </w:r>
      <w:r w:rsidRPr="0098496E">
        <w:rPr>
          <w:rFonts w:ascii="Arial" w:hAnsi="Arial" w:cs="Arial"/>
          <w:color w:val="000000"/>
          <w:sz w:val="20"/>
        </w:rPr>
        <w:t xml:space="preserve">, SILVA in 2026: a global core biodata resource for rRNA within the DSMZ digital diversity. </w:t>
      </w:r>
      <w:r w:rsidRPr="0098496E">
        <w:rPr>
          <w:rFonts w:ascii="Arial" w:hAnsi="Arial" w:cs="Arial"/>
          <w:i/>
          <w:iCs/>
          <w:color w:val="000000"/>
          <w:sz w:val="20"/>
        </w:rPr>
        <w:t>Nucleic Acids Res</w:t>
      </w:r>
      <w:r w:rsidRPr="0098496E">
        <w:rPr>
          <w:rFonts w:ascii="Arial" w:hAnsi="Arial" w:cs="Arial"/>
          <w:color w:val="000000"/>
          <w:sz w:val="20"/>
        </w:rPr>
        <w:t xml:space="preserve"> </w:t>
      </w:r>
      <w:r w:rsidRPr="0098496E">
        <w:rPr>
          <w:rFonts w:ascii="Arial" w:hAnsi="Arial" w:cs="Arial"/>
          <w:b/>
          <w:bCs/>
          <w:color w:val="000000"/>
          <w:sz w:val="20"/>
        </w:rPr>
        <w:t>54</w:t>
      </w:r>
      <w:r w:rsidRPr="0098496E">
        <w:rPr>
          <w:rFonts w:ascii="Arial" w:hAnsi="Arial" w:cs="Arial"/>
          <w:color w:val="000000"/>
          <w:sz w:val="20"/>
        </w:rPr>
        <w:t>, D334–D341 (2026).</w:t>
      </w:r>
    </w:p>
    <w:p w14:paraId="1D6D51B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96. </w:t>
      </w:r>
      <w:r w:rsidRPr="0098496E">
        <w:rPr>
          <w:rFonts w:ascii="Arial" w:hAnsi="Arial" w:cs="Arial"/>
          <w:color w:val="000000"/>
          <w:sz w:val="20"/>
        </w:rPr>
        <w:tab/>
        <w:t xml:space="preserve">T. Rognes, T. Flouri, B. Nichols, C. Quince, F. Mahé, VSEARCH: a versatile open source tool for metagenomics. </w:t>
      </w:r>
      <w:r w:rsidRPr="0098496E">
        <w:rPr>
          <w:rFonts w:ascii="Arial" w:hAnsi="Arial" w:cs="Arial"/>
          <w:i/>
          <w:iCs/>
          <w:color w:val="000000"/>
          <w:sz w:val="20"/>
        </w:rPr>
        <w:t>PeerJ</w:t>
      </w:r>
      <w:r w:rsidRPr="0098496E">
        <w:rPr>
          <w:rFonts w:ascii="Arial" w:hAnsi="Arial" w:cs="Arial"/>
          <w:color w:val="000000"/>
          <w:sz w:val="20"/>
        </w:rPr>
        <w:t xml:space="preserve"> </w:t>
      </w:r>
      <w:r w:rsidRPr="0098496E">
        <w:rPr>
          <w:rFonts w:ascii="Arial" w:hAnsi="Arial" w:cs="Arial"/>
          <w:b/>
          <w:bCs/>
          <w:color w:val="000000"/>
          <w:sz w:val="20"/>
        </w:rPr>
        <w:t>4</w:t>
      </w:r>
      <w:r w:rsidRPr="0098496E">
        <w:rPr>
          <w:rFonts w:ascii="Arial" w:hAnsi="Arial" w:cs="Arial"/>
          <w:color w:val="000000"/>
          <w:sz w:val="20"/>
        </w:rPr>
        <w:t>, e2584 (2016).</w:t>
      </w:r>
    </w:p>
    <w:p w14:paraId="05E4730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97. </w:t>
      </w:r>
      <w:r w:rsidRPr="0098496E">
        <w:rPr>
          <w:rFonts w:ascii="Arial" w:hAnsi="Arial" w:cs="Arial"/>
          <w:color w:val="000000"/>
          <w:sz w:val="20"/>
        </w:rPr>
        <w:tab/>
        <w:t xml:space="preserve">P. J. McMurdie, S. Holmes, phyloseq: an R package for reproducible interactive analysis and graphics of microbiome census data. </w:t>
      </w:r>
      <w:r w:rsidRPr="0098496E">
        <w:rPr>
          <w:rFonts w:ascii="Arial" w:hAnsi="Arial" w:cs="Arial"/>
          <w:i/>
          <w:iCs/>
          <w:color w:val="000000"/>
          <w:sz w:val="20"/>
        </w:rPr>
        <w:t>PLoS One</w:t>
      </w:r>
      <w:r w:rsidRPr="0098496E">
        <w:rPr>
          <w:rFonts w:ascii="Arial" w:hAnsi="Arial" w:cs="Arial"/>
          <w:color w:val="000000"/>
          <w:sz w:val="20"/>
        </w:rPr>
        <w:t xml:space="preserve"> </w:t>
      </w:r>
      <w:r w:rsidRPr="0098496E">
        <w:rPr>
          <w:rFonts w:ascii="Arial" w:hAnsi="Arial" w:cs="Arial"/>
          <w:b/>
          <w:bCs/>
          <w:color w:val="000000"/>
          <w:sz w:val="20"/>
        </w:rPr>
        <w:t>8</w:t>
      </w:r>
      <w:r w:rsidRPr="0098496E">
        <w:rPr>
          <w:rFonts w:ascii="Arial" w:hAnsi="Arial" w:cs="Arial"/>
          <w:color w:val="000000"/>
          <w:sz w:val="20"/>
        </w:rPr>
        <w:t>, e61217 (2013).</w:t>
      </w:r>
    </w:p>
    <w:p w14:paraId="281DD16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98. </w:t>
      </w:r>
      <w:r w:rsidRPr="0098496E">
        <w:rPr>
          <w:rFonts w:ascii="Arial" w:hAnsi="Arial" w:cs="Arial"/>
          <w:color w:val="000000"/>
          <w:sz w:val="20"/>
        </w:rPr>
        <w:tab/>
        <w:t xml:space="preserve">J. C. Gower, Some Distance Properties of Latent Root and Vector Methods Used in Multivariate Analysis. </w:t>
      </w:r>
      <w:r w:rsidRPr="0098496E">
        <w:rPr>
          <w:rFonts w:ascii="Arial" w:hAnsi="Arial" w:cs="Arial"/>
          <w:i/>
          <w:iCs/>
          <w:color w:val="000000"/>
          <w:sz w:val="20"/>
        </w:rPr>
        <w:t>Biometrika</w:t>
      </w:r>
      <w:r w:rsidRPr="0098496E">
        <w:rPr>
          <w:rFonts w:ascii="Arial" w:hAnsi="Arial" w:cs="Arial"/>
          <w:color w:val="000000"/>
          <w:sz w:val="20"/>
        </w:rPr>
        <w:t xml:space="preserve"> </w:t>
      </w:r>
      <w:r w:rsidRPr="0098496E">
        <w:rPr>
          <w:rFonts w:ascii="Arial" w:hAnsi="Arial" w:cs="Arial"/>
          <w:b/>
          <w:bCs/>
          <w:color w:val="000000"/>
          <w:sz w:val="20"/>
        </w:rPr>
        <w:t>53</w:t>
      </w:r>
      <w:r w:rsidRPr="0098496E">
        <w:rPr>
          <w:rFonts w:ascii="Arial" w:hAnsi="Arial" w:cs="Arial"/>
          <w:color w:val="000000"/>
          <w:sz w:val="20"/>
        </w:rPr>
        <w:t>, 325–338 (1966).</w:t>
      </w:r>
    </w:p>
    <w:p w14:paraId="1AF7FC1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99. </w:t>
      </w:r>
      <w:r w:rsidRPr="0098496E">
        <w:rPr>
          <w:rFonts w:ascii="Arial" w:hAnsi="Arial" w:cs="Arial"/>
          <w:color w:val="000000"/>
          <w:sz w:val="20"/>
        </w:rPr>
        <w:tab/>
        <w:t xml:space="preserve">J. R. Bray, J. T. Curtis, An Ordination of the Upland Forest Communities of Southern Wisconsin. </w:t>
      </w:r>
      <w:r w:rsidRPr="0098496E">
        <w:rPr>
          <w:rFonts w:ascii="Arial" w:hAnsi="Arial" w:cs="Arial"/>
          <w:i/>
          <w:iCs/>
          <w:color w:val="000000"/>
          <w:sz w:val="20"/>
        </w:rPr>
        <w:t>Ecological Monographs</w:t>
      </w:r>
      <w:r w:rsidRPr="0098496E">
        <w:rPr>
          <w:rFonts w:ascii="Arial" w:hAnsi="Arial" w:cs="Arial"/>
          <w:color w:val="000000"/>
          <w:sz w:val="20"/>
        </w:rPr>
        <w:t xml:space="preserve"> </w:t>
      </w:r>
      <w:r w:rsidRPr="0098496E">
        <w:rPr>
          <w:rFonts w:ascii="Arial" w:hAnsi="Arial" w:cs="Arial"/>
          <w:b/>
          <w:bCs/>
          <w:color w:val="000000"/>
          <w:sz w:val="20"/>
        </w:rPr>
        <w:t>27</w:t>
      </w:r>
      <w:r w:rsidRPr="0098496E">
        <w:rPr>
          <w:rFonts w:ascii="Arial" w:hAnsi="Arial" w:cs="Arial"/>
          <w:color w:val="000000"/>
          <w:sz w:val="20"/>
        </w:rPr>
        <w:t>, 325–349 (1957).</w:t>
      </w:r>
    </w:p>
    <w:p w14:paraId="368DFE3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100. </w:t>
      </w:r>
      <w:r w:rsidRPr="0098496E">
        <w:rPr>
          <w:rFonts w:ascii="Arial" w:hAnsi="Arial" w:cs="Arial"/>
          <w:color w:val="000000"/>
          <w:sz w:val="20"/>
        </w:rPr>
        <w:tab/>
        <w:t xml:space="preserve">P. Legendre, M. J. Anderson, Distance-Based Redundancy Analysis: Testing Multispecies Responses in Multifactorial Ecological Experiments. </w:t>
      </w:r>
      <w:r w:rsidRPr="0098496E">
        <w:rPr>
          <w:rFonts w:ascii="Arial" w:hAnsi="Arial" w:cs="Arial"/>
          <w:i/>
          <w:iCs/>
          <w:color w:val="000000"/>
          <w:sz w:val="20"/>
        </w:rPr>
        <w:t>Ecological Monographs</w:t>
      </w:r>
      <w:r w:rsidRPr="0098496E">
        <w:rPr>
          <w:rFonts w:ascii="Arial" w:hAnsi="Arial" w:cs="Arial"/>
          <w:color w:val="000000"/>
          <w:sz w:val="20"/>
        </w:rPr>
        <w:t xml:space="preserve"> </w:t>
      </w:r>
      <w:r w:rsidRPr="0098496E">
        <w:rPr>
          <w:rFonts w:ascii="Arial" w:hAnsi="Arial" w:cs="Arial"/>
          <w:b/>
          <w:bCs/>
          <w:color w:val="000000"/>
          <w:sz w:val="20"/>
        </w:rPr>
        <w:t>69</w:t>
      </w:r>
      <w:r w:rsidRPr="0098496E">
        <w:rPr>
          <w:rFonts w:ascii="Arial" w:hAnsi="Arial" w:cs="Arial"/>
          <w:color w:val="000000"/>
          <w:sz w:val="20"/>
        </w:rPr>
        <w:t>, 1–24 (1999).</w:t>
      </w:r>
    </w:p>
    <w:p w14:paraId="005EE00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101. </w:t>
      </w:r>
      <w:r w:rsidRPr="0098496E">
        <w:rPr>
          <w:rFonts w:ascii="Arial" w:hAnsi="Arial" w:cs="Arial"/>
          <w:color w:val="000000"/>
          <w:sz w:val="20"/>
        </w:rPr>
        <w:tab/>
        <w:t xml:space="preserve">J. Oksanen, </w:t>
      </w:r>
      <w:r w:rsidRPr="0098496E">
        <w:rPr>
          <w:rFonts w:ascii="Arial" w:hAnsi="Arial" w:cs="Arial"/>
          <w:i/>
          <w:iCs/>
          <w:color w:val="000000"/>
          <w:sz w:val="20"/>
        </w:rPr>
        <w:t>et al.</w:t>
      </w:r>
      <w:r w:rsidRPr="0098496E">
        <w:rPr>
          <w:rFonts w:ascii="Arial" w:hAnsi="Arial" w:cs="Arial"/>
          <w:color w:val="000000"/>
          <w:sz w:val="20"/>
        </w:rPr>
        <w:t>, vegan: Community Ecology Package. (2025). https://doi.org/10.32614/CRAN.package.vegan. Deposited 2025.</w:t>
      </w:r>
    </w:p>
    <w:p w14:paraId="52C5F23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102. </w:t>
      </w:r>
      <w:r w:rsidRPr="0098496E">
        <w:rPr>
          <w:rFonts w:ascii="Arial" w:hAnsi="Arial" w:cs="Arial"/>
          <w:color w:val="000000"/>
          <w:sz w:val="20"/>
        </w:rPr>
        <w:tab/>
        <w:t xml:space="preserve">H. Mallick, </w:t>
      </w:r>
      <w:r w:rsidRPr="0098496E">
        <w:rPr>
          <w:rFonts w:ascii="Arial" w:hAnsi="Arial" w:cs="Arial"/>
          <w:i/>
          <w:iCs/>
          <w:color w:val="000000"/>
          <w:sz w:val="20"/>
        </w:rPr>
        <w:t>et al.</w:t>
      </w:r>
      <w:r w:rsidRPr="0098496E">
        <w:rPr>
          <w:rFonts w:ascii="Arial" w:hAnsi="Arial" w:cs="Arial"/>
          <w:color w:val="000000"/>
          <w:sz w:val="20"/>
        </w:rPr>
        <w:t xml:space="preserve">, Multivariable association discovery in population-scale meta-omics studies. </w:t>
      </w:r>
      <w:r w:rsidRPr="0098496E">
        <w:rPr>
          <w:rFonts w:ascii="Arial" w:hAnsi="Arial" w:cs="Arial"/>
          <w:i/>
          <w:iCs/>
          <w:color w:val="000000"/>
          <w:sz w:val="20"/>
        </w:rPr>
        <w:t>PLOS Computational Biology</w:t>
      </w:r>
      <w:r w:rsidRPr="0098496E">
        <w:rPr>
          <w:rFonts w:ascii="Arial" w:hAnsi="Arial" w:cs="Arial"/>
          <w:color w:val="000000"/>
          <w:sz w:val="20"/>
        </w:rPr>
        <w:t xml:space="preserve"> </w:t>
      </w:r>
      <w:r w:rsidRPr="0098496E">
        <w:rPr>
          <w:rFonts w:ascii="Arial" w:hAnsi="Arial" w:cs="Arial"/>
          <w:b/>
          <w:bCs/>
          <w:color w:val="000000"/>
          <w:sz w:val="20"/>
        </w:rPr>
        <w:t>17</w:t>
      </w:r>
      <w:r w:rsidRPr="0098496E">
        <w:rPr>
          <w:rFonts w:ascii="Arial" w:hAnsi="Arial" w:cs="Arial"/>
          <w:color w:val="000000"/>
          <w:sz w:val="20"/>
        </w:rPr>
        <w:t>, e1009442 (2021).</w:t>
      </w:r>
    </w:p>
    <w:p w14:paraId="0EE926B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103. </w:t>
      </w:r>
      <w:r w:rsidRPr="0098496E">
        <w:rPr>
          <w:rFonts w:ascii="Arial" w:hAnsi="Arial" w:cs="Arial"/>
          <w:color w:val="000000"/>
          <w:sz w:val="20"/>
        </w:rPr>
        <w:tab/>
        <w:t xml:space="preserve">A. Kaul, S. Mandal, O. Davidov, S. D. Peddada, Analysis of Microbiome Data in the Presence of Excess Zeros. </w:t>
      </w:r>
      <w:r w:rsidRPr="0098496E">
        <w:rPr>
          <w:rFonts w:ascii="Arial" w:hAnsi="Arial" w:cs="Arial"/>
          <w:i/>
          <w:iCs/>
          <w:color w:val="000000"/>
          <w:sz w:val="20"/>
        </w:rPr>
        <w:t>Front Microbiol</w:t>
      </w:r>
      <w:r w:rsidRPr="0098496E">
        <w:rPr>
          <w:rFonts w:ascii="Arial" w:hAnsi="Arial" w:cs="Arial"/>
          <w:color w:val="000000"/>
          <w:sz w:val="20"/>
        </w:rPr>
        <w:t xml:space="preserve"> </w:t>
      </w:r>
      <w:r w:rsidRPr="0098496E">
        <w:rPr>
          <w:rFonts w:ascii="Arial" w:hAnsi="Arial" w:cs="Arial"/>
          <w:b/>
          <w:bCs/>
          <w:color w:val="000000"/>
          <w:sz w:val="20"/>
        </w:rPr>
        <w:t>8</w:t>
      </w:r>
      <w:r w:rsidRPr="0098496E">
        <w:rPr>
          <w:rFonts w:ascii="Arial" w:hAnsi="Arial" w:cs="Arial"/>
          <w:color w:val="000000"/>
          <w:sz w:val="20"/>
        </w:rPr>
        <w:t>, 2114 (2017).</w:t>
      </w:r>
    </w:p>
    <w:p w14:paraId="217FAF8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104. </w:t>
      </w:r>
      <w:r w:rsidRPr="0098496E">
        <w:rPr>
          <w:rFonts w:ascii="Arial" w:hAnsi="Arial" w:cs="Arial"/>
          <w:color w:val="000000"/>
          <w:sz w:val="20"/>
        </w:rPr>
        <w:tab/>
        <w:t xml:space="preserve">Y. Benjamini, Y. Hochberg, Controlling the False Discovery Rate: A Practical and Powerful Approach to Multiple Testing. </w:t>
      </w:r>
      <w:r w:rsidRPr="0098496E">
        <w:rPr>
          <w:rFonts w:ascii="Arial" w:hAnsi="Arial" w:cs="Arial"/>
          <w:i/>
          <w:iCs/>
          <w:color w:val="000000"/>
          <w:sz w:val="20"/>
        </w:rPr>
        <w:t>Journal of the Royal Statistical Society. Series B (Methodological)</w:t>
      </w:r>
      <w:r w:rsidRPr="0098496E">
        <w:rPr>
          <w:rFonts w:ascii="Arial" w:hAnsi="Arial" w:cs="Arial"/>
          <w:color w:val="000000"/>
          <w:sz w:val="20"/>
        </w:rPr>
        <w:t xml:space="preserve"> </w:t>
      </w:r>
      <w:r w:rsidRPr="0098496E">
        <w:rPr>
          <w:rFonts w:ascii="Arial" w:hAnsi="Arial" w:cs="Arial"/>
          <w:b/>
          <w:bCs/>
          <w:color w:val="000000"/>
          <w:sz w:val="20"/>
        </w:rPr>
        <w:t>57</w:t>
      </w:r>
      <w:r w:rsidRPr="0098496E">
        <w:rPr>
          <w:rFonts w:ascii="Arial" w:hAnsi="Arial" w:cs="Arial"/>
          <w:color w:val="000000"/>
          <w:sz w:val="20"/>
        </w:rPr>
        <w:t>, 289–300 (1995).</w:t>
      </w:r>
    </w:p>
    <w:p w14:paraId="3A7C73A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105. </w:t>
      </w:r>
      <w:r w:rsidRPr="0098496E">
        <w:rPr>
          <w:rFonts w:ascii="Arial" w:hAnsi="Arial" w:cs="Arial"/>
          <w:color w:val="000000"/>
          <w:sz w:val="20"/>
        </w:rPr>
        <w:tab/>
        <w:t xml:space="preserve">H. Wickham, </w:t>
      </w:r>
      <w:r w:rsidRPr="0098496E">
        <w:rPr>
          <w:rFonts w:ascii="Arial" w:hAnsi="Arial" w:cs="Arial"/>
          <w:i/>
          <w:iCs/>
          <w:color w:val="000000"/>
          <w:sz w:val="20"/>
        </w:rPr>
        <w:t>ggplot2: elegant graphics for data analysis</w:t>
      </w:r>
      <w:r w:rsidRPr="0098496E">
        <w:rPr>
          <w:rFonts w:ascii="Arial" w:hAnsi="Arial" w:cs="Arial"/>
          <w:color w:val="000000"/>
          <w:sz w:val="20"/>
        </w:rPr>
        <w:t>, Second edition (Springer international publishing, 2016).</w:t>
      </w:r>
    </w:p>
    <w:p w14:paraId="536CAED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106. </w:t>
      </w:r>
      <w:r w:rsidRPr="0098496E">
        <w:rPr>
          <w:rFonts w:ascii="Arial" w:hAnsi="Arial" w:cs="Arial"/>
          <w:color w:val="000000"/>
          <w:sz w:val="20"/>
        </w:rPr>
        <w:tab/>
        <w:t xml:space="preserve">E. Gordon-Rodriguez, T. P. Quinn, J. P. Cunningham, Learning sparse log-ratios for high-throughput sequencing data. </w:t>
      </w:r>
      <w:r w:rsidRPr="0098496E">
        <w:rPr>
          <w:rFonts w:ascii="Arial" w:hAnsi="Arial" w:cs="Arial"/>
          <w:i/>
          <w:iCs/>
          <w:color w:val="000000"/>
          <w:sz w:val="20"/>
        </w:rPr>
        <w:t>Bioinformatics</w:t>
      </w:r>
      <w:r w:rsidRPr="0098496E">
        <w:rPr>
          <w:rFonts w:ascii="Arial" w:hAnsi="Arial" w:cs="Arial"/>
          <w:color w:val="000000"/>
          <w:sz w:val="20"/>
        </w:rPr>
        <w:t xml:space="preserve"> </w:t>
      </w:r>
      <w:r w:rsidRPr="0098496E">
        <w:rPr>
          <w:rFonts w:ascii="Arial" w:hAnsi="Arial" w:cs="Arial"/>
          <w:b/>
          <w:bCs/>
          <w:color w:val="000000"/>
          <w:sz w:val="20"/>
        </w:rPr>
        <w:t>38</w:t>
      </w:r>
      <w:r w:rsidRPr="0098496E">
        <w:rPr>
          <w:rFonts w:ascii="Arial" w:hAnsi="Arial" w:cs="Arial"/>
          <w:color w:val="000000"/>
          <w:sz w:val="20"/>
        </w:rPr>
        <w:t>, 157–163 (2021).</w:t>
      </w:r>
    </w:p>
    <w:p w14:paraId="0B7B852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107. </w:t>
      </w:r>
      <w:r w:rsidRPr="0098496E">
        <w:rPr>
          <w:rFonts w:ascii="Arial" w:hAnsi="Arial" w:cs="Arial"/>
          <w:color w:val="000000"/>
          <w:sz w:val="20"/>
        </w:rPr>
        <w:tab/>
        <w:t xml:space="preserve">W. J. Broughton, M. J. Dilworth, Control of leghaemoglobin synthesis in snake beans. </w:t>
      </w:r>
      <w:r w:rsidRPr="0098496E">
        <w:rPr>
          <w:rFonts w:ascii="Arial" w:hAnsi="Arial" w:cs="Arial"/>
          <w:i/>
          <w:iCs/>
          <w:color w:val="000000"/>
          <w:sz w:val="20"/>
        </w:rPr>
        <w:t>Biochem J</w:t>
      </w:r>
      <w:r w:rsidRPr="0098496E">
        <w:rPr>
          <w:rFonts w:ascii="Arial" w:hAnsi="Arial" w:cs="Arial"/>
          <w:color w:val="000000"/>
          <w:sz w:val="20"/>
        </w:rPr>
        <w:t xml:space="preserve"> </w:t>
      </w:r>
      <w:r w:rsidRPr="0098496E">
        <w:rPr>
          <w:rFonts w:ascii="Arial" w:hAnsi="Arial" w:cs="Arial"/>
          <w:b/>
          <w:bCs/>
          <w:color w:val="000000"/>
          <w:sz w:val="20"/>
        </w:rPr>
        <w:t>125</w:t>
      </w:r>
      <w:r w:rsidRPr="0098496E">
        <w:rPr>
          <w:rFonts w:ascii="Arial" w:hAnsi="Arial" w:cs="Arial"/>
          <w:color w:val="000000"/>
          <w:sz w:val="20"/>
        </w:rPr>
        <w:t>, 1075–1080 (1971).</w:t>
      </w:r>
    </w:p>
    <w:p w14:paraId="1CAF30D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108. </w:t>
      </w:r>
      <w:r w:rsidRPr="0098496E">
        <w:rPr>
          <w:rFonts w:ascii="Arial" w:hAnsi="Arial" w:cs="Arial"/>
          <w:color w:val="000000"/>
          <w:sz w:val="20"/>
        </w:rPr>
        <w:tab/>
        <w:t xml:space="preserve">C. Salomonsen, </w:t>
      </w:r>
      <w:r w:rsidRPr="0098496E">
        <w:rPr>
          <w:rFonts w:ascii="Arial" w:hAnsi="Arial" w:cs="Arial"/>
          <w:i/>
          <w:iCs/>
          <w:color w:val="000000"/>
          <w:sz w:val="20"/>
        </w:rPr>
        <w:t>et al.</w:t>
      </w:r>
      <w:r w:rsidRPr="0098496E">
        <w:rPr>
          <w:rFonts w:ascii="Arial" w:hAnsi="Arial" w:cs="Arial"/>
          <w:color w:val="000000"/>
          <w:sz w:val="20"/>
        </w:rPr>
        <w:t xml:space="preserve">, Comprehensive characterization of the rhizosphere metabolome: A novel method for non-targeted analysis of </w:t>
      </w:r>
      <w:r w:rsidRPr="0098496E">
        <w:rPr>
          <w:rFonts w:ascii="Arial" w:hAnsi="Arial" w:cs="Arial"/>
          <w:i/>
          <w:iCs/>
          <w:color w:val="000000"/>
          <w:sz w:val="20"/>
        </w:rPr>
        <w:t>Lotus japonicus</w:t>
      </w:r>
      <w:r w:rsidRPr="0098496E">
        <w:rPr>
          <w:rFonts w:ascii="Arial" w:hAnsi="Arial" w:cs="Arial"/>
          <w:color w:val="000000"/>
          <w:sz w:val="20"/>
        </w:rPr>
        <w:t xml:space="preserve"> root exudates. </w:t>
      </w:r>
      <w:r w:rsidRPr="0098496E">
        <w:rPr>
          <w:rFonts w:ascii="Arial" w:hAnsi="Arial" w:cs="Arial"/>
          <w:i/>
          <w:iCs/>
          <w:color w:val="000000"/>
          <w:sz w:val="20"/>
        </w:rPr>
        <w:t>Rhizosphere</w:t>
      </w:r>
      <w:r w:rsidRPr="0098496E">
        <w:rPr>
          <w:rFonts w:ascii="Arial" w:hAnsi="Arial" w:cs="Arial"/>
          <w:color w:val="000000"/>
          <w:sz w:val="20"/>
        </w:rPr>
        <w:t xml:space="preserve"> </w:t>
      </w:r>
      <w:r w:rsidRPr="0098496E">
        <w:rPr>
          <w:rFonts w:ascii="Arial" w:hAnsi="Arial" w:cs="Arial"/>
          <w:b/>
          <w:bCs/>
          <w:color w:val="000000"/>
          <w:sz w:val="20"/>
        </w:rPr>
        <w:t>32</w:t>
      </w:r>
      <w:r w:rsidRPr="0098496E">
        <w:rPr>
          <w:rFonts w:ascii="Arial" w:hAnsi="Arial" w:cs="Arial"/>
          <w:color w:val="000000"/>
          <w:sz w:val="20"/>
        </w:rPr>
        <w:t>, 100957 (2024).</w:t>
      </w:r>
    </w:p>
    <w:p w14:paraId="07F1402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109. </w:t>
      </w:r>
      <w:r w:rsidRPr="0098496E">
        <w:rPr>
          <w:rFonts w:ascii="Arial" w:hAnsi="Arial" w:cs="Arial"/>
          <w:color w:val="000000"/>
          <w:sz w:val="20"/>
        </w:rPr>
        <w:tab/>
        <w:t xml:space="preserve">R. Schmid, </w:t>
      </w:r>
      <w:r w:rsidRPr="0098496E">
        <w:rPr>
          <w:rFonts w:ascii="Arial" w:hAnsi="Arial" w:cs="Arial"/>
          <w:i/>
          <w:iCs/>
          <w:color w:val="000000"/>
          <w:sz w:val="20"/>
        </w:rPr>
        <w:t>et al.</w:t>
      </w:r>
      <w:r w:rsidRPr="0098496E">
        <w:rPr>
          <w:rFonts w:ascii="Arial" w:hAnsi="Arial" w:cs="Arial"/>
          <w:color w:val="000000"/>
          <w:sz w:val="20"/>
        </w:rPr>
        <w:t xml:space="preserve">, Integrative analysis of multimodal mass spectrometry data in MZmine 3. </w:t>
      </w:r>
      <w:r w:rsidRPr="0098496E">
        <w:rPr>
          <w:rFonts w:ascii="Arial" w:hAnsi="Arial" w:cs="Arial"/>
          <w:i/>
          <w:iCs/>
          <w:color w:val="000000"/>
          <w:sz w:val="20"/>
        </w:rPr>
        <w:t>Nat Biotechnol</w:t>
      </w:r>
      <w:r w:rsidRPr="0098496E">
        <w:rPr>
          <w:rFonts w:ascii="Arial" w:hAnsi="Arial" w:cs="Arial"/>
          <w:color w:val="000000"/>
          <w:sz w:val="20"/>
        </w:rPr>
        <w:t xml:space="preserve"> </w:t>
      </w:r>
      <w:r w:rsidRPr="0098496E">
        <w:rPr>
          <w:rFonts w:ascii="Arial" w:hAnsi="Arial" w:cs="Arial"/>
          <w:b/>
          <w:bCs/>
          <w:color w:val="000000"/>
          <w:sz w:val="20"/>
        </w:rPr>
        <w:t>41</w:t>
      </w:r>
      <w:r w:rsidRPr="0098496E">
        <w:rPr>
          <w:rFonts w:ascii="Arial" w:hAnsi="Arial" w:cs="Arial"/>
          <w:color w:val="000000"/>
          <w:sz w:val="20"/>
        </w:rPr>
        <w:t>, 447–449 (2023).</w:t>
      </w:r>
    </w:p>
    <w:p w14:paraId="4D37242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110. </w:t>
      </w:r>
      <w:r w:rsidRPr="0098496E">
        <w:rPr>
          <w:rFonts w:ascii="Arial" w:hAnsi="Arial" w:cs="Arial"/>
          <w:color w:val="000000"/>
          <w:sz w:val="20"/>
        </w:rPr>
        <w:tab/>
        <w:t xml:space="preserve">K. Dührkop, </w:t>
      </w:r>
      <w:r w:rsidRPr="0098496E">
        <w:rPr>
          <w:rFonts w:ascii="Arial" w:hAnsi="Arial" w:cs="Arial"/>
          <w:i/>
          <w:iCs/>
          <w:color w:val="000000"/>
          <w:sz w:val="20"/>
        </w:rPr>
        <w:t>et al.</w:t>
      </w:r>
      <w:r w:rsidRPr="0098496E">
        <w:rPr>
          <w:rFonts w:ascii="Arial" w:hAnsi="Arial" w:cs="Arial"/>
          <w:color w:val="000000"/>
          <w:sz w:val="20"/>
        </w:rPr>
        <w:t xml:space="preserve">, SIRIUS 4: a rapid tool for turning tandem mass spectra into metabolite structure information. </w:t>
      </w:r>
      <w:r w:rsidRPr="0098496E">
        <w:rPr>
          <w:rFonts w:ascii="Arial" w:hAnsi="Arial" w:cs="Arial"/>
          <w:i/>
          <w:iCs/>
          <w:color w:val="000000"/>
          <w:sz w:val="20"/>
        </w:rPr>
        <w:t>Nat Methods</w:t>
      </w:r>
      <w:r w:rsidRPr="0098496E">
        <w:rPr>
          <w:rFonts w:ascii="Arial" w:hAnsi="Arial" w:cs="Arial"/>
          <w:color w:val="000000"/>
          <w:sz w:val="20"/>
        </w:rPr>
        <w:t xml:space="preserve"> </w:t>
      </w:r>
      <w:r w:rsidRPr="0098496E">
        <w:rPr>
          <w:rFonts w:ascii="Arial" w:hAnsi="Arial" w:cs="Arial"/>
          <w:b/>
          <w:bCs/>
          <w:color w:val="000000"/>
          <w:sz w:val="20"/>
        </w:rPr>
        <w:t>16</w:t>
      </w:r>
      <w:r w:rsidRPr="0098496E">
        <w:rPr>
          <w:rFonts w:ascii="Arial" w:hAnsi="Arial" w:cs="Arial"/>
          <w:color w:val="000000"/>
          <w:sz w:val="20"/>
        </w:rPr>
        <w:t>, 299–302 (2019).</w:t>
      </w:r>
    </w:p>
    <w:p w14:paraId="577211E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111. </w:t>
      </w:r>
      <w:r w:rsidRPr="0098496E">
        <w:rPr>
          <w:rFonts w:ascii="Arial" w:hAnsi="Arial" w:cs="Arial"/>
          <w:color w:val="000000"/>
          <w:sz w:val="20"/>
        </w:rPr>
        <w:tab/>
        <w:t xml:space="preserve">K. Dührkop, </w:t>
      </w:r>
      <w:r w:rsidRPr="0098496E">
        <w:rPr>
          <w:rFonts w:ascii="Arial" w:hAnsi="Arial" w:cs="Arial"/>
          <w:i/>
          <w:iCs/>
          <w:color w:val="000000"/>
          <w:sz w:val="20"/>
        </w:rPr>
        <w:t>et al.</w:t>
      </w:r>
      <w:r w:rsidRPr="0098496E">
        <w:rPr>
          <w:rFonts w:ascii="Arial" w:hAnsi="Arial" w:cs="Arial"/>
          <w:color w:val="000000"/>
          <w:sz w:val="20"/>
        </w:rPr>
        <w:t xml:space="preserve">, Systematic classification of unknown metabolites using high-resolution fragmentation mass spectra. </w:t>
      </w:r>
      <w:r w:rsidRPr="0098496E">
        <w:rPr>
          <w:rFonts w:ascii="Arial" w:hAnsi="Arial" w:cs="Arial"/>
          <w:i/>
          <w:iCs/>
          <w:color w:val="000000"/>
          <w:sz w:val="20"/>
        </w:rPr>
        <w:t>Nat Biotechnol</w:t>
      </w:r>
      <w:r w:rsidRPr="0098496E">
        <w:rPr>
          <w:rFonts w:ascii="Arial" w:hAnsi="Arial" w:cs="Arial"/>
          <w:color w:val="000000"/>
          <w:sz w:val="20"/>
        </w:rPr>
        <w:t xml:space="preserve"> </w:t>
      </w:r>
      <w:r w:rsidRPr="0098496E">
        <w:rPr>
          <w:rFonts w:ascii="Arial" w:hAnsi="Arial" w:cs="Arial"/>
          <w:b/>
          <w:bCs/>
          <w:color w:val="000000"/>
          <w:sz w:val="20"/>
        </w:rPr>
        <w:t>39</w:t>
      </w:r>
      <w:r w:rsidRPr="0098496E">
        <w:rPr>
          <w:rFonts w:ascii="Arial" w:hAnsi="Arial" w:cs="Arial"/>
          <w:color w:val="000000"/>
          <w:sz w:val="20"/>
        </w:rPr>
        <w:t>, 462–471 (2021).</w:t>
      </w:r>
    </w:p>
    <w:p w14:paraId="4E24C34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112. </w:t>
      </w:r>
      <w:r w:rsidRPr="0098496E">
        <w:rPr>
          <w:rFonts w:ascii="Arial" w:hAnsi="Arial" w:cs="Arial"/>
          <w:color w:val="000000"/>
          <w:sz w:val="20"/>
        </w:rPr>
        <w:tab/>
        <w:t xml:space="preserve">Y. Djoumbou Feunang, </w:t>
      </w:r>
      <w:r w:rsidRPr="0098496E">
        <w:rPr>
          <w:rFonts w:ascii="Arial" w:hAnsi="Arial" w:cs="Arial"/>
          <w:i/>
          <w:iCs/>
          <w:color w:val="000000"/>
          <w:sz w:val="20"/>
        </w:rPr>
        <w:t>et al.</w:t>
      </w:r>
      <w:r w:rsidRPr="0098496E">
        <w:rPr>
          <w:rFonts w:ascii="Arial" w:hAnsi="Arial" w:cs="Arial"/>
          <w:color w:val="000000"/>
          <w:sz w:val="20"/>
        </w:rPr>
        <w:t xml:space="preserve">, ClassyFire: automated chemical classification with a comprehensive, computable taxonomy. </w:t>
      </w:r>
      <w:r w:rsidRPr="0098496E">
        <w:rPr>
          <w:rFonts w:ascii="Arial" w:hAnsi="Arial" w:cs="Arial"/>
          <w:i/>
          <w:iCs/>
          <w:color w:val="000000"/>
          <w:sz w:val="20"/>
        </w:rPr>
        <w:t>J Cheminform</w:t>
      </w:r>
      <w:r w:rsidRPr="0098496E">
        <w:rPr>
          <w:rFonts w:ascii="Arial" w:hAnsi="Arial" w:cs="Arial"/>
          <w:color w:val="000000"/>
          <w:sz w:val="20"/>
        </w:rPr>
        <w:t xml:space="preserve"> </w:t>
      </w:r>
      <w:r w:rsidRPr="0098496E">
        <w:rPr>
          <w:rFonts w:ascii="Arial" w:hAnsi="Arial" w:cs="Arial"/>
          <w:b/>
          <w:bCs/>
          <w:color w:val="000000"/>
          <w:sz w:val="20"/>
        </w:rPr>
        <w:t>8</w:t>
      </w:r>
      <w:r w:rsidRPr="0098496E">
        <w:rPr>
          <w:rFonts w:ascii="Arial" w:hAnsi="Arial" w:cs="Arial"/>
          <w:color w:val="000000"/>
          <w:sz w:val="20"/>
        </w:rPr>
        <w:t>, 61 (2016).</w:t>
      </w:r>
    </w:p>
    <w:p w14:paraId="73651D4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113. </w:t>
      </w:r>
      <w:r w:rsidRPr="0098496E">
        <w:rPr>
          <w:rFonts w:ascii="Arial" w:hAnsi="Arial" w:cs="Arial"/>
          <w:color w:val="000000"/>
          <w:sz w:val="20"/>
        </w:rPr>
        <w:tab/>
        <w:t xml:space="preserve">H. W. Kim, </w:t>
      </w:r>
      <w:r w:rsidRPr="0098496E">
        <w:rPr>
          <w:rFonts w:ascii="Arial" w:hAnsi="Arial" w:cs="Arial"/>
          <w:i/>
          <w:iCs/>
          <w:color w:val="000000"/>
          <w:sz w:val="20"/>
        </w:rPr>
        <w:t>et al.</w:t>
      </w:r>
      <w:r w:rsidRPr="0098496E">
        <w:rPr>
          <w:rFonts w:ascii="Arial" w:hAnsi="Arial" w:cs="Arial"/>
          <w:color w:val="000000"/>
          <w:sz w:val="20"/>
        </w:rPr>
        <w:t xml:space="preserve">, NPClassifier: A Deep Neural Network-Based Structural Classification Tool for Natural Products. </w:t>
      </w:r>
      <w:r w:rsidRPr="0098496E">
        <w:rPr>
          <w:rFonts w:ascii="Arial" w:hAnsi="Arial" w:cs="Arial"/>
          <w:i/>
          <w:iCs/>
          <w:color w:val="000000"/>
          <w:sz w:val="20"/>
        </w:rPr>
        <w:t>J. Nat. Prod.</w:t>
      </w:r>
      <w:r w:rsidRPr="0098496E">
        <w:rPr>
          <w:rFonts w:ascii="Arial" w:hAnsi="Arial" w:cs="Arial"/>
          <w:color w:val="000000"/>
          <w:sz w:val="20"/>
        </w:rPr>
        <w:t xml:space="preserve"> </w:t>
      </w:r>
      <w:r w:rsidRPr="0098496E">
        <w:rPr>
          <w:rFonts w:ascii="Arial" w:hAnsi="Arial" w:cs="Arial"/>
          <w:b/>
          <w:bCs/>
          <w:color w:val="000000"/>
          <w:sz w:val="20"/>
        </w:rPr>
        <w:t>84</w:t>
      </w:r>
      <w:r w:rsidRPr="0098496E">
        <w:rPr>
          <w:rFonts w:ascii="Arial" w:hAnsi="Arial" w:cs="Arial"/>
          <w:color w:val="000000"/>
          <w:sz w:val="20"/>
        </w:rPr>
        <w:t>, 2795–2807 (2021).</w:t>
      </w:r>
    </w:p>
    <w:p w14:paraId="0921823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114. </w:t>
      </w:r>
      <w:r w:rsidRPr="0098496E">
        <w:rPr>
          <w:rFonts w:ascii="Arial" w:hAnsi="Arial" w:cs="Arial"/>
          <w:color w:val="000000"/>
          <w:sz w:val="20"/>
        </w:rPr>
        <w:tab/>
        <w:t xml:space="preserve">J. Tobin, Estimation of Relationships for Limited Dependent Variables. </w:t>
      </w:r>
      <w:r w:rsidRPr="0098496E">
        <w:rPr>
          <w:rFonts w:ascii="Arial" w:hAnsi="Arial" w:cs="Arial"/>
          <w:i/>
          <w:iCs/>
          <w:color w:val="000000"/>
          <w:sz w:val="20"/>
        </w:rPr>
        <w:t>Econometrica</w:t>
      </w:r>
      <w:r w:rsidRPr="0098496E">
        <w:rPr>
          <w:rFonts w:ascii="Arial" w:hAnsi="Arial" w:cs="Arial"/>
          <w:color w:val="000000"/>
          <w:sz w:val="20"/>
        </w:rPr>
        <w:t xml:space="preserve"> </w:t>
      </w:r>
      <w:r w:rsidRPr="0098496E">
        <w:rPr>
          <w:rFonts w:ascii="Arial" w:hAnsi="Arial" w:cs="Arial"/>
          <w:b/>
          <w:bCs/>
          <w:color w:val="000000"/>
          <w:sz w:val="20"/>
        </w:rPr>
        <w:t>26</w:t>
      </w:r>
      <w:r w:rsidRPr="0098496E">
        <w:rPr>
          <w:rFonts w:ascii="Arial" w:hAnsi="Arial" w:cs="Arial"/>
          <w:color w:val="000000"/>
          <w:sz w:val="20"/>
        </w:rPr>
        <w:t>, 24–36 (1958).</w:t>
      </w:r>
    </w:p>
    <w:p w14:paraId="54B2741A" w14:textId="16F63DF1" w:rsidR="00E6133D" w:rsidRPr="00976B96" w:rsidRDefault="0098496E" w:rsidP="00976B96">
      <w:pPr>
        <w:pStyle w:val="Bibliography"/>
        <w:contextualSpacing/>
        <w:jc w:val="both"/>
        <w:rPr>
          <w:rFonts w:ascii="Arial" w:hAnsi="Arial" w:cs="Arial"/>
          <w:color w:val="333333"/>
          <w:sz w:val="20"/>
          <w:szCs w:val="20"/>
        </w:rPr>
      </w:pPr>
      <w:r w:rsidRPr="0098496E">
        <w:rPr>
          <w:rFonts w:ascii="Arial" w:hAnsi="Arial" w:cs="Arial"/>
          <w:color w:val="000000"/>
          <w:sz w:val="20"/>
        </w:rPr>
        <w:t xml:space="preserve">115. </w:t>
      </w:r>
      <w:r w:rsidRPr="0098496E">
        <w:rPr>
          <w:rFonts w:ascii="Arial" w:hAnsi="Arial" w:cs="Arial"/>
          <w:color w:val="000000"/>
          <w:sz w:val="20"/>
        </w:rPr>
        <w:tab/>
        <w:t xml:space="preserve">K. Pearson, LIII. On lines and planes of closest fit to systems of points in space. </w:t>
      </w:r>
      <w:r w:rsidRPr="0098496E">
        <w:rPr>
          <w:rFonts w:ascii="Arial" w:hAnsi="Arial" w:cs="Arial"/>
          <w:i/>
          <w:iCs/>
          <w:color w:val="000000"/>
          <w:sz w:val="20"/>
        </w:rPr>
        <w:t>The London, Edinburgh, and Dublin Philosophical Magazine and Journal of Science</w:t>
      </w:r>
      <w:r w:rsidRPr="0098496E">
        <w:rPr>
          <w:rFonts w:ascii="Arial" w:hAnsi="Arial" w:cs="Arial"/>
          <w:color w:val="000000"/>
          <w:sz w:val="20"/>
        </w:rPr>
        <w:t xml:space="preserve"> </w:t>
      </w:r>
      <w:r w:rsidRPr="0098496E">
        <w:rPr>
          <w:rFonts w:ascii="Arial" w:hAnsi="Arial" w:cs="Arial"/>
          <w:b/>
          <w:bCs/>
          <w:color w:val="000000"/>
          <w:sz w:val="20"/>
        </w:rPr>
        <w:t>2</w:t>
      </w:r>
      <w:r w:rsidRPr="0098496E">
        <w:rPr>
          <w:rFonts w:ascii="Arial" w:hAnsi="Arial" w:cs="Arial"/>
          <w:color w:val="000000"/>
          <w:sz w:val="20"/>
        </w:rPr>
        <w:t>, 559–572 (1901).</w:t>
      </w:r>
      <w:r>
        <w:rPr>
          <w:rFonts w:ascii="Arial" w:hAnsi="Arial" w:cs="Arial"/>
          <w:color w:val="333333"/>
          <w:sz w:val="20"/>
          <w:szCs w:val="20"/>
        </w:rPr>
        <w:fldChar w:fldCharType="end"/>
      </w:r>
    </w:p>
    <w:p w14:paraId="5D1CD93E" w14:textId="77777777"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 and Tables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3C0C1CF" w14:textId="723708C8" w:rsidR="00A53C6A" w:rsidRDefault="00A53C6A" w:rsidP="00A279A0">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noProof/>
          <w:color w:val="000000"/>
          <w:sz w:val="20"/>
          <w:szCs w:val="20"/>
        </w:rPr>
        <w:drawing>
          <wp:inline distT="0" distB="0" distL="0" distR="0" wp14:anchorId="4458C43C" wp14:editId="43503C55">
            <wp:extent cx="5486400" cy="6701790"/>
            <wp:effectExtent l="0" t="0" r="0" b="0"/>
            <wp:docPr id="88999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93813" name="Picture 889993813"/>
                    <pic:cNvPicPr/>
                  </pic:nvPicPr>
                  <pic:blipFill>
                    <a:blip r:embed="rId16"/>
                    <a:stretch>
                      <a:fillRect/>
                    </a:stretch>
                  </pic:blipFill>
                  <pic:spPr>
                    <a:xfrm>
                      <a:off x="0" y="0"/>
                      <a:ext cx="5486400" cy="6701790"/>
                    </a:xfrm>
                    <a:prstGeom prst="rect">
                      <a:avLst/>
                    </a:prstGeom>
                  </pic:spPr>
                </pic:pic>
              </a:graphicData>
            </a:graphic>
          </wp:inline>
        </w:drawing>
      </w:r>
    </w:p>
    <w:p w14:paraId="2A676FE0" w14:textId="6A5115DD" w:rsidR="00E6133D" w:rsidRPr="0098496E" w:rsidRDefault="00E6133D" w:rsidP="00A279A0">
      <w:pPr>
        <w:keepNext/>
        <w:pBdr>
          <w:top w:val="nil"/>
          <w:left w:val="nil"/>
          <w:bottom w:val="nil"/>
          <w:right w:val="nil"/>
          <w:between w:val="nil"/>
        </w:pBdr>
        <w:spacing w:before="240" w:after="60"/>
        <w:contextualSpacing/>
        <w:jc w:val="both"/>
        <w:rPr>
          <w:rFonts w:ascii="Arial" w:hAnsi="Arial" w:cs="Arial"/>
          <w:color w:val="000000"/>
          <w:sz w:val="20"/>
          <w:szCs w:val="20"/>
        </w:rPr>
      </w:pPr>
      <w:r w:rsidRPr="0098496E">
        <w:rPr>
          <w:rFonts w:ascii="Arial" w:hAnsi="Arial" w:cs="Arial"/>
          <w:b/>
          <w:color w:val="000000"/>
          <w:sz w:val="20"/>
          <w:szCs w:val="20"/>
        </w:rPr>
        <w:t>Fig</w:t>
      </w:r>
      <w:r w:rsidR="00980C22" w:rsidRPr="0098496E">
        <w:rPr>
          <w:rFonts w:ascii="Arial" w:hAnsi="Arial" w:cs="Arial"/>
          <w:b/>
          <w:color w:val="000000"/>
          <w:sz w:val="20"/>
          <w:szCs w:val="20"/>
        </w:rPr>
        <w:t>ure</w:t>
      </w:r>
      <w:r w:rsidRPr="0098496E">
        <w:rPr>
          <w:rFonts w:ascii="Arial" w:hAnsi="Arial" w:cs="Arial"/>
          <w:b/>
          <w:color w:val="000000"/>
          <w:sz w:val="20"/>
          <w:szCs w:val="20"/>
        </w:rPr>
        <w:t xml:space="preserve"> 1. </w:t>
      </w:r>
      <w:r w:rsidR="0098496E" w:rsidRPr="0098496E">
        <w:rPr>
          <w:rFonts w:ascii="Arial" w:hAnsi="Arial" w:cs="Arial"/>
          <w:b/>
          <w:bCs/>
          <w:sz w:val="20"/>
          <w:szCs w:val="20"/>
        </w:rPr>
        <w:t>Long-time fertilisation shapes soil bacterial community composition.</w:t>
      </w:r>
      <w:r w:rsidR="0098496E" w:rsidRPr="0098496E">
        <w:rPr>
          <w:rFonts w:ascii="Arial" w:hAnsi="Arial" w:cs="Arial"/>
          <w:sz w:val="20"/>
          <w:szCs w:val="20"/>
        </w:rPr>
        <w:t xml:space="preserve"> (A) Three soils were collected after 125 years of field fertilisation at the Askov long-term experiment (Christensen et al., 2022), including nitrogen, phosphorus, and potassium fertilised (NPK), phosphorus and potassium fertilised (PK), and unfertilised (UF) soil. Soils were subjected to 16S rRNA V5-V7 amplicon sequencing (n=3 per soil). (B) Alpha diversity (Chao1 index) of bacterial communities across soils calculated from a rarefied ASV table (minimum 1000 reads per sample). (C) Principal </w:t>
      </w:r>
      <w:r w:rsidR="0098496E" w:rsidRPr="0098496E">
        <w:rPr>
          <w:rFonts w:ascii="Arial" w:hAnsi="Arial" w:cs="Arial"/>
          <w:sz w:val="20"/>
          <w:szCs w:val="20"/>
        </w:rPr>
        <w:lastRenderedPageBreak/>
        <w:t>coordinates analysis (PCoA) based on Bray-Curtis distances. (D) Stacked bar plots showing cumulative mean relative abundance of the 20 most abundant bacterial orders (remaining taxa grouped as ”Other”). (E) Relative abundance of bacterial orders showing significant differences across soils. (F) Venn diagram showing overlap of ASVs detected across soils (present in ≥2 of 3 samples), Pie charts indicate taxonomic composition at order level for each section of the Venn diagram (top 20 orders shown individually; remaining taxa grouped as “Other”). Statistical significance was assessed using one-way ANOVA followed by Tukey’s HSD post hoc test (p&lt;0.05).</w:t>
      </w:r>
    </w:p>
    <w:p w14:paraId="5D3BAD94" w14:textId="065ED547" w:rsidR="00A53C6A" w:rsidRDefault="00A53C6A" w:rsidP="00E6133D">
      <w:pPr>
        <w:pBdr>
          <w:top w:val="nil"/>
          <w:left w:val="nil"/>
          <w:bottom w:val="nil"/>
          <w:right w:val="nil"/>
          <w:between w:val="nil"/>
        </w:pBdr>
        <w:contextualSpacing/>
        <w:rPr>
          <w:rFonts w:ascii="Arial" w:hAnsi="Arial" w:cs="Arial"/>
          <w:color w:val="000000"/>
          <w:sz w:val="20"/>
          <w:szCs w:val="20"/>
        </w:rPr>
      </w:pPr>
      <w:r>
        <w:rPr>
          <w:rFonts w:ascii="Arial" w:hAnsi="Arial" w:cs="Arial"/>
          <w:color w:val="000000"/>
          <w:sz w:val="20"/>
          <w:szCs w:val="20"/>
        </w:rPr>
        <w:br w:type="page"/>
      </w:r>
    </w:p>
    <w:p w14:paraId="7860B7A4" w14:textId="22874132" w:rsidR="00A53C6A" w:rsidRDefault="00A53C6A" w:rsidP="00A279A0">
      <w:pPr>
        <w:spacing w:after="0"/>
        <w:jc w:val="both"/>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39DCD024" wp14:editId="3FCDD1F8">
            <wp:extent cx="5486400" cy="6701790"/>
            <wp:effectExtent l="0" t="0" r="0" b="3810"/>
            <wp:docPr id="410538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8189" name="Picture 410538189"/>
                    <pic:cNvPicPr/>
                  </pic:nvPicPr>
                  <pic:blipFill>
                    <a:blip r:embed="rId17"/>
                    <a:stretch>
                      <a:fillRect/>
                    </a:stretch>
                  </pic:blipFill>
                  <pic:spPr>
                    <a:xfrm>
                      <a:off x="0" y="0"/>
                      <a:ext cx="5486400" cy="6701790"/>
                    </a:xfrm>
                    <a:prstGeom prst="rect">
                      <a:avLst/>
                    </a:prstGeom>
                  </pic:spPr>
                </pic:pic>
              </a:graphicData>
            </a:graphic>
          </wp:inline>
        </w:drawing>
      </w:r>
    </w:p>
    <w:p w14:paraId="00E2C86D" w14:textId="770166CE" w:rsidR="00980C22" w:rsidRPr="00A53C6A" w:rsidRDefault="00E6133D" w:rsidP="00A53C6A">
      <w:pPr>
        <w:spacing w:after="0"/>
        <w:jc w:val="both"/>
        <w:rPr>
          <w:rFonts w:ascii="Arial" w:hAnsi="Arial" w:cs="Arial"/>
          <w:sz w:val="20"/>
          <w:szCs w:val="20"/>
        </w:rPr>
      </w:pPr>
      <w:r w:rsidRPr="00A279A0">
        <w:rPr>
          <w:rFonts w:ascii="Arial" w:hAnsi="Arial" w:cs="Arial"/>
          <w:b/>
          <w:color w:val="000000"/>
          <w:sz w:val="20"/>
          <w:szCs w:val="20"/>
        </w:rPr>
        <w:t>Fig</w:t>
      </w:r>
      <w:r w:rsidR="00980C22" w:rsidRPr="00A279A0">
        <w:rPr>
          <w:rFonts w:ascii="Arial" w:hAnsi="Arial" w:cs="Arial"/>
          <w:b/>
          <w:color w:val="000000"/>
          <w:sz w:val="20"/>
          <w:szCs w:val="20"/>
        </w:rPr>
        <w:t>ure</w:t>
      </w:r>
      <w:r w:rsidRPr="00A279A0">
        <w:rPr>
          <w:rFonts w:ascii="Arial" w:hAnsi="Arial" w:cs="Arial"/>
          <w:b/>
          <w:color w:val="000000"/>
          <w:sz w:val="20"/>
          <w:szCs w:val="20"/>
        </w:rPr>
        <w:t xml:space="preserve"> 2. </w:t>
      </w:r>
      <w:r w:rsidR="00A279A0" w:rsidRPr="00A279A0">
        <w:rPr>
          <w:rFonts w:ascii="Arial" w:hAnsi="Arial" w:cs="Arial"/>
          <w:b/>
          <w:bCs/>
          <w:sz w:val="20"/>
          <w:szCs w:val="20"/>
        </w:rPr>
        <w:t xml:space="preserve">Soil legacy shapes plant growth and root-associated bacterial communities in </w:t>
      </w:r>
      <w:r w:rsidR="00A279A0" w:rsidRPr="00A279A0">
        <w:rPr>
          <w:rFonts w:ascii="Arial" w:hAnsi="Arial" w:cs="Arial"/>
          <w:b/>
          <w:bCs/>
          <w:i/>
          <w:iCs/>
          <w:sz w:val="20"/>
          <w:szCs w:val="20"/>
        </w:rPr>
        <w:t>Lotus japonicus</w:t>
      </w:r>
      <w:r w:rsidR="00A279A0" w:rsidRPr="00A279A0">
        <w:rPr>
          <w:rFonts w:ascii="Arial" w:hAnsi="Arial" w:cs="Arial"/>
          <w:b/>
          <w:bCs/>
          <w:sz w:val="20"/>
          <w:szCs w:val="20"/>
        </w:rPr>
        <w:t xml:space="preserve"> and </w:t>
      </w:r>
      <w:r w:rsidR="00A279A0" w:rsidRPr="00A279A0">
        <w:rPr>
          <w:rFonts w:ascii="Arial" w:hAnsi="Arial" w:cs="Arial"/>
          <w:b/>
          <w:bCs/>
          <w:i/>
          <w:iCs/>
          <w:sz w:val="20"/>
          <w:szCs w:val="20"/>
        </w:rPr>
        <w:t>Hordeum vulgare</w:t>
      </w:r>
      <w:r w:rsidR="00A279A0" w:rsidRPr="00A279A0">
        <w:rPr>
          <w:rFonts w:ascii="Arial" w:hAnsi="Arial" w:cs="Arial"/>
          <w:b/>
          <w:bCs/>
          <w:sz w:val="20"/>
          <w:szCs w:val="20"/>
        </w:rPr>
        <w:t>.</w:t>
      </w:r>
      <w:r w:rsidR="00A279A0" w:rsidRPr="00A279A0">
        <w:rPr>
          <w:rFonts w:ascii="Arial" w:hAnsi="Arial" w:cs="Arial"/>
          <w:sz w:val="20"/>
          <w:szCs w:val="20"/>
        </w:rPr>
        <w:t xml:space="preserve"> (A) Wild-type </w:t>
      </w:r>
      <w:r w:rsidR="00A279A0" w:rsidRPr="00A279A0">
        <w:rPr>
          <w:rFonts w:ascii="Arial" w:hAnsi="Arial" w:cs="Arial"/>
          <w:i/>
          <w:iCs/>
          <w:sz w:val="20"/>
          <w:szCs w:val="20"/>
        </w:rPr>
        <w:t xml:space="preserve">Lotus </w:t>
      </w:r>
      <w:r w:rsidR="00A279A0" w:rsidRPr="00A279A0">
        <w:rPr>
          <w:rFonts w:ascii="Arial" w:hAnsi="Arial" w:cs="Arial"/>
          <w:sz w:val="20"/>
          <w:szCs w:val="20"/>
        </w:rPr>
        <w:t xml:space="preserve">and </w:t>
      </w:r>
      <w:r w:rsidR="00A279A0" w:rsidRPr="00A279A0">
        <w:rPr>
          <w:rFonts w:ascii="Arial" w:hAnsi="Arial" w:cs="Arial"/>
          <w:i/>
          <w:iCs/>
          <w:sz w:val="20"/>
          <w:szCs w:val="20"/>
        </w:rPr>
        <w:t xml:space="preserve">Hordeum </w:t>
      </w:r>
      <w:r w:rsidR="00A279A0" w:rsidRPr="00A279A0">
        <w:rPr>
          <w:rFonts w:ascii="Arial" w:hAnsi="Arial" w:cs="Arial"/>
          <w:sz w:val="20"/>
          <w:szCs w:val="20"/>
        </w:rPr>
        <w:t xml:space="preserve">were grown for three weeks on nitrogen, phosphorus, and potassium fertilised (NPK), phosphorus and potassium fertilised (PK), or unfertilised (UF) soils. Each replicate consisted of three pots containing 10 plants per pot for </w:t>
      </w:r>
      <w:r w:rsidR="00A279A0" w:rsidRPr="00A279A0">
        <w:rPr>
          <w:rFonts w:ascii="Arial" w:hAnsi="Arial" w:cs="Arial"/>
          <w:i/>
          <w:iCs/>
          <w:sz w:val="20"/>
          <w:szCs w:val="20"/>
        </w:rPr>
        <w:t>Lotus</w:t>
      </w:r>
      <w:r w:rsidR="00A279A0" w:rsidRPr="00A279A0">
        <w:rPr>
          <w:rFonts w:ascii="Arial" w:hAnsi="Arial" w:cs="Arial"/>
          <w:sz w:val="20"/>
          <w:szCs w:val="20"/>
        </w:rPr>
        <w:t xml:space="preserve"> (n=60) and one plant per pot for </w:t>
      </w:r>
      <w:r w:rsidR="00A279A0" w:rsidRPr="00A279A0">
        <w:rPr>
          <w:rFonts w:ascii="Arial" w:hAnsi="Arial" w:cs="Arial"/>
          <w:i/>
          <w:iCs/>
          <w:sz w:val="20"/>
          <w:szCs w:val="20"/>
        </w:rPr>
        <w:t>Hordeum</w:t>
      </w:r>
      <w:r w:rsidR="00A279A0" w:rsidRPr="00A279A0">
        <w:rPr>
          <w:rFonts w:ascii="Arial" w:hAnsi="Arial" w:cs="Arial"/>
          <w:sz w:val="20"/>
          <w:szCs w:val="20"/>
        </w:rPr>
        <w:t xml:space="preserve"> (total n=18). Plants were pooled per replicate to collect rhizosphere, root, and nodule compartments for microbiome profiling using 16S rRNA V5-V7 amplicon sequencing (n=6 per plant-compartment combination). (B) Shoot fresh weight (g) per plant. (C) Number of pink nodules per </w:t>
      </w:r>
      <w:r w:rsidR="00A279A0" w:rsidRPr="00A279A0">
        <w:rPr>
          <w:rFonts w:ascii="Arial" w:hAnsi="Arial" w:cs="Arial"/>
          <w:i/>
          <w:iCs/>
          <w:sz w:val="20"/>
          <w:szCs w:val="20"/>
        </w:rPr>
        <w:t>Lotus</w:t>
      </w:r>
      <w:r w:rsidR="00A279A0" w:rsidRPr="00A279A0">
        <w:rPr>
          <w:rFonts w:ascii="Arial" w:hAnsi="Arial" w:cs="Arial"/>
          <w:sz w:val="20"/>
          <w:szCs w:val="20"/>
        </w:rPr>
        <w:t xml:space="preserve"> plant. (D) Constrained principal </w:t>
      </w:r>
      <w:r w:rsidR="00A279A0" w:rsidRPr="00A279A0">
        <w:rPr>
          <w:rFonts w:ascii="Arial" w:hAnsi="Arial" w:cs="Arial"/>
          <w:sz w:val="20"/>
          <w:szCs w:val="20"/>
        </w:rPr>
        <w:lastRenderedPageBreak/>
        <w:t xml:space="preserve">coordinates analysis (PCoA) of Bray-Curtis distances showing bacterial community composition in rhizosphere, root, and nodule (for </w:t>
      </w:r>
      <w:r w:rsidR="00A279A0" w:rsidRPr="00A279A0">
        <w:rPr>
          <w:rFonts w:ascii="Arial" w:hAnsi="Arial" w:cs="Arial"/>
          <w:i/>
          <w:iCs/>
          <w:sz w:val="20"/>
          <w:szCs w:val="20"/>
        </w:rPr>
        <w:t>Lotus</w:t>
      </w:r>
      <w:r w:rsidR="00A279A0" w:rsidRPr="00A279A0">
        <w:rPr>
          <w:rFonts w:ascii="Arial" w:hAnsi="Arial" w:cs="Arial"/>
          <w:sz w:val="20"/>
          <w:szCs w:val="20"/>
        </w:rPr>
        <w:t xml:space="preserve">) compartments. Shapes indicate compartment, and colours indicate soil. (E) Heatmap of the mean relative abundance of the top 20 bacterial orders (mean RA ≥1% across all rhizosphere and root samples, combining </w:t>
      </w:r>
      <w:r w:rsidR="00A279A0" w:rsidRPr="00A279A0">
        <w:rPr>
          <w:rFonts w:ascii="Arial" w:hAnsi="Arial" w:cs="Arial"/>
          <w:i/>
          <w:iCs/>
          <w:sz w:val="20"/>
          <w:szCs w:val="20"/>
        </w:rPr>
        <w:t>Lotus</w:t>
      </w:r>
      <w:r w:rsidR="00A279A0" w:rsidRPr="00A279A0">
        <w:rPr>
          <w:rFonts w:ascii="Arial" w:hAnsi="Arial" w:cs="Arial"/>
          <w:sz w:val="20"/>
          <w:szCs w:val="20"/>
        </w:rPr>
        <w:t xml:space="preserve"> and </w:t>
      </w:r>
      <w:r w:rsidR="00A279A0" w:rsidRPr="00A279A0">
        <w:rPr>
          <w:rFonts w:ascii="Arial" w:hAnsi="Arial" w:cs="Arial"/>
          <w:i/>
          <w:iCs/>
          <w:sz w:val="20"/>
          <w:szCs w:val="20"/>
        </w:rPr>
        <w:t>Hordeum</w:t>
      </w:r>
      <w:r w:rsidR="00A279A0" w:rsidRPr="00A279A0">
        <w:rPr>
          <w:rFonts w:ascii="Arial" w:hAnsi="Arial" w:cs="Arial"/>
          <w:sz w:val="20"/>
          <w:szCs w:val="20"/>
        </w:rPr>
        <w:t>). Lower-abundance orders are grouped as “Other”. Letters indicate significant differences between soils within each plant-compartment (</w:t>
      </w:r>
      <w:commentRangeStart w:id="7"/>
      <w:r w:rsidR="00A279A0" w:rsidRPr="00A279A0">
        <w:rPr>
          <w:rFonts w:ascii="Arial" w:hAnsi="Arial" w:cs="Arial"/>
          <w:sz w:val="20"/>
          <w:szCs w:val="20"/>
        </w:rPr>
        <w:t>one-way ANOVA, Tukey’s HSD, p &lt; 0.05</w:t>
      </w:r>
      <w:commentRangeEnd w:id="7"/>
      <w:r w:rsidR="00A279A0" w:rsidRPr="00A279A0">
        <w:rPr>
          <w:rStyle w:val="CommentReference"/>
          <w:rFonts w:ascii="Arial" w:hAnsi="Arial" w:cs="Arial"/>
          <w:sz w:val="20"/>
          <w:szCs w:val="20"/>
        </w:rPr>
        <w:commentReference w:id="7"/>
      </w:r>
      <w:r w:rsidR="00A279A0" w:rsidRPr="00A279A0">
        <w:rPr>
          <w:rFonts w:ascii="Arial" w:hAnsi="Arial" w:cs="Arial"/>
          <w:sz w:val="20"/>
          <w:szCs w:val="20"/>
        </w:rPr>
        <w:t>).</w:t>
      </w:r>
      <w:r w:rsidR="00A53C6A">
        <w:rPr>
          <w:rFonts w:ascii="Arial" w:hAnsi="Arial" w:cs="Arial"/>
          <w:color w:val="000000"/>
          <w:sz w:val="20"/>
          <w:szCs w:val="20"/>
        </w:rPr>
        <w:br w:type="page"/>
      </w:r>
    </w:p>
    <w:p w14:paraId="172FB426" w14:textId="2180391D" w:rsidR="00E6133D" w:rsidRPr="00F649EE" w:rsidRDefault="00A53C6A" w:rsidP="00E6133D">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4F1BE2A7" wp14:editId="12D403B4">
            <wp:extent cx="5486400" cy="6089015"/>
            <wp:effectExtent l="0" t="0" r="0" b="0"/>
            <wp:docPr id="937533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33520" name="Picture 937533520"/>
                    <pic:cNvPicPr/>
                  </pic:nvPicPr>
                  <pic:blipFill>
                    <a:blip r:embed="rId18"/>
                    <a:stretch>
                      <a:fillRect/>
                    </a:stretch>
                  </pic:blipFill>
                  <pic:spPr>
                    <a:xfrm>
                      <a:off x="0" y="0"/>
                      <a:ext cx="5486400" cy="6089015"/>
                    </a:xfrm>
                    <a:prstGeom prst="rect">
                      <a:avLst/>
                    </a:prstGeom>
                  </pic:spPr>
                </pic:pic>
              </a:graphicData>
            </a:graphic>
          </wp:inline>
        </w:drawing>
      </w:r>
    </w:p>
    <w:p w14:paraId="7F644786" w14:textId="4A07EAF9" w:rsidR="00A53C6A" w:rsidRDefault="00A279A0" w:rsidP="00A279A0">
      <w:pPr>
        <w:spacing w:after="0"/>
        <w:jc w:val="both"/>
        <w:rPr>
          <w:rFonts w:ascii="Arial" w:hAnsi="Arial" w:cs="Arial"/>
          <w:sz w:val="20"/>
          <w:szCs w:val="20"/>
        </w:rPr>
      </w:pPr>
      <w:r w:rsidRPr="00A279A0">
        <w:rPr>
          <w:rFonts w:ascii="Arial" w:hAnsi="Arial" w:cs="Arial"/>
          <w:b/>
          <w:color w:val="000000"/>
          <w:sz w:val="20"/>
          <w:szCs w:val="20"/>
        </w:rPr>
        <w:t xml:space="preserve">Figure </w:t>
      </w:r>
      <w:r>
        <w:rPr>
          <w:rFonts w:ascii="Arial" w:hAnsi="Arial" w:cs="Arial"/>
          <w:b/>
          <w:color w:val="000000"/>
          <w:sz w:val="20"/>
          <w:szCs w:val="20"/>
        </w:rPr>
        <w:t>3</w:t>
      </w:r>
      <w:r w:rsidRPr="00A279A0">
        <w:rPr>
          <w:rFonts w:ascii="Arial" w:hAnsi="Arial" w:cs="Arial"/>
          <w:b/>
          <w:color w:val="000000"/>
          <w:sz w:val="20"/>
          <w:szCs w:val="20"/>
        </w:rPr>
        <w:t xml:space="preserve">. </w:t>
      </w:r>
      <w:r w:rsidRPr="00A279A0">
        <w:rPr>
          <w:rFonts w:ascii="Arial" w:hAnsi="Arial" w:cs="Arial"/>
          <w:b/>
          <w:bCs/>
          <w:sz w:val="20"/>
          <w:szCs w:val="20"/>
        </w:rPr>
        <w:t>Prediction of plant nutrient status from bacterial community composition.</w:t>
      </w:r>
      <w:r w:rsidRPr="00A279A0">
        <w:rPr>
          <w:rFonts w:ascii="Arial" w:hAnsi="Arial" w:cs="Arial"/>
          <w:sz w:val="20"/>
          <w:szCs w:val="20"/>
        </w:rPr>
        <w:t xml:space="preserve"> (A) Schematic of the nested modelling approach used to predict soil type based on bacterial ASV profiles. Two binary classifiers were fitted using codacore: the first distinguishes nitrogen, phosphorus, and potassium fertilised (NPK) from non-NPK soils, and the second distinguishes phosphorus and potassium fertilised (PF) from unfertilised (UF) soils. Separate models were trained for </w:t>
      </w:r>
      <w:r w:rsidRPr="00A279A0">
        <w:rPr>
          <w:rFonts w:ascii="Arial" w:hAnsi="Arial" w:cs="Arial"/>
          <w:i/>
          <w:iCs/>
          <w:sz w:val="20"/>
          <w:szCs w:val="20"/>
        </w:rPr>
        <w:t>Lotus japonicus</w:t>
      </w:r>
      <w:r w:rsidRPr="00A279A0">
        <w:rPr>
          <w:rFonts w:ascii="Arial" w:hAnsi="Arial" w:cs="Arial"/>
          <w:sz w:val="20"/>
          <w:szCs w:val="20"/>
        </w:rPr>
        <w:t xml:space="preserve"> and </w:t>
      </w:r>
      <w:r w:rsidRPr="00A279A0">
        <w:rPr>
          <w:rFonts w:ascii="Arial" w:hAnsi="Arial" w:cs="Arial"/>
          <w:i/>
          <w:iCs/>
          <w:sz w:val="20"/>
          <w:szCs w:val="20"/>
        </w:rPr>
        <w:t>Hordeum vulgare</w:t>
      </w:r>
      <w:r w:rsidRPr="00A279A0">
        <w:rPr>
          <w:rFonts w:ascii="Arial" w:hAnsi="Arial" w:cs="Arial"/>
          <w:sz w:val="20"/>
          <w:szCs w:val="20"/>
        </w:rPr>
        <w:t xml:space="preserve">. Two-thirds of samples were used for training and one-third for testing with balanced representation of soils and genotypes (wild-type, </w:t>
      </w:r>
      <w:r w:rsidRPr="00A279A0">
        <w:rPr>
          <w:rFonts w:ascii="Arial" w:hAnsi="Arial" w:cs="Arial"/>
          <w:i/>
          <w:iCs/>
          <w:sz w:val="20"/>
          <w:szCs w:val="20"/>
        </w:rPr>
        <w:t>symrk</w:t>
      </w:r>
      <w:r w:rsidRPr="00A279A0">
        <w:rPr>
          <w:rFonts w:ascii="Arial" w:hAnsi="Arial" w:cs="Arial"/>
          <w:sz w:val="20"/>
          <w:szCs w:val="20"/>
        </w:rPr>
        <w:t xml:space="preserve">, </w:t>
      </w:r>
      <w:r w:rsidRPr="00A279A0">
        <w:rPr>
          <w:rFonts w:ascii="Arial" w:hAnsi="Arial" w:cs="Arial"/>
          <w:i/>
          <w:iCs/>
          <w:sz w:val="20"/>
          <w:szCs w:val="20"/>
        </w:rPr>
        <w:t>ccamk</w:t>
      </w:r>
      <w:r w:rsidRPr="00A279A0">
        <w:rPr>
          <w:rFonts w:ascii="Arial" w:hAnsi="Arial" w:cs="Arial"/>
          <w:sz w:val="20"/>
          <w:szCs w:val="20"/>
        </w:rPr>
        <w:t xml:space="preserve">, </w:t>
      </w:r>
      <w:r w:rsidRPr="00A279A0">
        <w:rPr>
          <w:rFonts w:ascii="Arial" w:hAnsi="Arial" w:cs="Arial"/>
          <w:i/>
          <w:iCs/>
          <w:sz w:val="20"/>
          <w:szCs w:val="20"/>
        </w:rPr>
        <w:t>nsp1</w:t>
      </w:r>
      <w:r w:rsidRPr="00A279A0">
        <w:rPr>
          <w:rFonts w:ascii="Arial" w:hAnsi="Arial" w:cs="Arial"/>
          <w:sz w:val="20"/>
          <w:szCs w:val="20"/>
        </w:rPr>
        <w:t xml:space="preserve">, </w:t>
      </w:r>
      <w:r w:rsidRPr="00A279A0">
        <w:rPr>
          <w:rFonts w:ascii="Arial" w:hAnsi="Arial" w:cs="Arial"/>
          <w:i/>
          <w:iCs/>
          <w:sz w:val="20"/>
          <w:szCs w:val="20"/>
        </w:rPr>
        <w:t>nsp2</w:t>
      </w:r>
      <w:r w:rsidRPr="00A279A0">
        <w:rPr>
          <w:rFonts w:ascii="Arial" w:hAnsi="Arial" w:cs="Arial"/>
          <w:sz w:val="20"/>
          <w:szCs w:val="20"/>
        </w:rPr>
        <w:t xml:space="preserve">). (B) Prediction results for the test dataset. The x-axis indicates true soil type and the y-axis indicates predicted soil type. Each point represents one sample; bubbles on the diagonal indicate correct predictions and off-diagonal bubbles indicate indicate misclassifications. (C) Log-ratio features selected by each model, showing the number of ASVs included in each log ratio (numbers in parantheses) and prediction accuracy for the test dataset. Model 1 corresponds to </w:t>
      </w:r>
      <w:r w:rsidRPr="00A279A0">
        <w:rPr>
          <w:rFonts w:ascii="Arial" w:hAnsi="Arial" w:cs="Arial"/>
          <w:sz w:val="20"/>
          <w:szCs w:val="20"/>
        </w:rPr>
        <w:lastRenderedPageBreak/>
        <w:t>NPK versus non-NPK classification (NPK ratios) and Model 2 corresponds to PK versus UF classification (PK ratios). (D) Mean cumulative relative abundance of ASVs used in prediction (all log-ratio components across both models) grouped by bacterial order.</w:t>
      </w:r>
      <w:r w:rsidR="00A53C6A">
        <w:rPr>
          <w:rFonts w:ascii="Arial" w:hAnsi="Arial" w:cs="Arial"/>
          <w:sz w:val="20"/>
          <w:szCs w:val="20"/>
        </w:rPr>
        <w:br w:type="page"/>
      </w:r>
    </w:p>
    <w:p w14:paraId="6BCF0F05" w14:textId="1BD9CD31" w:rsidR="00A279A0" w:rsidRDefault="003C2964"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0DA186D4" wp14:editId="73267835">
            <wp:extent cx="5486400" cy="6701790"/>
            <wp:effectExtent l="0" t="0" r="0" b="3810"/>
            <wp:docPr id="1307730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30826" name="Picture 1307730826"/>
                    <pic:cNvPicPr/>
                  </pic:nvPicPr>
                  <pic:blipFill>
                    <a:blip r:embed="rId19"/>
                    <a:stretch>
                      <a:fillRect/>
                    </a:stretch>
                  </pic:blipFill>
                  <pic:spPr>
                    <a:xfrm>
                      <a:off x="0" y="0"/>
                      <a:ext cx="5486400" cy="6701790"/>
                    </a:xfrm>
                    <a:prstGeom prst="rect">
                      <a:avLst/>
                    </a:prstGeom>
                  </pic:spPr>
                </pic:pic>
              </a:graphicData>
            </a:graphic>
          </wp:inline>
        </w:drawing>
      </w:r>
    </w:p>
    <w:p w14:paraId="3D7C514D" w14:textId="40E019CF" w:rsidR="003C2964" w:rsidRDefault="00A279A0" w:rsidP="00A279A0">
      <w:pPr>
        <w:spacing w:after="0"/>
        <w:jc w:val="both"/>
        <w:rPr>
          <w:rFonts w:ascii="Arial" w:hAnsi="Arial" w:cs="Arial"/>
          <w:sz w:val="20"/>
          <w:szCs w:val="20"/>
        </w:rPr>
      </w:pPr>
      <w:r w:rsidRPr="00A279A0">
        <w:rPr>
          <w:rFonts w:ascii="Arial" w:hAnsi="Arial" w:cs="Arial"/>
          <w:b/>
          <w:color w:val="000000"/>
          <w:sz w:val="20"/>
          <w:szCs w:val="20"/>
        </w:rPr>
        <w:t xml:space="preserve">Figure 4. </w:t>
      </w:r>
      <w:r w:rsidRPr="00A279A0">
        <w:rPr>
          <w:rFonts w:ascii="Arial" w:hAnsi="Arial" w:cs="Arial"/>
          <w:b/>
          <w:bCs/>
          <w:sz w:val="20"/>
          <w:szCs w:val="20"/>
        </w:rPr>
        <w:t xml:space="preserve">Symbiosis signalling shapes host-specific plant growth and root-associated microbiota. </w:t>
      </w:r>
      <w:r w:rsidRPr="00A279A0">
        <w:rPr>
          <w:rFonts w:ascii="Arial" w:hAnsi="Arial" w:cs="Arial"/>
          <w:sz w:val="20"/>
          <w:szCs w:val="20"/>
        </w:rPr>
        <w:t xml:space="preserve">(A) </w:t>
      </w:r>
      <w:r w:rsidRPr="00A279A0">
        <w:rPr>
          <w:rFonts w:ascii="Arial" w:hAnsi="Arial" w:cs="Arial"/>
          <w:i/>
          <w:iCs/>
          <w:sz w:val="20"/>
          <w:szCs w:val="20"/>
        </w:rPr>
        <w:t>Lotus</w:t>
      </w:r>
      <w:r w:rsidRPr="00A279A0">
        <w:rPr>
          <w:rFonts w:ascii="Arial" w:hAnsi="Arial" w:cs="Arial"/>
          <w:sz w:val="20"/>
          <w:szCs w:val="20"/>
        </w:rPr>
        <w:t xml:space="preserve"> and </w:t>
      </w:r>
      <w:r w:rsidRPr="00A279A0">
        <w:rPr>
          <w:rFonts w:ascii="Arial" w:hAnsi="Arial" w:cs="Arial"/>
          <w:i/>
          <w:iCs/>
          <w:sz w:val="20"/>
          <w:szCs w:val="20"/>
        </w:rPr>
        <w:t>Hordeum</w:t>
      </w:r>
      <w:r w:rsidRPr="00A279A0">
        <w:rPr>
          <w:rFonts w:ascii="Arial" w:hAnsi="Arial" w:cs="Arial"/>
          <w:sz w:val="20"/>
          <w:szCs w:val="20"/>
        </w:rPr>
        <w:t xml:space="preserve"> wild-type and symbiosis mutants (</w:t>
      </w:r>
      <w:r w:rsidRPr="00A279A0">
        <w:rPr>
          <w:rFonts w:ascii="Arial" w:hAnsi="Arial" w:cs="Arial"/>
          <w:i/>
          <w:iCs/>
          <w:sz w:val="20"/>
          <w:szCs w:val="20"/>
        </w:rPr>
        <w:t>symrk</w:t>
      </w:r>
      <w:r w:rsidRPr="00A279A0">
        <w:rPr>
          <w:rFonts w:ascii="Arial" w:hAnsi="Arial" w:cs="Arial"/>
          <w:sz w:val="20"/>
          <w:szCs w:val="20"/>
        </w:rPr>
        <w:t xml:space="preserve">, </w:t>
      </w:r>
      <w:r w:rsidRPr="00A279A0">
        <w:rPr>
          <w:rFonts w:ascii="Arial" w:hAnsi="Arial" w:cs="Arial"/>
          <w:i/>
          <w:iCs/>
          <w:sz w:val="20"/>
          <w:szCs w:val="20"/>
        </w:rPr>
        <w:t>ccamk</w:t>
      </w:r>
      <w:r w:rsidRPr="00A279A0">
        <w:rPr>
          <w:rFonts w:ascii="Arial" w:hAnsi="Arial" w:cs="Arial"/>
          <w:sz w:val="20"/>
          <w:szCs w:val="20"/>
        </w:rPr>
        <w:t xml:space="preserve">, </w:t>
      </w:r>
      <w:r w:rsidRPr="00A279A0">
        <w:rPr>
          <w:rFonts w:ascii="Arial" w:hAnsi="Arial" w:cs="Arial"/>
          <w:i/>
          <w:iCs/>
          <w:sz w:val="20"/>
          <w:szCs w:val="20"/>
        </w:rPr>
        <w:t>nsp1</w:t>
      </w:r>
      <w:r w:rsidRPr="00A279A0">
        <w:rPr>
          <w:rFonts w:ascii="Arial" w:hAnsi="Arial" w:cs="Arial"/>
          <w:sz w:val="20"/>
          <w:szCs w:val="20"/>
        </w:rPr>
        <w:t xml:space="preserve">, </w:t>
      </w:r>
      <w:r w:rsidRPr="00A279A0">
        <w:rPr>
          <w:rFonts w:ascii="Arial" w:hAnsi="Arial" w:cs="Arial"/>
          <w:i/>
          <w:iCs/>
          <w:sz w:val="20"/>
          <w:szCs w:val="20"/>
        </w:rPr>
        <w:t>nsp2</w:t>
      </w:r>
      <w:r w:rsidRPr="00A279A0">
        <w:rPr>
          <w:rFonts w:ascii="Arial" w:hAnsi="Arial" w:cs="Arial"/>
          <w:sz w:val="20"/>
          <w:szCs w:val="20"/>
        </w:rPr>
        <w:t xml:space="preserve">) were grown for three weeks in NPK, PK, or UF soils; rhizosphere and root microbiome samples were collected as described in Figure 2. (B) Shoot fresh weight (g) per plant (n=60 for </w:t>
      </w:r>
      <w:r w:rsidRPr="00A279A0">
        <w:rPr>
          <w:rFonts w:ascii="Arial" w:hAnsi="Arial" w:cs="Arial"/>
          <w:i/>
          <w:iCs/>
          <w:sz w:val="20"/>
          <w:szCs w:val="20"/>
        </w:rPr>
        <w:t>Lotus</w:t>
      </w:r>
      <w:r w:rsidRPr="00A279A0">
        <w:rPr>
          <w:rFonts w:ascii="Arial" w:hAnsi="Arial" w:cs="Arial"/>
          <w:sz w:val="20"/>
          <w:szCs w:val="20"/>
        </w:rPr>
        <w:t xml:space="preserve"> and n=18 for </w:t>
      </w:r>
      <w:r w:rsidRPr="00A279A0">
        <w:rPr>
          <w:rFonts w:ascii="Arial" w:hAnsi="Arial" w:cs="Arial"/>
          <w:i/>
          <w:iCs/>
          <w:sz w:val="20"/>
          <w:szCs w:val="20"/>
        </w:rPr>
        <w:t>Hordeum</w:t>
      </w:r>
      <w:r w:rsidRPr="00A279A0">
        <w:rPr>
          <w:rFonts w:ascii="Arial" w:hAnsi="Arial" w:cs="Arial"/>
          <w:sz w:val="20"/>
          <w:szCs w:val="20"/>
        </w:rPr>
        <w:t xml:space="preserve"> for most genotypes). (C) Constrained PCoA of Bray-Curtis distances showing bacterial community composition in root samples across all soils, with colours indicating genotype and shapes indicating soil type (left), and unconstrained PCoA of root samples from UF soil coloured by genotype (right). Extended PCoA plots, including rhizosphere and individual soil </w:t>
      </w:r>
      <w:r w:rsidRPr="00A279A0">
        <w:rPr>
          <w:rFonts w:ascii="Arial" w:hAnsi="Arial" w:cs="Arial"/>
          <w:sz w:val="20"/>
          <w:szCs w:val="20"/>
        </w:rPr>
        <w:lastRenderedPageBreak/>
        <w:t xml:space="preserve">compartments, are shown in </w:t>
      </w:r>
      <w:r w:rsidRPr="00A279A0">
        <w:rPr>
          <w:rFonts w:ascii="Arial" w:hAnsi="Arial" w:cs="Arial"/>
          <w:sz w:val="20"/>
          <w:szCs w:val="20"/>
          <w:highlight w:val="cyan"/>
        </w:rPr>
        <w:t>Suppl. Fig. 3C-F</w:t>
      </w:r>
      <w:r w:rsidRPr="00A279A0">
        <w:rPr>
          <w:rFonts w:ascii="Arial" w:hAnsi="Arial" w:cs="Arial"/>
          <w:sz w:val="20"/>
          <w:szCs w:val="20"/>
        </w:rPr>
        <w:t>. (D) Heatmap of ASVs with differential abundance (DA ASVs; identified via MaAsLin2 and structural zero analysis) in at least one mutant relative to wild-type across compartment-soil combinations. Depleted ASVs are shown in blue, enriched ASVs in red. The top bar indicates taxonomic assignment at the order level (top20 bacterial orders shown; others grouped as “Other”). Numbers in brackets indicate the total DA ASVs per compartment-soil-genotype combination. Bars to the right show the mean cumulative relative abundance of DA ASVs in the corresponding wild-type compartment.</w:t>
      </w:r>
      <w:r w:rsidR="003C2964">
        <w:rPr>
          <w:rFonts w:ascii="Arial" w:hAnsi="Arial" w:cs="Arial"/>
          <w:sz w:val="20"/>
          <w:szCs w:val="20"/>
        </w:rPr>
        <w:br w:type="page"/>
      </w:r>
    </w:p>
    <w:p w14:paraId="23A5CDC3" w14:textId="436765DC" w:rsidR="00A279A0" w:rsidRDefault="003C2964"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70BB91F8" wp14:editId="4CB7B6B2">
            <wp:extent cx="5486400" cy="6701790"/>
            <wp:effectExtent l="0" t="0" r="0" b="3810"/>
            <wp:docPr id="143169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738" name="Picture 143169738"/>
                    <pic:cNvPicPr/>
                  </pic:nvPicPr>
                  <pic:blipFill>
                    <a:blip r:embed="rId20"/>
                    <a:stretch>
                      <a:fillRect/>
                    </a:stretch>
                  </pic:blipFill>
                  <pic:spPr>
                    <a:xfrm>
                      <a:off x="0" y="0"/>
                      <a:ext cx="5486400" cy="6701790"/>
                    </a:xfrm>
                    <a:prstGeom prst="rect">
                      <a:avLst/>
                    </a:prstGeom>
                  </pic:spPr>
                </pic:pic>
              </a:graphicData>
            </a:graphic>
          </wp:inline>
        </w:drawing>
      </w:r>
    </w:p>
    <w:p w14:paraId="109D8323" w14:textId="2AF4DC81" w:rsidR="003C2964" w:rsidRDefault="00A279A0" w:rsidP="00A279A0">
      <w:pPr>
        <w:spacing w:after="0"/>
        <w:jc w:val="both"/>
        <w:rPr>
          <w:rFonts w:ascii="Arial" w:hAnsi="Arial" w:cs="Arial"/>
          <w:sz w:val="20"/>
          <w:szCs w:val="20"/>
        </w:rPr>
      </w:pPr>
      <w:r w:rsidRPr="00A279A0">
        <w:rPr>
          <w:rFonts w:ascii="Arial" w:hAnsi="Arial" w:cs="Arial"/>
          <w:b/>
          <w:color w:val="000000"/>
          <w:sz w:val="20"/>
          <w:szCs w:val="20"/>
        </w:rPr>
        <w:t xml:space="preserve">Figure 5. </w:t>
      </w:r>
      <w:r w:rsidRPr="00A279A0">
        <w:rPr>
          <w:rFonts w:ascii="Arial" w:hAnsi="Arial" w:cs="Arial"/>
          <w:b/>
          <w:bCs/>
          <w:sz w:val="20"/>
          <w:szCs w:val="20"/>
        </w:rPr>
        <w:t xml:space="preserve">Root exudation profiles are altered in CSSP mutants of </w:t>
      </w:r>
      <w:r w:rsidRPr="00A279A0">
        <w:rPr>
          <w:rFonts w:ascii="Arial" w:hAnsi="Arial" w:cs="Arial"/>
          <w:b/>
          <w:bCs/>
          <w:i/>
          <w:iCs/>
          <w:sz w:val="20"/>
          <w:szCs w:val="20"/>
        </w:rPr>
        <w:t>Lotus</w:t>
      </w:r>
      <w:r w:rsidRPr="00A279A0">
        <w:rPr>
          <w:rFonts w:ascii="Arial" w:hAnsi="Arial" w:cs="Arial"/>
          <w:b/>
          <w:bCs/>
          <w:sz w:val="20"/>
          <w:szCs w:val="20"/>
        </w:rPr>
        <w:t xml:space="preserve"> and </w:t>
      </w:r>
      <w:r w:rsidRPr="00A279A0">
        <w:rPr>
          <w:rFonts w:ascii="Arial" w:hAnsi="Arial" w:cs="Arial"/>
          <w:b/>
          <w:bCs/>
          <w:i/>
          <w:iCs/>
          <w:sz w:val="20"/>
          <w:szCs w:val="20"/>
        </w:rPr>
        <w:t>Hordeum</w:t>
      </w:r>
      <w:r w:rsidRPr="00A279A0">
        <w:rPr>
          <w:rFonts w:ascii="Arial" w:hAnsi="Arial" w:cs="Arial"/>
          <w:b/>
          <w:bCs/>
          <w:sz w:val="20"/>
          <w:szCs w:val="20"/>
        </w:rPr>
        <w:t>.</w:t>
      </w:r>
      <w:r w:rsidRPr="00A279A0">
        <w:rPr>
          <w:rFonts w:ascii="Arial" w:hAnsi="Arial" w:cs="Arial"/>
          <w:sz w:val="20"/>
          <w:szCs w:val="20"/>
        </w:rPr>
        <w:t xml:space="preserve"> Sterile, non-inoculated wild-type and CSSP mutant seedlings were cultivated under controlled, microbe-free conditions (</w:t>
      </w:r>
      <w:r w:rsidRPr="00A279A0">
        <w:rPr>
          <w:rFonts w:ascii="Arial" w:hAnsi="Arial" w:cs="Arial"/>
          <w:i/>
          <w:iCs/>
          <w:sz w:val="20"/>
          <w:szCs w:val="20"/>
        </w:rPr>
        <w:t>Lotus</w:t>
      </w:r>
      <w:r w:rsidRPr="00A279A0">
        <w:rPr>
          <w:rFonts w:ascii="Arial" w:hAnsi="Arial" w:cs="Arial"/>
          <w:sz w:val="20"/>
          <w:szCs w:val="20"/>
        </w:rPr>
        <w:t xml:space="preserve">: 6 biological replicates per genotype, 12 plants per replicate; </w:t>
      </w:r>
      <w:r w:rsidRPr="00A279A0">
        <w:rPr>
          <w:rFonts w:ascii="Arial" w:hAnsi="Arial" w:cs="Arial"/>
          <w:i/>
          <w:iCs/>
          <w:sz w:val="20"/>
          <w:szCs w:val="20"/>
        </w:rPr>
        <w:t>Hordeum</w:t>
      </w:r>
      <w:r w:rsidRPr="00A279A0">
        <w:rPr>
          <w:rFonts w:ascii="Arial" w:hAnsi="Arial" w:cs="Arial"/>
          <w:sz w:val="20"/>
          <w:szCs w:val="20"/>
        </w:rPr>
        <w:t>: 6 biological replicates, one plant per replicate) and root exudates were collected for non-targeted LC-MS/MS analysis. (A) 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Pr="00A279A0">
        <w:rPr>
          <w:rFonts w:ascii="Arial" w:hAnsi="Arial" w:cs="Arial"/>
          <w:sz w:val="20"/>
          <w:szCs w:val="20"/>
          <w:vertAlign w:val="subscript"/>
        </w:rPr>
        <w:t>2</w:t>
      </w:r>
      <w:r w:rsidRPr="00A279A0">
        <w:rPr>
          <w:rFonts w:ascii="Arial" w:hAnsi="Arial" w:cs="Arial"/>
          <w:sz w:val="20"/>
          <w:szCs w:val="20"/>
        </w:rPr>
        <w:t xml:space="preserve"> fold change and y-axis showing -log</w:t>
      </w:r>
      <w:r w:rsidRPr="00A279A0">
        <w:rPr>
          <w:rFonts w:ascii="Arial" w:hAnsi="Arial" w:cs="Arial"/>
          <w:sz w:val="20"/>
          <w:szCs w:val="20"/>
          <w:vertAlign w:val="subscript"/>
        </w:rPr>
        <w:t>10</w:t>
      </w:r>
      <w:r w:rsidRPr="00A279A0">
        <w:rPr>
          <w:rFonts w:ascii="Arial" w:hAnsi="Arial" w:cs="Arial"/>
          <w:sz w:val="20"/>
          <w:szCs w:val="20"/>
        </w:rPr>
        <w:t xml:space="preserve"> p-value adjusted </w:t>
      </w:r>
      <w:r w:rsidRPr="00A279A0">
        <w:rPr>
          <w:rFonts w:ascii="Arial" w:hAnsi="Arial" w:cs="Arial"/>
          <w:sz w:val="20"/>
          <w:szCs w:val="20"/>
        </w:rPr>
        <w:lastRenderedPageBreak/>
        <w:t>for false discovery rate (FDR) with Benjamini Hochberg. Dots are coloured by depletion (blue), enrichment (red), or not significant (gray). The number in each panel indicates the total number of significantly differentially exuded metabolites (DEMs) for the genotype. Features with estimated log</w:t>
      </w:r>
      <w:r w:rsidRPr="00A279A0">
        <w:rPr>
          <w:rFonts w:ascii="Arial" w:hAnsi="Arial" w:cs="Arial"/>
          <w:sz w:val="20"/>
          <w:szCs w:val="20"/>
          <w:vertAlign w:val="subscript"/>
        </w:rPr>
        <w:t>2</w:t>
      </w:r>
      <w:r w:rsidRPr="00A279A0">
        <w:rPr>
          <w:rFonts w:ascii="Arial" w:hAnsi="Arial" w:cs="Arial"/>
          <w:sz w:val="20"/>
          <w:szCs w:val="20"/>
        </w:rPr>
        <w:t xml:space="preserve"> fold-change above 30 were omitted for visual clarity. (C) Bubble plot summarising the total number of DEMs per genotype (x-axis) and their distribution across chemical classes (ClassyFire annotation). Bubble size reflects the number of DEMs per class, and bubble colour indicates the proportion of mostly depleted (blue), mixed (white), or mostly enriched (red) metabolites relative to wild-type. For visual purposes, only classes where at least two metabolites are differentially exuded in at least one mutant compared to wild-type are shown. (D) Boxplots for selected DEMs with high-confidence structure annotations, showing intensity (y-axis) across genotypes (x-axis); asterisks indicate significant differences relative to wild-type (linear regression with t-tests, p&lt;0.05 after adjusting for multiple testing with Benjamini Hochberg). Details on growth setups, LC-MS/MS conditions, and data processing can be found in Material and Methods.</w:t>
      </w:r>
      <w:r w:rsidR="003C2964">
        <w:rPr>
          <w:rFonts w:ascii="Arial" w:hAnsi="Arial" w:cs="Arial"/>
          <w:sz w:val="20"/>
          <w:szCs w:val="20"/>
        </w:rPr>
        <w:br w:type="page"/>
      </w:r>
    </w:p>
    <w:p w14:paraId="55D61A8F" w14:textId="2FC70BCA" w:rsidR="00A279A0" w:rsidRDefault="003C2964"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021C056D" wp14:editId="568D8F61">
            <wp:extent cx="5486400" cy="6701790"/>
            <wp:effectExtent l="0" t="0" r="0" b="3810"/>
            <wp:docPr id="1267391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1329" name="Picture 1267391329"/>
                    <pic:cNvPicPr/>
                  </pic:nvPicPr>
                  <pic:blipFill>
                    <a:blip r:embed="rId21"/>
                    <a:stretch>
                      <a:fillRect/>
                    </a:stretch>
                  </pic:blipFill>
                  <pic:spPr>
                    <a:xfrm>
                      <a:off x="0" y="0"/>
                      <a:ext cx="5486400" cy="6701790"/>
                    </a:xfrm>
                    <a:prstGeom prst="rect">
                      <a:avLst/>
                    </a:prstGeom>
                  </pic:spPr>
                </pic:pic>
              </a:graphicData>
            </a:graphic>
          </wp:inline>
        </w:drawing>
      </w:r>
    </w:p>
    <w:p w14:paraId="2AB59681" w14:textId="7C918582" w:rsidR="0030487D" w:rsidRPr="0030487D" w:rsidRDefault="00A279A0" w:rsidP="008374FE">
      <w:pPr>
        <w:spacing w:after="0"/>
        <w:jc w:val="both"/>
        <w:rPr>
          <w:rFonts w:ascii="Arial" w:hAnsi="Arial" w:cs="Arial"/>
          <w:b/>
          <w:bCs/>
          <w:sz w:val="20"/>
          <w:szCs w:val="20"/>
        </w:rPr>
      </w:pPr>
      <w:r w:rsidRPr="00A279A0">
        <w:rPr>
          <w:rFonts w:ascii="Arial" w:hAnsi="Arial" w:cs="Arial"/>
          <w:b/>
          <w:color w:val="000000"/>
          <w:sz w:val="20"/>
          <w:szCs w:val="20"/>
        </w:rPr>
        <w:t xml:space="preserve">Figure 6. </w:t>
      </w:r>
      <w:r w:rsidRPr="00A279A0">
        <w:rPr>
          <w:rFonts w:ascii="Arial" w:hAnsi="Arial" w:cs="Arial"/>
          <w:b/>
          <w:bCs/>
          <w:sz w:val="20"/>
          <w:szCs w:val="20"/>
        </w:rPr>
        <w:t xml:space="preserve">Synthetic community reconstitution experiments reveal plant-mediated shifts in root microbiota of symbiosis mutants. </w:t>
      </w:r>
      <w:r w:rsidRPr="00A279A0">
        <w:rPr>
          <w:rFonts w:ascii="Arial" w:hAnsi="Arial" w:cs="Arial"/>
          <w:sz w:val="20"/>
          <w:szCs w:val="20"/>
        </w:rPr>
        <w:t xml:space="preserve">(A) </w:t>
      </w:r>
      <w:r w:rsidRPr="00A279A0">
        <w:rPr>
          <w:rFonts w:ascii="Arial" w:hAnsi="Arial" w:cs="Arial"/>
          <w:i/>
          <w:iCs/>
          <w:sz w:val="20"/>
          <w:szCs w:val="20"/>
        </w:rPr>
        <w:t>Lotus</w:t>
      </w:r>
      <w:r w:rsidRPr="00A279A0">
        <w:rPr>
          <w:rFonts w:ascii="Arial" w:hAnsi="Arial" w:cs="Arial"/>
          <w:sz w:val="20"/>
          <w:szCs w:val="20"/>
        </w:rPr>
        <w:t xml:space="preserve"> and </w:t>
      </w:r>
      <w:r w:rsidRPr="00A279A0">
        <w:rPr>
          <w:rFonts w:ascii="Arial" w:hAnsi="Arial" w:cs="Arial"/>
          <w:i/>
          <w:iCs/>
          <w:sz w:val="20"/>
          <w:szCs w:val="20"/>
        </w:rPr>
        <w:t>Hordeum</w:t>
      </w:r>
      <w:r w:rsidRPr="00A279A0">
        <w:rPr>
          <w:rFonts w:ascii="Arial" w:hAnsi="Arial" w:cs="Arial"/>
          <w:sz w:val="20"/>
          <w:szCs w:val="20"/>
        </w:rPr>
        <w:t xml:space="preserve"> wild-type and symbiosis mutants (</w:t>
      </w:r>
      <w:r w:rsidRPr="00A279A0">
        <w:rPr>
          <w:rFonts w:ascii="Arial" w:hAnsi="Arial" w:cs="Arial"/>
          <w:i/>
          <w:iCs/>
          <w:sz w:val="20"/>
          <w:szCs w:val="20"/>
        </w:rPr>
        <w:t>symrk</w:t>
      </w:r>
      <w:r w:rsidRPr="00A279A0">
        <w:rPr>
          <w:rFonts w:ascii="Arial" w:hAnsi="Arial" w:cs="Arial"/>
          <w:sz w:val="20"/>
          <w:szCs w:val="20"/>
        </w:rPr>
        <w:t xml:space="preserve">, </w:t>
      </w:r>
      <w:r w:rsidRPr="00A279A0">
        <w:rPr>
          <w:rFonts w:ascii="Arial" w:hAnsi="Arial" w:cs="Arial"/>
          <w:i/>
          <w:iCs/>
          <w:sz w:val="20"/>
          <w:szCs w:val="20"/>
        </w:rPr>
        <w:t>ccamk</w:t>
      </w:r>
      <w:r w:rsidRPr="00A279A0">
        <w:rPr>
          <w:rFonts w:ascii="Arial" w:hAnsi="Arial" w:cs="Arial"/>
          <w:sz w:val="20"/>
          <w:szCs w:val="20"/>
        </w:rPr>
        <w:t xml:space="preserve">, </w:t>
      </w:r>
      <w:r w:rsidRPr="00A279A0">
        <w:rPr>
          <w:rFonts w:ascii="Arial" w:hAnsi="Arial" w:cs="Arial"/>
          <w:i/>
          <w:iCs/>
          <w:sz w:val="20"/>
          <w:szCs w:val="20"/>
        </w:rPr>
        <w:t>nsp1</w:t>
      </w:r>
      <w:r w:rsidRPr="00A279A0">
        <w:rPr>
          <w:rFonts w:ascii="Arial" w:hAnsi="Arial" w:cs="Arial"/>
          <w:sz w:val="20"/>
          <w:szCs w:val="20"/>
        </w:rPr>
        <w:t xml:space="preserve">, </w:t>
      </w:r>
      <w:r w:rsidRPr="00A279A0">
        <w:rPr>
          <w:rFonts w:ascii="Arial" w:hAnsi="Arial" w:cs="Arial"/>
          <w:i/>
          <w:iCs/>
          <w:sz w:val="20"/>
          <w:szCs w:val="20"/>
        </w:rPr>
        <w:t>nsp2</w:t>
      </w:r>
      <w:r w:rsidRPr="00A279A0">
        <w:rPr>
          <w:rFonts w:ascii="Arial" w:hAnsi="Arial" w:cs="Arial"/>
          <w:sz w:val="20"/>
          <w:szCs w:val="20"/>
        </w:rPr>
        <w:t xml:space="preserve">) were grown for three weeks in gnotobiotic systems supplemented with </w:t>
      </w:r>
      <w:r w:rsidRPr="00A279A0">
        <w:rPr>
          <w:rFonts w:ascii="Arial" w:hAnsi="Arial" w:cs="Arial"/>
          <w:i/>
          <w:iCs/>
          <w:sz w:val="20"/>
          <w:szCs w:val="20"/>
        </w:rPr>
        <w:t>Lotus</w:t>
      </w:r>
      <w:r w:rsidRPr="00A279A0">
        <w:rPr>
          <w:rFonts w:ascii="Arial" w:hAnsi="Arial" w:cs="Arial"/>
          <w:sz w:val="20"/>
          <w:szCs w:val="20"/>
        </w:rPr>
        <w:t xml:space="preserve">- or </w:t>
      </w:r>
      <w:r w:rsidRPr="00A279A0">
        <w:rPr>
          <w:rFonts w:ascii="Arial" w:hAnsi="Arial" w:cs="Arial"/>
          <w:i/>
          <w:iCs/>
          <w:sz w:val="20"/>
          <w:szCs w:val="20"/>
        </w:rPr>
        <w:t>Hordeum</w:t>
      </w:r>
      <w:r w:rsidRPr="00A279A0">
        <w:rPr>
          <w:rFonts w:ascii="Arial" w:hAnsi="Arial" w:cs="Arial"/>
          <w:sz w:val="20"/>
          <w:szCs w:val="20"/>
        </w:rPr>
        <w:t xml:space="preserve"> derived bacterial culture collections, with AMF additionally applied in the </w:t>
      </w:r>
      <w:r w:rsidRPr="00A279A0">
        <w:rPr>
          <w:rFonts w:ascii="Arial" w:hAnsi="Arial" w:cs="Arial"/>
          <w:i/>
          <w:iCs/>
          <w:sz w:val="20"/>
          <w:szCs w:val="20"/>
        </w:rPr>
        <w:t>Hordeum</w:t>
      </w:r>
      <w:r w:rsidRPr="00A279A0">
        <w:rPr>
          <w:rFonts w:ascii="Arial" w:hAnsi="Arial" w:cs="Arial"/>
          <w:sz w:val="20"/>
          <w:szCs w:val="20"/>
        </w:rPr>
        <w:t xml:space="preserve"> approach (Methods, </w:t>
      </w:r>
      <w:r w:rsidRPr="00A279A0">
        <w:rPr>
          <w:rFonts w:ascii="Arial" w:hAnsi="Arial" w:cs="Arial"/>
          <w:sz w:val="20"/>
          <w:szCs w:val="20"/>
          <w:highlight w:val="cyan"/>
        </w:rPr>
        <w:t>Suppl. Tables 8,9</w:t>
      </w:r>
      <w:r w:rsidRPr="00A279A0">
        <w:rPr>
          <w:rFonts w:ascii="Arial" w:hAnsi="Arial" w:cs="Arial"/>
          <w:sz w:val="20"/>
          <w:szCs w:val="20"/>
        </w:rPr>
        <w:t xml:space="preserve">). </w:t>
      </w:r>
      <w:r w:rsidRPr="00A279A0">
        <w:rPr>
          <w:rFonts w:ascii="Arial" w:hAnsi="Arial" w:cs="Arial"/>
          <w:color w:val="000000" w:themeColor="text1"/>
          <w:sz w:val="20"/>
          <w:szCs w:val="20"/>
        </w:rPr>
        <w:t xml:space="preserve">For each genotype, four biological replicates with 25 seedlings each were included for </w:t>
      </w:r>
      <w:r w:rsidRPr="00A279A0">
        <w:rPr>
          <w:rFonts w:ascii="Arial" w:hAnsi="Arial" w:cs="Arial"/>
          <w:i/>
          <w:iCs/>
          <w:color w:val="000000" w:themeColor="text1"/>
          <w:sz w:val="20"/>
          <w:szCs w:val="20"/>
        </w:rPr>
        <w:t>Lotus</w:t>
      </w:r>
      <w:r w:rsidRPr="00A279A0">
        <w:rPr>
          <w:rFonts w:ascii="Arial" w:hAnsi="Arial" w:cs="Arial"/>
          <w:color w:val="000000" w:themeColor="text1"/>
          <w:sz w:val="20"/>
          <w:szCs w:val="20"/>
        </w:rPr>
        <w:t xml:space="preserve"> (total n=100), and s</w:t>
      </w:r>
      <w:r w:rsidRPr="00A279A0">
        <w:rPr>
          <w:rFonts w:ascii="Arial" w:hAnsi="Arial" w:cs="Arial"/>
          <w:sz w:val="20"/>
          <w:szCs w:val="20"/>
        </w:rPr>
        <w:t xml:space="preserve">ix biological replicates for </w:t>
      </w:r>
      <w:r w:rsidRPr="00A279A0">
        <w:rPr>
          <w:rFonts w:ascii="Arial" w:hAnsi="Arial" w:cs="Arial"/>
          <w:i/>
          <w:iCs/>
          <w:sz w:val="20"/>
          <w:szCs w:val="20"/>
        </w:rPr>
        <w:t>Hordeum</w:t>
      </w:r>
      <w:r w:rsidRPr="00A279A0">
        <w:rPr>
          <w:rFonts w:ascii="Arial" w:hAnsi="Arial" w:cs="Arial"/>
          <w:sz w:val="20"/>
          <w:szCs w:val="20"/>
        </w:rPr>
        <w:t xml:space="preserve">, each consisting of three pots with one plant per pot (total n=18). Rhizosphere and root samples were pooled per replicate and subjected to 16S rRNA V5-V7 amplicon sequencing. (B) Shoot fresh </w:t>
      </w:r>
      <w:r w:rsidRPr="00A279A0">
        <w:rPr>
          <w:rFonts w:ascii="Arial" w:hAnsi="Arial" w:cs="Arial"/>
          <w:sz w:val="20"/>
          <w:szCs w:val="20"/>
        </w:rPr>
        <w:lastRenderedPageBreak/>
        <w:t>weight (g) per plant. (C) PCoA analysis based on Bray-Curtis distances showing bacterial community composition in rhizosphere and root samples across genotypes (colours). Boxes indicate the percentage of total variance explained by the first (PCo1) and second (PCo2) axes for each compartment. (D) Barplots showing cumulative relative abundance of bacterial orders that were significant altered in at least one mutant compared to wild-type, as determined by MaAsLin2 (FDR &lt; 0.05) across compartments. (E) Differentially abundant isolates detected in at least one mutant relative to wild-type based on MaAsLin2 and structural zero analysis. Top panels show mean relative abundance in wild-type rhizosphere and root samples. The annotation bar indicates taxonomic assignment at the order level. Bubble plots indicate significant depletion (blue) or enrichment (red) of isolates in mutants relative to wild-type. Unmatched ASVs were excluded from the analysis.</w:t>
      </w:r>
    </w:p>
    <w:sectPr w:rsidR="0030487D" w:rsidRPr="0030487D"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Marie Martyn" w:date="2026-03-21T13:11:00Z" w:initials="AMM">
    <w:p w14:paraId="1E3A63D5" w14:textId="77777777" w:rsidR="00477612" w:rsidRDefault="00477612" w:rsidP="00477612">
      <w:pPr>
        <w:pStyle w:val="CommentText"/>
      </w:pPr>
      <w:r>
        <w:rPr>
          <w:rStyle w:val="CommentReference"/>
        </w:rPr>
        <w:annotationRef/>
      </w:r>
      <w:r>
        <w:t>Make suppl. Table for those filtered sequences</w:t>
      </w:r>
    </w:p>
    <w:p w14:paraId="4114AD9B" w14:textId="77777777" w:rsidR="00477612" w:rsidRDefault="00477612">
      <w:pPr>
        <w:pStyle w:val="CommentText"/>
      </w:pPr>
    </w:p>
  </w:comment>
  <w:comment w:id="3" w:author="Anna Marie Martyn" w:date="2026-03-18T23:17:00Z" w:initials="AMM">
    <w:p w14:paraId="5154FB3C" w14:textId="77777777" w:rsidR="00477612" w:rsidRDefault="00477612">
      <w:pPr>
        <w:pStyle w:val="CommentText"/>
      </w:pPr>
      <w:r>
        <w:rPr>
          <w:rStyle w:val="CommentReference"/>
        </w:rPr>
        <w:annotationRef/>
      </w:r>
      <w:r>
        <w:t>add some key references here</w:t>
      </w:r>
    </w:p>
  </w:comment>
  <w:comment w:id="4" w:author="Anna Marie Martyn" w:date="2026-02-17T12:41:00Z" w:initials="AMM">
    <w:p w14:paraId="44C53734" w14:textId="77777777" w:rsidR="00477612" w:rsidRDefault="00477612">
      <w:pPr>
        <w:pStyle w:val="CommentText"/>
      </w:pPr>
      <w:r>
        <w:rPr>
          <w:rStyle w:val="CommentReference"/>
        </w:rPr>
        <w:annotationRef/>
      </w:r>
      <w:r>
        <w:t>@Anna/Ib: update final list packages at the end and include references if necessary</w:t>
      </w:r>
    </w:p>
  </w:comment>
  <w:comment w:id="6" w:author="Anna Marie Martyn" w:date="2026-02-17T12:41:00Z" w:initials="AMM">
    <w:p w14:paraId="5CE3A99E" w14:textId="77777777" w:rsidR="00477612" w:rsidRDefault="00477612">
      <w:pPr>
        <w:pStyle w:val="CommentText"/>
      </w:pPr>
      <w:r>
        <w:rPr>
          <w:rStyle w:val="CommentReference"/>
        </w:rPr>
        <w:annotationRef/>
      </w:r>
      <w:r>
        <w:t>@Anna/Ib: upload and add info</w:t>
      </w:r>
    </w:p>
  </w:comment>
  <w:comment w:id="7" w:author="Anna Marie Martyn" w:date="2026-02-16T21:00:00Z" w:initials="AMM">
    <w:p w14:paraId="5CE497D3" w14:textId="77777777" w:rsidR="00A279A0" w:rsidRDefault="00A279A0">
      <w:pPr>
        <w:pStyle w:val="CommentText"/>
      </w:pPr>
      <w:r>
        <w:rPr>
          <w:rStyle w:val="CommentReference"/>
        </w:rPr>
        <w:annotationRef/>
      </w:r>
      <w:r>
        <w:t>Ib: change from Wilcoxon to ANOVA in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14AD9B" w15:done="0"/>
  <w15:commentEx w15:paraId="5154FB3C" w15:done="0"/>
  <w15:commentEx w15:paraId="44C53734" w15:done="0"/>
  <w15:commentEx w15:paraId="5CE3A99E" w15:done="0"/>
  <w15:commentEx w15:paraId="5CE497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F0CCF" w16cex:dateUtc="2026-03-21T12:11:00Z"/>
  <w16cex:commentExtensible w16cex:durableId="3558441A" w16cex:dateUtc="2026-03-18T22:17:00Z"/>
  <w16cex:commentExtensible w16cex:durableId="7A7FACA4" w16cex:dateUtc="2026-02-17T11:41:00Z"/>
  <w16cex:commentExtensible w16cex:durableId="0092C3A8" w16cex:dateUtc="2026-02-17T11:41:00Z"/>
  <w16cex:commentExtensible w16cex:durableId="54F3FC70" w16cex:dateUtc="2026-02-16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14AD9B" w16cid:durableId="4D2F0CCF"/>
  <w16cid:commentId w16cid:paraId="5154FB3C" w16cid:durableId="3558441A"/>
  <w16cid:commentId w16cid:paraId="44C53734" w16cid:durableId="7A7FACA4"/>
  <w16cid:commentId w16cid:paraId="5CE3A99E" w16cid:durableId="0092C3A8"/>
  <w16cid:commentId w16cid:paraId="5CE497D3" w16cid:durableId="54F3FC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4BD1" w14:textId="77777777" w:rsidR="004317E8" w:rsidRDefault="004317E8">
      <w:pPr>
        <w:spacing w:after="0"/>
      </w:pPr>
      <w:r>
        <w:separator/>
      </w:r>
    </w:p>
  </w:endnote>
  <w:endnote w:type="continuationSeparator" w:id="0">
    <w:p w14:paraId="6318A040" w14:textId="77777777" w:rsidR="004317E8" w:rsidRDefault="004317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10C1" w14:textId="77777777" w:rsidR="004317E8" w:rsidRDefault="004317E8">
      <w:pPr>
        <w:spacing w:after="0"/>
      </w:pPr>
      <w:r>
        <w:separator/>
      </w:r>
    </w:p>
  </w:footnote>
  <w:footnote w:type="continuationSeparator" w:id="0">
    <w:p w14:paraId="7509178A" w14:textId="77777777" w:rsidR="004317E8" w:rsidRDefault="004317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10"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191141">
    <w:abstractNumId w:val="2"/>
  </w:num>
  <w:num w:numId="2" w16cid:durableId="1391491802">
    <w:abstractNumId w:val="5"/>
  </w:num>
  <w:num w:numId="3" w16cid:durableId="116606697">
    <w:abstractNumId w:val="13"/>
  </w:num>
  <w:num w:numId="4" w16cid:durableId="1282297530">
    <w:abstractNumId w:val="6"/>
  </w:num>
  <w:num w:numId="5" w16cid:durableId="41254563">
    <w:abstractNumId w:val="14"/>
  </w:num>
  <w:num w:numId="6" w16cid:durableId="1445807848">
    <w:abstractNumId w:val="8"/>
  </w:num>
  <w:num w:numId="7" w16cid:durableId="622033044">
    <w:abstractNumId w:val="12"/>
  </w:num>
  <w:num w:numId="8" w16cid:durableId="1111507381">
    <w:abstractNumId w:val="1"/>
  </w:num>
  <w:num w:numId="9" w16cid:durableId="22479755">
    <w:abstractNumId w:val="15"/>
  </w:num>
  <w:num w:numId="10" w16cid:durableId="809712275">
    <w:abstractNumId w:val="0"/>
  </w:num>
  <w:num w:numId="11" w16cid:durableId="783572311">
    <w:abstractNumId w:val="11"/>
  </w:num>
  <w:num w:numId="12" w16cid:durableId="1984114729">
    <w:abstractNumId w:val="3"/>
  </w:num>
  <w:num w:numId="13" w16cid:durableId="580069524">
    <w:abstractNumId w:val="9"/>
  </w:num>
  <w:num w:numId="14" w16cid:durableId="1211571163">
    <w:abstractNumId w:val="16"/>
  </w:num>
  <w:num w:numId="15" w16cid:durableId="1366977194">
    <w:abstractNumId w:val="7"/>
  </w:num>
  <w:num w:numId="16" w16cid:durableId="1757289859">
    <w:abstractNumId w:val="10"/>
  </w:num>
  <w:num w:numId="17" w16cid:durableId="51138390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C3044"/>
    <w:rsid w:val="000E3957"/>
    <w:rsid w:val="000E6830"/>
    <w:rsid w:val="0010376C"/>
    <w:rsid w:val="00111679"/>
    <w:rsid w:val="00117680"/>
    <w:rsid w:val="001813F2"/>
    <w:rsid w:val="001B0070"/>
    <w:rsid w:val="001C1E4E"/>
    <w:rsid w:val="00270945"/>
    <w:rsid w:val="002A7053"/>
    <w:rsid w:val="002B2848"/>
    <w:rsid w:val="002C1563"/>
    <w:rsid w:val="0030487D"/>
    <w:rsid w:val="00333F4D"/>
    <w:rsid w:val="00367879"/>
    <w:rsid w:val="003830A5"/>
    <w:rsid w:val="00395418"/>
    <w:rsid w:val="003A1DB4"/>
    <w:rsid w:val="003A47C0"/>
    <w:rsid w:val="003C2964"/>
    <w:rsid w:val="003C3E4B"/>
    <w:rsid w:val="003D2BE0"/>
    <w:rsid w:val="003E408D"/>
    <w:rsid w:val="0040158E"/>
    <w:rsid w:val="00412DB9"/>
    <w:rsid w:val="004317E8"/>
    <w:rsid w:val="00474D11"/>
    <w:rsid w:val="004768C8"/>
    <w:rsid w:val="00476D4B"/>
    <w:rsid w:val="00477612"/>
    <w:rsid w:val="00483D1D"/>
    <w:rsid w:val="004B135C"/>
    <w:rsid w:val="0052396A"/>
    <w:rsid w:val="00560E53"/>
    <w:rsid w:val="00595073"/>
    <w:rsid w:val="005A78D5"/>
    <w:rsid w:val="005C58AA"/>
    <w:rsid w:val="005C5B0C"/>
    <w:rsid w:val="005C7DD7"/>
    <w:rsid w:val="00623869"/>
    <w:rsid w:val="006B5D26"/>
    <w:rsid w:val="007527BE"/>
    <w:rsid w:val="00765D9C"/>
    <w:rsid w:val="007A024E"/>
    <w:rsid w:val="007A18F0"/>
    <w:rsid w:val="008015DA"/>
    <w:rsid w:val="008374FE"/>
    <w:rsid w:val="008637F9"/>
    <w:rsid w:val="0087236D"/>
    <w:rsid w:val="008E6DB8"/>
    <w:rsid w:val="00904FBD"/>
    <w:rsid w:val="00971332"/>
    <w:rsid w:val="00976B96"/>
    <w:rsid w:val="00980C22"/>
    <w:rsid w:val="0098496E"/>
    <w:rsid w:val="009A0DF7"/>
    <w:rsid w:val="009A3B92"/>
    <w:rsid w:val="009A63EA"/>
    <w:rsid w:val="009F66BE"/>
    <w:rsid w:val="009F6CD4"/>
    <w:rsid w:val="00A1401C"/>
    <w:rsid w:val="00A279A0"/>
    <w:rsid w:val="00A500E3"/>
    <w:rsid w:val="00A53343"/>
    <w:rsid w:val="00A53C6A"/>
    <w:rsid w:val="00A635A9"/>
    <w:rsid w:val="00A84DC9"/>
    <w:rsid w:val="00A85CC3"/>
    <w:rsid w:val="00AE60EF"/>
    <w:rsid w:val="00AF7B8A"/>
    <w:rsid w:val="00B2715A"/>
    <w:rsid w:val="00B30924"/>
    <w:rsid w:val="00B4169B"/>
    <w:rsid w:val="00B9147E"/>
    <w:rsid w:val="00BE4840"/>
    <w:rsid w:val="00BF4C40"/>
    <w:rsid w:val="00C33F07"/>
    <w:rsid w:val="00C97AF8"/>
    <w:rsid w:val="00CA1C1E"/>
    <w:rsid w:val="00CB2D3D"/>
    <w:rsid w:val="00CB5B28"/>
    <w:rsid w:val="00D00DEA"/>
    <w:rsid w:val="00DE3A31"/>
    <w:rsid w:val="00DF48AE"/>
    <w:rsid w:val="00DF7EA3"/>
    <w:rsid w:val="00E01958"/>
    <w:rsid w:val="00E229F1"/>
    <w:rsid w:val="00E6133D"/>
    <w:rsid w:val="00E62015"/>
    <w:rsid w:val="00EB5DD5"/>
    <w:rsid w:val="00F24A94"/>
    <w:rsid w:val="00F431BE"/>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77612"/>
    <w:pPr>
      <w:spacing w:before="100" w:beforeAutospacing="1" w:after="100" w:afterAutospacing="1"/>
      <w:outlineLvl w:val="1"/>
    </w:pPr>
    <w:rPr>
      <w:rFonts w:ascii="Times New Roman" w:eastAsia="Times New Roman" w:hAnsi="Times New Roman" w:cs="Times New Roman"/>
      <w:b/>
      <w:bCs/>
      <w:sz w:val="36"/>
      <w:szCs w:val="36"/>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character" w:customStyle="1" w:styleId="Heading2Char">
    <w:name w:val="Heading 2 Char"/>
    <w:basedOn w:val="DefaultParagraphFont"/>
    <w:link w:val="Heading2"/>
    <w:uiPriority w:val="9"/>
    <w:rsid w:val="00477612"/>
    <w:rPr>
      <w:rFonts w:ascii="Times New Roman" w:eastAsia="Times New Roman" w:hAnsi="Times New Roman" w:cs="Times New Roman"/>
      <w:b/>
      <w:bCs/>
      <w:sz w:val="36"/>
      <w:szCs w:val="36"/>
      <w:lang w:val="en-DE" w:eastAsia="en-GB"/>
    </w:rPr>
  </w:style>
  <w:style w:type="paragraph" w:styleId="ListParagraph">
    <w:name w:val="List Paragraph"/>
    <w:basedOn w:val="Normal"/>
    <w:uiPriority w:val="34"/>
    <w:qFormat/>
    <w:rsid w:val="00477612"/>
    <w:pPr>
      <w:spacing w:after="0"/>
      <w:ind w:left="720"/>
      <w:contextualSpacing/>
    </w:pPr>
    <w:rPr>
      <w:kern w:val="2"/>
      <w:sz w:val="24"/>
      <w:szCs w:val="24"/>
      <w:lang w:val="en-GB"/>
      <w14:ligatures w14:val="standardContextual"/>
    </w:rPr>
  </w:style>
  <w:style w:type="character" w:customStyle="1" w:styleId="apple-converted-space">
    <w:name w:val="apple-converted-space"/>
    <w:basedOn w:val="DefaultParagraphFont"/>
    <w:rsid w:val="00477612"/>
  </w:style>
  <w:style w:type="paragraph" w:styleId="Header">
    <w:name w:val="header"/>
    <w:basedOn w:val="Normal"/>
    <w:link w:val="Head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HeaderChar">
    <w:name w:val="Header Char"/>
    <w:basedOn w:val="DefaultParagraphFont"/>
    <w:link w:val="Header"/>
    <w:uiPriority w:val="99"/>
    <w:rsid w:val="00477612"/>
    <w:rPr>
      <w:kern w:val="2"/>
      <w:sz w:val="24"/>
      <w:szCs w:val="24"/>
      <w:lang w:val="en-GB"/>
      <w14:ligatures w14:val="standardContextual"/>
    </w:rPr>
  </w:style>
  <w:style w:type="paragraph" w:styleId="Footer">
    <w:name w:val="footer"/>
    <w:basedOn w:val="Normal"/>
    <w:link w:val="Foot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FooterChar">
    <w:name w:val="Footer Char"/>
    <w:basedOn w:val="DefaultParagraphFont"/>
    <w:link w:val="Footer"/>
    <w:uiPriority w:val="99"/>
    <w:rsid w:val="00477612"/>
    <w:rPr>
      <w:kern w:val="2"/>
      <w:sz w:val="24"/>
      <w:szCs w:val="24"/>
      <w:lang w:val="en-GB"/>
      <w14:ligatures w14:val="standardContextual"/>
    </w:rPr>
  </w:style>
  <w:style w:type="paragraph" w:styleId="List">
    <w:name w:val="List"/>
    <w:basedOn w:val="BodyText"/>
    <w:rsid w:val="00477612"/>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477612"/>
    <w:pPr>
      <w:spacing w:after="120"/>
    </w:pPr>
    <w:rPr>
      <w:kern w:val="2"/>
      <w:sz w:val="24"/>
      <w:szCs w:val="24"/>
      <w:lang w:val="en-GB"/>
      <w14:ligatures w14:val="standardContextual"/>
    </w:rPr>
  </w:style>
  <w:style w:type="character" w:customStyle="1" w:styleId="BodyTextChar">
    <w:name w:val="Body Text Char"/>
    <w:basedOn w:val="DefaultParagraphFont"/>
    <w:link w:val="BodyText"/>
    <w:uiPriority w:val="99"/>
    <w:semiHidden/>
    <w:rsid w:val="00477612"/>
    <w:rPr>
      <w:kern w:val="2"/>
      <w:sz w:val="24"/>
      <w:szCs w:val="24"/>
      <w:lang w:val="en-GB"/>
      <w14:ligatures w14:val="standardContextual"/>
    </w:rPr>
  </w:style>
  <w:style w:type="paragraph" w:styleId="Bibliography">
    <w:name w:val="Bibliography"/>
    <w:basedOn w:val="Normal"/>
    <w:next w:val="Normal"/>
    <w:uiPriority w:val="37"/>
    <w:unhideWhenUsed/>
    <w:rsid w:val="00477612"/>
    <w:pPr>
      <w:tabs>
        <w:tab w:val="left" w:pos="500"/>
        <w:tab w:val="left" w:pos="620"/>
      </w:tabs>
      <w:spacing w:after="240"/>
      <w:ind w:left="624" w:hanging="624"/>
    </w:pPr>
    <w:rPr>
      <w:kern w:val="2"/>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1/relationships/commentsExtended" Target="commentsExtended.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mailto:radutoiu@mbg.au.dk" TargetMode="Externa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31</Pages>
  <Words>66935</Words>
  <Characters>381531</Characters>
  <Application>Microsoft Office Word</Application>
  <DocSecurity>0</DocSecurity>
  <Lines>3179</Lines>
  <Paragraphs>895</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447571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Anna Marie Martyn</cp:lastModifiedBy>
  <cp:revision>30</cp:revision>
  <dcterms:created xsi:type="dcterms:W3CDTF">2026-03-23T09:10:00Z</dcterms:created>
  <dcterms:modified xsi:type="dcterms:W3CDTF">2026-03-23T15:33:00Z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id="WjAjTiO8"/&gt;&lt;style id="http://www.zotero.org/styles/pnas" hasBibliography="1" bibliographyStyleHasBeenSet="1"/&gt;&lt;prefs&gt;&lt;pref name="fieldType" value="Field"/&gt;&lt;/prefs&gt;&lt;/data&gt;</vt:lpwstr>
  </property>
</Properties>
</file>