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rPr>
          <w:rFonts w:ascii="Times New Roman" w:hAnsi="Times New Roman" w:cs="Times New Roman"/>
          <w:b/>
          <w:b/>
          <w:bCs/>
        </w:rPr>
      </w:pPr>
      <w:r>
        <w:rPr>
          <w:rFonts w:cs="Times New Roman" w:ascii="Times New Roman" w:hAnsi="Times New Roman"/>
          <w:b/>
          <w:bCs/>
        </w:rPr>
        <w:t>The common symbiosis pathway controls plant root microbiomes in a host-specific manner</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t>Anna Martyn</w:t>
      </w:r>
      <w:r>
        <w:rPr>
          <w:rFonts w:cs="Times New Roman" w:ascii="Times New Roman" w:hAnsi="Times New Roman"/>
          <w:vertAlign w:val="superscript"/>
        </w:rPr>
        <w:t>1,2#</w:t>
      </w:r>
      <w:r>
        <w:rPr>
          <w:rFonts w:cs="Times New Roman" w:ascii="Times New Roman" w:hAnsi="Times New Roman"/>
        </w:rPr>
        <w:t>, Ib Thorsgaard Jensen</w:t>
      </w:r>
      <w:r>
        <w:rPr>
          <w:rFonts w:cs="Times New Roman" w:ascii="Times New Roman" w:hAnsi="Times New Roman"/>
          <w:vertAlign w:val="superscript"/>
        </w:rPr>
        <w:t>1,3#</w:t>
      </w:r>
      <w:r>
        <w:rPr>
          <w:rFonts w:cs="Times New Roman" w:ascii="Times New Roman" w:hAnsi="Times New Roman"/>
        </w:rPr>
        <w:t>, Camilla Lind Salomonsen</w:t>
      </w:r>
      <w:r>
        <w:rPr>
          <w:rFonts w:cs="Times New Roman" w:ascii="Times New Roman" w:hAnsi="Times New Roman"/>
          <w:vertAlign w:val="superscript"/>
        </w:rPr>
        <w:t>4</w:t>
      </w:r>
      <w:r>
        <w:rPr>
          <w:rFonts w:cs="Times New Roman" w:ascii="Times New Roman" w:hAnsi="Times New Roman"/>
          <w:color w:val="000000"/>
          <w:shd w:fill="FDFCFB" w:val="clear"/>
        </w:rPr>
        <w:t xml:space="preserve">, </w:t>
      </w:r>
      <w:r>
        <w:rPr>
          <w:rFonts w:cs="Times New Roman" w:ascii="Times New Roman" w:hAnsi="Times New Roman"/>
        </w:rPr>
        <w:t>Zuzana Blahovska</w:t>
      </w:r>
      <w:r>
        <w:rPr>
          <w:rFonts w:cs="Times New Roman" w:ascii="Times New Roman" w:hAnsi="Times New Roman"/>
          <w:vertAlign w:val="superscript"/>
        </w:rPr>
        <w:t>1</w:t>
      </w:r>
      <w:r>
        <w:rPr>
          <w:rFonts w:cs="Times New Roman" w:ascii="Times New Roman" w:hAnsi="Times New Roman"/>
        </w:rPr>
        <w:t>, Ke Tao</w:t>
      </w:r>
      <w:r>
        <w:rPr>
          <w:rFonts w:cs="Times New Roman" w:ascii="Times New Roman" w:hAnsi="Times New Roman"/>
          <w:vertAlign w:val="superscript"/>
        </w:rPr>
        <w:t>1</w:t>
      </w:r>
      <w:r>
        <w:rPr>
          <w:rFonts w:cs="Times New Roman" w:ascii="Times New Roman" w:hAnsi="Times New Roman"/>
        </w:rPr>
        <w:t>, Harm Dings</w:t>
      </w:r>
      <w:r>
        <w:rPr>
          <w:rFonts w:cs="Times New Roman" w:ascii="Times New Roman" w:hAnsi="Times New Roman"/>
          <w:vertAlign w:val="superscript"/>
        </w:rPr>
        <w:t>5</w:t>
      </w:r>
      <w:r>
        <w:rPr>
          <w:rFonts w:cs="Times New Roman" w:ascii="Times New Roman" w:hAnsi="Times New Roman"/>
        </w:rPr>
        <w:t>,</w:t>
      </w:r>
      <w:r>
        <w:rPr>
          <w:rFonts w:cs="Times New Roman" w:ascii="Times New Roman" w:hAnsi="Times New Roman"/>
          <w:color w:val="000000"/>
          <w:shd w:fill="FDFCFB" w:val="clear"/>
        </w:rPr>
        <w:t xml:space="preserve"> Þuríður Nótt Björgvinsdóttir</w:t>
      </w:r>
      <w:r>
        <w:rPr>
          <w:rFonts w:cs="Times New Roman" w:ascii="Times New Roman" w:hAnsi="Times New Roman"/>
          <w:color w:val="000000"/>
          <w:shd w:fill="FDFCFB" w:val="clear"/>
          <w:vertAlign w:val="superscript"/>
        </w:rPr>
        <w:t>4</w:t>
      </w:r>
      <w:r>
        <w:rPr>
          <w:rFonts w:cs="Times New Roman" w:ascii="Times New Roman" w:hAnsi="Times New Roman"/>
          <w:color w:val="000000"/>
          <w:shd w:fill="FDFCFB" w:val="clear"/>
        </w:rPr>
        <w:t>, Bent Tolstrup Christensen</w:t>
      </w:r>
      <w:r>
        <w:rPr>
          <w:rFonts w:cs="Times New Roman" w:ascii="Times New Roman" w:hAnsi="Times New Roman"/>
          <w:color w:val="000000"/>
          <w:shd w:fill="FDFCFB" w:val="clear"/>
          <w:vertAlign w:val="superscript"/>
        </w:rPr>
        <w:t>6</w:t>
      </w:r>
      <w:r>
        <w:rPr>
          <w:rFonts w:cs="Times New Roman" w:ascii="Times New Roman" w:hAnsi="Times New Roman"/>
          <w:color w:val="000000"/>
          <w:shd w:fill="FDFCFB" w:val="clear"/>
        </w:rPr>
        <w:t>, Eleni Soumpourou</w:t>
      </w:r>
      <w:r>
        <w:rPr>
          <w:rFonts w:cs="Times New Roman" w:ascii="Times New Roman" w:hAnsi="Times New Roman"/>
          <w:color w:val="000000"/>
          <w:shd w:fill="FDFCFB" w:val="clear"/>
          <w:vertAlign w:val="superscript"/>
        </w:rPr>
        <w:t>7</w:t>
      </w:r>
      <w:r>
        <w:rPr>
          <w:rFonts w:cs="Times New Roman" w:ascii="Times New Roman" w:hAnsi="Times New Roman"/>
          <w:color w:val="000000"/>
          <w:shd w:fill="FDFCFB" w:val="clear"/>
        </w:rPr>
        <w:t>, Giles Oldroyd</w:t>
      </w:r>
      <w:r>
        <w:rPr>
          <w:rFonts w:cs="Times New Roman" w:ascii="Times New Roman" w:hAnsi="Times New Roman"/>
          <w:color w:val="000000"/>
          <w:shd w:fill="FDFCFB" w:val="clear"/>
          <w:vertAlign w:val="superscript"/>
        </w:rPr>
        <w:t>7</w:t>
      </w:r>
      <w:r>
        <w:rPr>
          <w:rFonts w:cs="Times New Roman" w:ascii="Times New Roman" w:hAnsi="Times New Roman"/>
          <w:color w:val="000000"/>
          <w:shd w:fill="FDFCFB" w:val="clear"/>
        </w:rPr>
        <w:t>, Rasmus Waagepetersen</w:t>
      </w:r>
      <w:r>
        <w:rPr>
          <w:rFonts w:cs="Times New Roman" w:ascii="Times New Roman" w:hAnsi="Times New Roman"/>
          <w:color w:val="000000"/>
          <w:shd w:fill="FDFCFB" w:val="clear"/>
          <w:vertAlign w:val="superscript"/>
        </w:rPr>
        <w:t>3</w:t>
      </w:r>
      <w:r>
        <w:rPr>
          <w:rFonts w:cs="Times New Roman" w:ascii="Times New Roman" w:hAnsi="Times New Roman"/>
          <w:color w:val="000000"/>
          <w:shd w:fill="FDFCFB" w:val="clear"/>
        </w:rPr>
        <w:t xml:space="preserve">, </w:t>
      </w:r>
      <w:r>
        <w:rPr>
          <w:rFonts w:cs="Times New Roman" w:ascii="Times New Roman" w:hAnsi="Times New Roman"/>
        </w:rPr>
        <w:t>Marianne Glasius</w:t>
      </w:r>
      <w:r>
        <w:rPr>
          <w:rFonts w:cs="Times New Roman" w:ascii="Times New Roman" w:hAnsi="Times New Roman"/>
          <w:vertAlign w:val="superscript"/>
        </w:rPr>
        <w:t>4</w:t>
      </w:r>
      <w:r>
        <w:rPr>
          <w:rFonts w:cs="Times New Roman" w:ascii="Times New Roman" w:hAnsi="Times New Roman"/>
        </w:rPr>
        <w:t>, Simona Radutoiu</w:t>
      </w:r>
      <w:r>
        <w:rPr>
          <w:rFonts w:cs="Times New Roman" w:ascii="Times New Roman" w:hAnsi="Times New Roman"/>
          <w:vertAlign w:val="superscript"/>
        </w:rPr>
        <w:t>1*</w:t>
      </w:r>
      <w:r>
        <w:rPr>
          <w:rFonts w:cs="Times New Roman" w:ascii="Times New Roman" w:hAnsi="Times New Roman"/>
        </w:rPr>
        <w:t xml:space="preserve">  </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 Department of Molecular Biology and Genetics, Aarhus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 xml:space="preserve"> Max-Planck-Institute for Plant Breeding Research, Cologne, Germany</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3</w:t>
      </w:r>
      <w:r>
        <w:rPr>
          <w:rFonts w:cs="Times New Roman" w:ascii="Times New Roman" w:hAnsi="Times New Roman"/>
        </w:rPr>
        <w:t xml:space="preserve"> Department of Mathematical Sciences, Aalborg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4</w:t>
      </w:r>
      <w:r>
        <w:rPr>
          <w:rFonts w:cs="Times New Roman" w:ascii="Times New Roman" w:hAnsi="Times New Roman"/>
        </w:rPr>
        <w:t xml:space="preserve"> Department of Chemistry, Aarhus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5</w:t>
      </w:r>
      <w:r>
        <w:rPr>
          <w:rFonts w:cs="Times New Roman" w:ascii="Times New Roman" w:hAnsi="Times New Roman"/>
        </w:rPr>
        <w:t xml:space="preserve"> Department of Plant Sciences, Wageningen University, Netherlands</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6</w:t>
      </w:r>
      <w:r>
        <w:rPr>
          <w:rFonts w:cs="Times New Roman" w:ascii="Times New Roman" w:hAnsi="Times New Roman"/>
        </w:rPr>
        <w:t xml:space="preserve"> Department of Agroecology, Aarhus University, Denmark</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7</w:t>
      </w:r>
      <w:r>
        <w:rPr>
          <w:rFonts w:cs="Times New Roman" w:ascii="Times New Roman" w:hAnsi="Times New Roman"/>
        </w:rPr>
        <w:t xml:space="preserve"> Crop Science Centre, University of Cambridge, United Kingdom</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vertAlign w:val="superscript"/>
        </w:rPr>
        <w:t xml:space="preserve"># </w:t>
      </w:r>
      <w:r>
        <w:rPr>
          <w:rFonts w:cs="Times New Roman" w:ascii="Times New Roman" w:hAnsi="Times New Roman"/>
        </w:rPr>
        <w:t>First authors</w:t>
      </w:r>
    </w:p>
    <w:p>
      <w:pPr>
        <w:pStyle w:val="Normal"/>
        <w:spacing w:lineRule="auto" w:line="276"/>
        <w:jc w:val="both"/>
        <w:rPr>
          <w:rFonts w:ascii="Times New Roman" w:hAnsi="Times New Roman" w:cs="Times New Roman"/>
        </w:rPr>
      </w:pPr>
      <w:r>
        <w:rPr>
          <w:rFonts w:cs="Times New Roman" w:ascii="Times New Roman" w:hAnsi="Times New Roman"/>
          <w:vertAlign w:val="superscript"/>
        </w:rPr>
        <w:t xml:space="preserve">* </w:t>
      </w:r>
      <w:r>
        <w:rPr>
          <w:rFonts w:cs="Times New Roman" w:ascii="Times New Roman" w:hAnsi="Times New Roman"/>
        </w:rPr>
        <w:t>Corresponding author</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E-Mail:</w:t>
      </w:r>
      <w:r>
        <w:rPr>
          <w:rFonts w:cs="Times New Roman" w:ascii="Times New Roman" w:hAnsi="Times New Roman"/>
        </w:rPr>
        <w:t xml:space="preserve"> radutoiu@mbg.au.dk</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commentRangeStart w:id="0"/>
      <w:r>
        <w:rPr>
          <w:rFonts w:cs="Times New Roman" w:ascii="Times New Roman" w:hAnsi="Times New Roman"/>
          <w:b/>
          <w:bCs/>
        </w:rPr>
        <w:t xml:space="preserve">Author Contributions: </w:t>
      </w:r>
      <w:r>
        <w:rPr>
          <w:rFonts w:cs="Times New Roman" w:ascii="Times New Roman" w:hAnsi="Times New Roman"/>
          <w:b/>
          <w:bCs/>
        </w:rPr>
      </w:r>
      <w:commentRangeEnd w:id="0"/>
      <w:r>
        <w:commentReference w:id="0"/>
      </w:r>
      <w:r>
        <w:rPr>
          <w:rFonts w:cs="Times New Roman" w:ascii="Times New Roman" w:hAnsi="Times New Roman"/>
        </w:rPr>
        <w:t xml:space="preserve">A.M., I.T.J, C.L.S, M.G. and S.R. designed the experiments. A.M. performed the experiments with technical support from Z.B., K.T. and H.D. LC-MS/MS was performed by C.L.S, </w:t>
      </w:r>
      <w:r>
        <w:rPr>
          <w:rFonts w:cs="Times New Roman" w:ascii="Times New Roman" w:hAnsi="Times New Roman"/>
          <w:color w:val="000000"/>
          <w:shd w:fill="FDFCFB" w:val="clear"/>
        </w:rPr>
        <w:t>Þ.</w:t>
      </w:r>
      <w:r>
        <w:rPr>
          <w:rFonts w:cs="Times New Roman" w:ascii="Times New Roman" w:hAnsi="Times New Roman"/>
        </w:rPr>
        <w:t xml:space="preserve">N.B. and M.G. Data analysis was performed by A.M., I.T.J. and C.L.S. A.M. wrote the first manuscript draft with following input from all authors. </w:t>
      </w:r>
      <w:r>
        <w:rPr>
          <w:rFonts w:cs="Times New Roman" w:ascii="Times New Roman" w:hAnsi="Times New Roman"/>
          <w:i/>
          <w:iCs/>
        </w:rPr>
        <w:t>Hordeum</w:t>
      </w:r>
      <w:r>
        <w:rPr>
          <w:rFonts w:cs="Times New Roman" w:ascii="Times New Roman" w:hAnsi="Times New Roman"/>
        </w:rPr>
        <w:t xml:space="preserve"> symbiosis mutants were provided by G.O. and E.S. Askov soils were provided by B.T.C.</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Competing Interest Statement: </w:t>
      </w:r>
      <w:r>
        <w:rPr>
          <w:rFonts w:cs="Times New Roman" w:ascii="Times New Roman" w:hAnsi="Times New Roman"/>
        </w:rPr>
        <w:t>The authors declare no competing interests.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Classification:</w:t>
      </w:r>
      <w:r>
        <w:rPr>
          <w:rFonts w:cs="Times New Roman" w:ascii="Times New Roman" w:hAnsi="Times New Roman"/>
        </w:rPr>
        <w:t xml:space="preserve"> Biological Sciences, </w:t>
      </w:r>
      <w:commentRangeStart w:id="1"/>
      <w:r>
        <w:rPr>
          <w:rFonts w:cs="Times New Roman" w:ascii="Times New Roman" w:hAnsi="Times New Roman"/>
        </w:rPr>
        <w:t>Microbiology / Plant Biology</w:t>
      </w:r>
      <w:commentRangeEnd w:id="1"/>
      <w:r>
        <w:commentReference w:id="1"/>
      </w: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Keywords:</w:t>
      </w:r>
      <w:r>
        <w:rPr>
          <w:rFonts w:cs="Times New Roman" w:ascii="Times New Roman" w:hAnsi="Times New Roman"/>
        </w:rPr>
        <w:t xml:space="preserve"> Plant-microbe interactions, root microbiome, symbiosis signalling, root exudates, host-specificity, soil fertilisation</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Abstract</w:t>
      </w:r>
    </w:p>
    <w:p>
      <w:pPr>
        <w:pStyle w:val="Normal"/>
        <w:spacing w:lineRule="auto" w:line="276"/>
        <w:jc w:val="both"/>
        <w:rPr>
          <w:rFonts w:ascii="Times New Roman" w:hAnsi="Times New Roman" w:cs="Times New Roman"/>
        </w:rPr>
      </w:pPr>
      <w:r>
        <w:rPr>
          <w:rFonts w:cs="Times New Roman" w:ascii="Times New Roman" w:hAnsi="Times New Roman"/>
        </w:rPr>
        <w:t xml:space="preserve">Crop nutrition depends on plant-microbe interactions, yet whether conserved genetic components impose universal rules on root microbiome assembly across hosts remains unclear. Here, we show that the Common Symbiosis Signalling Pathway (CSSP), a conserved genetic module controlling endosymbiosis with arbuscular mycorrhizal fungi and nitrogen-fixing bacteria, regulates microbiome assembly in a host-specific manner across fertilisation regimes. Using </w:t>
      </w:r>
      <w:r>
        <w:rPr>
          <w:rFonts w:cs="Times New Roman" w:ascii="Times New Roman" w:hAnsi="Times New Roman"/>
          <w:i/>
          <w:iCs/>
        </w:rPr>
        <w:t>Lotus japonicus</w:t>
      </w:r>
      <w:r>
        <w:rPr>
          <w:rFonts w:cs="Times New Roman" w:ascii="Times New Roman" w:hAnsi="Times New Roman"/>
        </w:rPr>
        <w:t xml:space="preserve"> and </w:t>
      </w:r>
      <w:r>
        <w:rPr>
          <w:rFonts w:cs="Times New Roman" w:ascii="Times New Roman" w:hAnsi="Times New Roman"/>
          <w:i/>
          <w:iCs/>
        </w:rPr>
        <w:t>Hordeum vulgare</w:t>
      </w:r>
      <w:r>
        <w:rPr>
          <w:rFonts w:cs="Times New Roman" w:ascii="Times New Roman" w:hAnsi="Times New Roman"/>
        </w:rPr>
        <w:t xml:space="preserve">, we find that mutations in orthologous CSSP genes remodel root-associated communities in both species, but through distinct taxonomic responses. In </w:t>
      </w:r>
      <w:r>
        <w:rPr>
          <w:rFonts w:cs="Times New Roman" w:ascii="Times New Roman" w:hAnsi="Times New Roman"/>
          <w:i/>
          <w:iCs/>
        </w:rPr>
        <w:t>Lotus</w:t>
      </w:r>
      <w:r>
        <w:rPr>
          <w:rFonts w:cs="Times New Roman" w:ascii="Times New Roman" w:hAnsi="Times New Roman"/>
        </w:rPr>
        <w:t xml:space="preserve">, CSSP disruption reduces rhizobial colonisation and triggers niche replacement by commensals, whereas in Hordeum, the same mutations restructure diverse bacterial lineages without converging on </w:t>
      </w:r>
      <w:r>
        <w:rPr>
          <w:rFonts w:cs="Times New Roman" w:ascii="Times New Roman" w:hAnsi="Times New Roman"/>
          <w:i/>
          <w:iCs/>
        </w:rPr>
        <w:t>Lotus</w:t>
      </w:r>
      <w:r>
        <w:rPr>
          <w:rFonts w:cs="Times New Roman" w:ascii="Times New Roman" w:hAnsi="Times New Roman"/>
        </w:rPr>
        <w:t>-like responses. Root exudate profiling reveals host-distinct metabolic programmes, including differences in phenylpropanoids (flavonoids and coumarins), abscisic acid, and gibberellin pathways, creating chemically divergent environments that likely impose selective pressures on rhizosphere microbial assembly. Across nutrient contexts, soil fertilisation strongly modulated both plant growth and microbiota diversity. Notably, plant nutritional state is encoded in root bacterial community structure, highlighting tight coupling between host physiology and microbiome composition. Together, our results establish that conserved symbiosis signalling controls microbiome assembly, but taxonomic composition is filtered by host-specific metabolic and chemical environments. This conceptual shift extends CSSP function beyond canonical endosymbioses and informs strategies to harness host-tuned microbiomes for sustainable crop nutrition.</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Significance statement</w:t>
      </w:r>
    </w:p>
    <w:p>
      <w:pPr>
        <w:pStyle w:val="Normal"/>
        <w:spacing w:lineRule="auto" w:line="276"/>
        <w:jc w:val="both"/>
        <w:rPr>
          <w:rFonts w:ascii="Times New Roman" w:hAnsi="Times New Roman" w:cs="Times New Roman"/>
          <w:u w:val="single"/>
        </w:rPr>
      </w:pPr>
      <w:r>
        <w:rPr>
          <w:rFonts w:cs="Times New Roman" w:ascii="Times New Roman" w:hAnsi="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r>
    </w:p>
    <w:p>
      <w:pPr>
        <w:pStyle w:val="Normal"/>
        <w:spacing w:lineRule="auto" w:line="276"/>
        <w:jc w:val="both"/>
        <w:rPr>
          <w:rFonts w:ascii="Times New Roman" w:hAnsi="Times New Roman" w:cs="Times New Roman"/>
          <w:b/>
          <w:b/>
          <w:bCs/>
        </w:rPr>
      </w:pPr>
      <w:r>
        <w:rPr>
          <w:rFonts w:cs="Times New Roman" w:ascii="Times New Roman" w:hAnsi="Times New Roman"/>
          <w:b/>
          <w:bCs/>
        </w:rPr>
        <w:t>Introduction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The steady population increase and high demand for food production put immense pressure on agricultural production systems, raising major concerns about an upcoming global food crisis </w:t>
      </w:r>
      <w:r>
        <w:fldChar w:fldCharType="begin"/>
      </w:r>
      <w:r>
        <w:rPr>
          <w:kern w:val="0"/>
          <w:rFonts w:cs="Times New Roman" w:ascii="Times New Roman" w:hAnsi="Times New Roman"/>
        </w:rPr>
        <w:instrText xml:space="preserve">ADDIN ZOTERO_ITEM CSL_CITATION {"citationID":"z2vUzU28","properties":{"unsorted":false,"formattedCitation":"(1, 2)","plainCitation":"(1, 2)","dontUpdate":true,"noteIndex":0},"citationItems":[{"id":497,"uris":["http://zotero.org/users/16875439/items/9XLY8HGN"],"itemData":{"id":497,"type":"article-journal","abstract":"In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∼1 billion ha of land would be cleared globally by 2050, with CO2-C equivalent greenhouse gas emissions reaching ∼3 Gt y−1 and N use ∼250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∼0.2 billion ha, greenhouse gas emissions of ∼1 Gt y−1, and global N use of ∼225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(1, 2)</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Crop productivity is primarily constrained by insufficient soil nutrients, which are essential for plant growth but often exist in forms inaccessible to plants </w:t>
      </w:r>
      <w:r>
        <w:fldChar w:fldCharType="begin"/>
      </w:r>
      <w:r>
        <w:rPr>
          <w:kern w:val="0"/>
          <w:rFonts w:cs="Times New Roman" w:ascii="Times New Roman" w:hAnsi="Times New Roman"/>
        </w:rPr>
        <w:instrText xml:space="preserve">ADDIN ZOTERO_ITEM CSL_CITATION {"citationID":"1FHvy8Lm","properties":{"unsorted":false,"formattedCitation":"(3\\uc0\\u8211{}5)","plainCitation":"(3–5)","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P."}],"issued":{"date-parts":[["2017"]]}}},{"id":718,"uris":["http://zotero.org/users/16875439/items/ZFV3ZMRI"],"itemData":{"id":718,"type":"article-journal","abstract":"As primary producers, plants rely on a large aboveground surface area to collect carbon dioxide and sunlight and a large underground surface area to collect the water and mineral nutrients needed to support their growth and development. Accessibility of the essential nutrients nitrogen (N) and phosphorus (P) in the soil is affected by many factors that create a variable spatiotemporal landscape of their availability both at the local and global scale. Plants optimize uptake of the N and P available through modifications to their growth and development and engagement with microorganisms that facilitate their capture. The sensing of these nutrients, as well as the perception of overall nutrient status, shapes the plant's response to its nutrient environment, coordinating its development with microbial engagement to optimize N and P capture and regulate overall plant growth.","container-title":"Science","DOI":"10.1126/science.aba0196","ISSN":"1095-9203","issue":"6486","journalAbbreviation":"Science","language":"eng","page":"eaba0196","PMID":"32241923","publisher-place":"New York, N.Y.","source":"PubMed","title":"A plant's diet, surviving in a variable nutrient environment","volume":"368","author":[{"family":"Oldroyd","given":"Giles E. D."},{"family":"Leyser","given":"Ottoline"}],"issued":{"date-parts":[["2020",4,3]]}}}],"schema":"https://github.com/citation-style-language/schema/raw/master/csl-citation.json"}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Currently, agricultural practices rely heavily on chemical fertilisers, which are not only costly and inaccessible to most developing countries but also have severe negative environmental effects </w:t>
      </w:r>
      <w:r>
        <w:fldChar w:fldCharType="begin"/>
      </w:r>
      <w:r>
        <w:rPr>
          <w:kern w:val="0"/>
          <w:rFonts w:cs="Times New Roman" w:ascii="Times New Roman" w:hAnsi="Times New Roman"/>
        </w:rPr>
        <w:instrText xml:space="preserve">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∼1 billion ha of land would be cleared globally by 2050, with CO2-C equivalent greenhouse gas emissions reaching ∼3 Gt y−1 and N use ∼250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∼0.2 billion ha, greenhouse gas emissions of ∼1 Gt y−1, and global N use of ∼225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(4, 5)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To sustainably enhance crop yields, it is crucial to understand how plants naturally optimise nutrient uptake and leverage this knowledge to improve crop productivity while minimising agriculture’s ecological footprint.</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Plants interact with soil microorganisms and host unique microbial communities around their roots, collectively referred to as the ‘root microbiome’ </w:t>
      </w:r>
      <w:r>
        <w:fldChar w:fldCharType="begin"/>
      </w:r>
      <w:r>
        <w:rPr>
          <w:kern w:val="0"/>
          <w:rFonts w:cs="Times New Roman" w:ascii="Times New Roman" w:hAnsi="Times New Roman"/>
        </w:rPr>
        <w:instrText xml:space="preserve">ADDIN ZOTERO_ITEM CSL_CITATION {"citationID":"26strnur","properties":{"unsorted":false,"formattedCitation":"(7\\uc0\\u8211{}9)","plainCitation":"(7–9)","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(7–9)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Extensive research has demonstrated that the root microbiome contributes substantially to plant health and nutrition </w:t>
      </w:r>
      <w:r>
        <w:fldChar w:fldCharType="begin"/>
      </w:r>
      <w:r>
        <w:rPr>
          <w:kern w:val="0"/>
          <w:rFonts w:cs="Times New Roman" w:ascii="Times New Roman" w:hAnsi="Times New Roman"/>
        </w:rPr>
        <w:instrText xml:space="preserve">ADDIN ZOTERO_ITEM CSL_CITATION {"citationID":"KYIY6hjB","properties":{"unsorted":false,"formattedCitation":"(10)","plainCitation":"(10)","noteIndex":0},"citationItems":[{"id":652,"uris":["http://zotero.org/users/16875439/items/463EKNQL"],"itemData":{"id":652,"type":"article-journal","abstract":"The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In some cases, plants establish highly specialised symbiotic relationships with microbes to enhance nutrient acquisition. Two of the best-studied intracellular symbioses are arbuscular mycorrhizal symbiosis (AMS) and symbiotic nitrogen fixation (SNF), which are highly characterised at the molecular and genetic levels. In both associations, the plant host provides photosynthetically derived carbon to its microbial partner in exchange for mineral nutrients, primarily phosphorus in AMS and nitrogen in SNF </w:t>
      </w:r>
      <w:r>
        <w:fldChar w:fldCharType="begin"/>
      </w:r>
      <w:r>
        <w:rPr>
          <w:kern w:val="0"/>
          <w:rFonts w:cs="Times New Roman" w:ascii="Times New Roman" w:hAnsi="Times New Roman"/>
        </w:rPr>
        <w:instrText xml:space="preserve">ADDIN ZOTERO_ITEM CSL_CITATION {"citationID":"gYNpLUZ7","properties":{"unsorted":false,"formattedCitation":"(11)","plainCitation":"(11)","noteIndex":0},"citationItems":[{"id":655,"uris":["http://zotero.org/users/16875439/items/DY664738"],"itemData":{"id":655,"type":"article-journal","abstract":"Plants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AMS is highly prevalent in the plant kingdom, occurring in the majority of land plant species </w:t>
      </w:r>
      <w:r>
        <w:fldChar w:fldCharType="begin"/>
      </w:r>
      <w:r>
        <w:rPr>
          <w:kern w:val="0"/>
          <w:rFonts w:cs="Times New Roman" w:ascii="Times New Roman" w:hAnsi="Times New Roman"/>
        </w:rPr>
        <w:instrText xml:space="preserve">ADDIN ZOTERO_ITEM CSL_CITATION {"citationID":"fB5d7zay","properties":{"unsorted":false,"formattedCitation":"(12, 13)","plainCitation":"(12, 13)","noteIndex":0},"citationItems":[{"id":674,"uris":["http://zotero.org/users/16875439/items/T9TF7KZK"],"itemData":{"id":674,"type":"article-journal","abstract":"Arbuscular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(12, 13)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Under phosphate starvation, plants exude strigolactones into the soil </w:t>
      </w:r>
      <w:r>
        <w:fldChar w:fldCharType="begin"/>
      </w:r>
      <w:r>
        <w:rPr>
          <w:kern w:val="0"/>
          <w:rFonts w:cs="Times New Roman" w:ascii="Times New Roman" w:hAnsi="Times New Roman"/>
        </w:rPr>
        <w:instrText xml:space="preserve">ADDIN ZOTERO_ITEM CSL_CITATION {"citationID":"JiWQokOO","properties":{"unsorted":false,"formattedCitation":"(13\\uc0\\u8211{}16)","plainCitation":"(13–16)","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679,"uris":["http://zotero.org/users/16875439/items/X6A23LS3"],"itemData":{"id":679,"type":"article-journal","abstract":"Arbuscular mycorrhizal (AM) fungi form mutualistic, symbiotic associations with the roots of more than 80% of land plants. The fungi are incapable of completing their life cycle in the absence of a host root. Their spores can germinate and grow in the absence of a host, but their hyphal growth is very limited. Little is known about the molecular mechanisms that govern signalling and recognition between AM fungi and their host plants. In one of the first stages of host recognition, the hyphae of AM fungi show extensive branching in the vicinity of host roots before formation of the appressorium, the structure used to penetrate the plant root. Host roots are known to release signalling molecules that trigger hyphal branching, but these branching factors have not been isolated. Here we have isolated a branching factor from the root exudates of Lotus japonicus and used spectroscopic analysis and chemical synthesis to identify it as a strigolactone, 5-deoxy-strigol. Strigolactones are a group of sesquiterpene lactones, previously isolated as seed-germination stimulants for the parasitic weeds Striga and Orobanche. The natural strigolactones 5-deoxy-strigol, sorgolactone and strigol, and a synthetic analogue, GR24, induced extensive hyphal branching in germinating spores of the AM fungus Gigaspora margarita at very low concentrations.","container-title":"Nature","DOI":"10.1038/nature03608","ISSN":"1476-4687","issue":"7043","journalAbbreviation":"Nature","language":"eng","page":"824-827","PMID":"15944706","source":"PubMed","title":"Plant sesquiterpenes induce hyphal branching in arbuscular mycorrhizal fungi","volume":"435","author":[{"family":"Akiyama","given":"Kohki"},{"family":"Matsuzaki","given":"Ken-ichi"},{"family":"Hayashi","given":"Hideo"}],"issued":{"date-parts":[["2005",6,9]]}}},{"id":681,"uris":["http://zotero.org/users/16875439/items/J8QAFMFZ"],"itemData":{"id":681,"type":"article-journal","abstract":"Phosphorus (P) is an essential macronutrient for plant growth and development. Upon P shortage, plant responds with massive reprogramming of transcription, the Phosphate Starvation Response (PSR). In parallel, the production of strigolactones (SLs)—a class of plant hormones that regulates plant development and rhizosphere signaling molecules—increases. It is unclear, however, what the functional link is between these two processes. In this study, using tomato as a model, RNAseq was used to evaluate the time-resolved changes in gene expression in the roots upon P starvation and, using a tomato CAROTENOID CLEAVAGE DIOXYGENASES 8 (CCD8) RNAi line, what the role of SLs is in this.","container-title":"BMC Plant Biology","DOI":"10.1186/s12870-021-03124-0","ISSN":"1471-2229","issue":"1","journalAbbreviation":"BMC Plant Biol","language":"en","page":"349","source":"Springer Link","title":"The role of strigolactones in P deficiency induced transcriptional changes in tomato roots","volume":"21","author":[{"family":"Wang","given":"Yanting"},{"family":"Duran","given":"Hernando G. Suárez"},{"family":"Haarst","given":"Jan C.","non-dropping-particle":"van"},{"family":"Schijlen","given":"Elio G.W.M"},{"family":"Ruyter-Spira","given":"Carolien"},{"family":"Medema","given":"Marnix H."},{"family":"Dong","given":"Lemeng"},{"family":"Bouwmeester","given":"Harro J."}],"issued":{"date-parts":[["2021",7,23]]}}},{"id":683,"uris":["http://zotero.org/users/16875439/items/GXTMBHJU"],"itemData":{"id":683,"type":"article-journal","abstract":"Strigolactones were originally identified as stimulators of the germination of root-parasitic weeds that pose a serious threat to resource-limited agriculture. They are mostly exuded from roots and function as signalling compounds in the initiation of arbuscular mycorrhizae, which are plant-fungus symbionts with a global effect on carbon and phosphate cycling. Recently, strigolactones were established to be phytohormones that regulate plant shoot architecture by inhibiting the outgrowth of axillary buds. Despite their importance, it is not known how strigolactones are transported. ATP-binding cassette (ABC) transporters, however, are known to have functions in phytohormone translocation. Here we show that the Petunia hybrida ABC transporter PDR1 has a key role in regulating the development of arbuscular mycorrhizae and axillary branches, by functioning as a cellular strigolactone exporter. P. hybrida pdr1 mutants are defective in strigolactone exudation from their roots, resulting in reduced symbiotic interactions. Above ground, pdr1 mutants have an enhanced branching phenotype, which is indicative of impaired strigolactone allocation. Overexpression of Petunia axillaris PDR1 in Arabidopsis thaliana results in increased tolerance to high concentrations of a synthetic strigolactone, consistent with increased export of strigolactones from the roots. PDR1 is the first known component in strigolactone transport, providing new opportunities for investigating and manipulating strigolactone-dependent processes.","container-title":"Nature","DOI":"10.1038/nature10873","ISSN":"1476-4687","issue":"7389","journalAbbreviation":"Nature","language":"eng","page":"341-344","PMID":"22398443","source":"PubMed","title":"A petunia ABC protein controls strigolactone-dependent symbiotic signalling and branching","volume":"483","author":[{"family":"Kretzschmar","given":"Tobias"},{"family":"Kohlen","given":"Wouter"},{"family":"Sasse","given":"Joelle"},{"family":"Borghi","given":"Lorenzo"},{"family":"Schlegel","given":"Markus"},{"family":"Bachelier","given":"Julien B."},{"family":"Reinhardt","given":"Didier"},{"family":"Bours","given":"Ralph"},{"family":"Bouwmeester","given":"Harro J."},{"family":"Martinoia","given":"Enrico"}],"issued":{"date-parts":[["2012",3,7]]}}}],"schema":"https://github.com/citation-style-language/schema/raw/master/csl-citation.json"}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(13–16)</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which arbuscular mycorrhizal fungi (AMF) perceive and respond to by releasing Myc-factors </w:t>
      </w:r>
      <w:r>
        <w:fldChar w:fldCharType="begin"/>
      </w:r>
      <w:r>
        <w:rPr>
          <w:kern w:val="0"/>
          <w:rFonts w:cs="Times New Roman" w:ascii="Times New Roman" w:hAnsi="Times New Roman"/>
        </w:rPr>
        <w:instrText xml:space="preserve">ADDIN ZOTERO_ITEM CSL_CITATION {"citationID":"hQ1oqCb1","properties":{"unsorted":false,"formattedCitation":"(12, 17)","plainCitation":"(12, 17)","noteIndex":0},"citationItems":[{"id":674,"uris":["http://zotero.org/users/16875439/items/T9TF7KZK"],"itemData":{"id":674,"type":"article-journal","abstract":"Arbuscular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mycorrhiza","volume":"6","author":[{"family":"Parniske","given":"Martin"}],"issued":{"date-parts":[["2008",10]]}}},{"id":685,"uris":["http://zotero.org/users/16875439/items/SRTS5MGJ"],"itemData":{"id":685,"type":"article-journal","abstract":"Arbuscular mycorrhiza (AM) is a root endosymbiosis between plants and glomeromycete fungi. It is the most widespread terrestrial plant symbiosis, improving plant uptake of water and mineral nutrients. Yet, despite its crucial role in land ecosystems, molecular mechanisms leading to its formation are just beginning to be unravelled. Recent evidence suggests that AM fungi produce diffusible symbiotic signals. Here we show that Glomus intraradices secretes symbiotic signals that are a mixture of sulphated and non-sulphated simple lipochitooligosaccharides (LCOs), which stimulate formation of AM in plant species of diverse families (Fabaceae, Asteraceae and Umbelliferae). In the legume Medicago truncatula these signals stimulate root growth and branching by the symbiotic DMI signalling pathway. These findings provide a better understanding of the evolution of signalling mechanisms involved in plant root endosymbioses and will greatly facilitate their molecular dissection. They also open the way to using these natural and very active molecules in agriculture.","container-title":"Nature","DOI":"10.1038/nature09622","ISSN":"1476-4687","issue":"7328","journalAbbreviation":"Nature","language":"eng","page":"58-63","PMID":"21209659","source":"PubMed","title":"Fungal lipochitooligosaccharide symbiotic signals in arbuscular mycorrhiza","volume":"469","author":[{"family":"Maillet","given":"Fabienne"},{"family":"Poinsot","given":"Véréna"},{"family":"André","given":"Olivier"},{"family":"Puech-Pagès","given":"Virginie"},{"family":"Haouy","given":"Alexandra"},{"family":"Gueunier","given":"Monique"},{"family":"Cromer","given":"Laurence"},{"family":"Giraudet","given":"Delphine"},{"family":"Formey","given":"Damien"},{"family":"Niebel","given":"Andreas"},{"family":"Martinez","given":"Eduardo Andres"},{"family":"Driguez","given":"Hugues"},{"family":"Bécard","given":"Guillaume"},{"family":"Dénarié","given":"Jean"}],"issued":{"date-parts":[["2011",1,6]]}}}],"schema":"https://github.com/citation-style-language/schema/raw/master/csl-citation.json"}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(12, 17)</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These signals are recognised by specialised plant receptors </w:t>
      </w:r>
      <w:r>
        <w:fldChar w:fldCharType="begin"/>
      </w:r>
      <w:r>
        <w:rPr>
          <w:kern w:val="0"/>
          <w:rFonts w:cs="Times New Roman" w:ascii="Times New Roman" w:hAnsi="Times New Roman"/>
        </w:rPr>
        <w:instrText xml:space="preserve">ADDIN ZOTERO_ITEM CSL_CITATION {"citationID":"pDRxjNcs","properties":{"unsorted":false,"formattedCitation":"(13)","plainCitation":"(13)","noteIndex":0},"citationItems":[{"id":676,"uris":["http://zotero.org/users/16875439/items/GJKQGUL6"],"itemData":{"id":676,"type":"article-journal","abstract":"Most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triggering calcium oscillations that activate downstream symbiosis signalling, enabling AMF to colonise the root cortex and form highly branched intracellular feeding structures known as ‘arbuscules’ </w:t>
      </w:r>
      <w:r>
        <w:fldChar w:fldCharType="begin"/>
      </w:r>
      <w:r>
        <w:rPr>
          <w:kern w:val="0"/>
          <w:rFonts w:cs="Times New Roman" w:ascii="Times New Roman" w:hAnsi="Times New Roman"/>
        </w:rPr>
        <w:instrText xml:space="preserve">ADDIN ZOTERO_ITEM CSL_CITATION {"citationID":"euc9il8T","properties":{"unsorted":false,"formattedCitation":"(11, 12, 18, 19)","plainCitation":"(11, 12, 18, 19)","noteIndex":0},"citationItems":[{"id":655,"uris":["http://zotero.org/users/16875439/items/DY664738"],"itemData":{"id":655,"type":"article-journal","abstract":"Plants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mycorrhiza","volume":"6","author":[{"family":"Parniske","given":"Martin"}],"issued":{"date-parts":[["2008",10]]}}},{"id":687,"uris":["http://zotero.org/users/16875439/items/9EDA4J47"],"itemData":{"id":687,"type":"article-journal","abstract":"Understanding how the cell uses a limited set of proteins to transduce very different signals into specific cellular responses is a central goal of cell biology and signal transduction disciplines. Although multifunctionality in signal transduction is widespread, the mechanisms that allow differential modes of signaling in multifunctional signaling pathways are not well defined. In legume plants, a common symbiosis signaling pathway composed of at least seven proteins mediates infection by both mycorrhizal fungi and rhizobial bacteria. Here we show that the symbiosis signaling pathway in legumes differentially transduces both bacterial and fungal signals (inputs) to generate alternative calcium responses (outputs). We show that these differential calcium responses are dependent on the same proteins, DMI1 and DMI2, for their activation, indicating an inherent flexibility in this signaling pathway. By using Lyapunov and other mathematical analyses, we discovered that both bacterial-induced and fungal-induced calcium responses are chaotic in nature. Chaotic systems require minimal energy to produce a wide spectrum of outputs in response to marginally different inputs. The flexibility provided by chaotic systems is consistent with the need to transduce two different signals, one from rhizobial bacteria and one from mycorrhizal fungi, by using common components of a single signaling pathway.","container-title":"Proceedings of the National Academy of Sciences","DOI":"10.1073/pnas.0803499105","issue":"28","page":"9823-9828","publisher":"Proceedings of the National Academy of Sciences","source":"pnas.org (Atypon)","title":"Differential and chaotic calcium signatures in the symbiosis signaling pathway of legumes","volume":"105","author":[{"family":"Kosuta","given":"Sonja"},{"family":"Hazledine","given":"Saul"},{"family":"Sun","given":"Jongho"},{"family":"Miwa","given":"Hiroki"},{"family":"Morris","given":"Richard J."},{"family":"Downie","given":"J. Allan"},{"family":"Oldroyd","given":"Giles E. D."}],"issued":{"date-parts":[["2008",7,15]]}}},{"id":689,"uris":["http://zotero.org/users/16875439/items/5HM8UZH3"],"itemData":{"id":689,"type":"article-journal","abstract":"Arbuscular mycorrhizas (AM) are widespread, ancient endosymbiotic associations that contribute significantly to soil nutrient uptake in plants. We have previously shown that initial fungal penetration of the host root is mediated via a specialized cytoplasmic assembly called the prepenetration apparatus (PPA), which directs AM hyphae through the epidermis (Genre et al., 2005). In vivo confocal microscopy studies performed on Medicago truncatula and Daucus carota, host plants with different patterns of AM colonization, now reveal that subsequent intracellular growth across the root outer cortex is also PPA dependent. On the other hand, inner root cortical colonization leading to arbuscule development involves more varied and complex PPA-related mechanisms. In particular, a striking alignment of polarized PPAs can be observed in adjacent inner cortical cells of D. carota, correlating with the intracellular root colonization strategy of this plant. Ultrastructural analysis of these PPA-containing cells reveals intense membrane trafficking coupled with nuclear enlargement and remodeling, typical features of arbusculated cells. Taken together, these findings imply that prepenetration responses are both conserved and modulated throughout the AM symbiosis as a function of the different stages of fungal accommodation and the host-specific pattern of root colonization. We propose a model for intracellular AM fungal accommodation integrating peri-arbuscular interface formation and the regulation of functional arbuscule development.","container-title":"The Plant Cell","DOI":"10.1105/tpc.108.059014","ISSN":"1040-4651","issue":"5","journalAbbreviation":"Plant Cell","language":"eng","page":"1407-1420","PMID":"18515499","PMCID":"PMC2438458","source":"PubMed","title":"Prepenetration apparatus assembly precedes and predicts the colonization patterns of arbuscular mycorrhizal fungi within the root cortex of both Medicago truncatula and Daucus carota","volume":"20","author":[{"family":"Genre","given":"Andrea"},{"family":"Chabaud","given":"Mireille"},{"family":"Faccio","given":"Antonella"},{"family":"Barker","given":"David G."},{"family":"Bonfante","given":"Paola"}],"issued":{"date-parts":[["2008",5]]}}}],"schema":"https://github.com/citation-style-language/schema/raw/master/csl-citation.json"}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(11, 12, 18, 19)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These structures provide an extended surface area for nutrient exchange, where the plant supplies carbon sources to the fungus in return for phosphorus </w:t>
      </w:r>
      <w:r>
        <w:fldChar w:fldCharType="begin"/>
      </w:r>
      <w:r>
        <w:rPr>
          <w:kern w:val="0"/>
          <w:rFonts w:cs="Times New Roman" w:ascii="Times New Roman" w:hAnsi="Times New Roman"/>
        </w:rPr>
        <w:instrText xml:space="preserve">ADDIN ZOTERO_ITEM CSL_CITATION {"citationID":"6tm6Xbev","properties":{"unsorted":false,"formattedCitation":"(13, 20)","plainCitation":"(13, 20)","noteIndex":0},"citationItems":[{"id":676,"uris":["http://zotero.org/users/16875439/items/GJKQGUL6"],"itemData":{"id":676,"type":"article-journal","abstract":"Most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691,"uris":["http://zotero.org/users/16875439/items/6WTVWY9R"],"itemData":{"id":691,"type":"article-journal","abstract":"Arbuscular mycorrhiza (AM) is a widespread symbiosis between most land plants and fungi of the Glomeromycotina, which has existed for more than 400million years. AM fungi (AMF) improve plant nutrition with mineral nutrients and conversely, their growth and development is fueled by organic carbon supplied from their host. Recent studies demonstrated independently and with different experimental approaches that lipids are transferred from plants to fungi in addition to sugars, and that AMF are dependent on this lipid supply because they lack genes encoding fatty acid synthase I subunits. Dependence on host lipids or lipid parasitism occur in a range of interorganismic associations with participants from almost all kingdoms. Thus, these phenomena seem rather common in mutualistic and parasitic interactions.","container-title":"Current Opinion in Plant Biology","DOI":"10.1016/j.pbi.2018.04.005","ISSN":"1879-0356","journalAbbreviation":"Curr Opin Plant Biol","language":"eng","page":"137-144","PMID":"29729528","source":"PubMed","title":"Cross-kingdom lipid transfer in arbuscular mycorrhiza symbiosis and beyond","volume":"44","author":[{"family":"Keymer","given":"Andreas"},{"family":"Gutjahr","given":"Caroline"}],"issued":{"date-parts":[["2018",8]]}}}],"schema":"https://github.com/citation-style-language/schema/raw/master/csl-citation.json"}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(13, 20)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In contrast, SNF with nitrogen-fixing bacteria is far less widespread, occurring only in legumes and the tree </w:t>
      </w:r>
      <w:r>
        <w:rPr>
          <w:rFonts w:cs="Times New Roman" w:ascii="Times New Roman" w:hAnsi="Times New Roman"/>
          <w:i/>
          <w:iCs/>
          <w:kern w:val="0"/>
        </w:rPr>
        <w:t>Parasponia</w:t>
      </w:r>
      <w:r>
        <w:rPr>
          <w:rFonts w:cs="Times New Roman" w:ascii="Times New Roman" w:hAnsi="Times New Roman"/>
          <w:kern w:val="0"/>
        </w:rPr>
        <w:t xml:space="preserve"> </w:t>
      </w:r>
      <w:r>
        <w:fldChar w:fldCharType="begin"/>
      </w:r>
      <w:r>
        <w:rPr>
          <w:kern w:val="0"/>
          <w:rFonts w:cs="Times New Roman" w:ascii="Times New Roman" w:hAnsi="Times New Roman"/>
        </w:rPr>
        <w:instrText xml:space="preserve">ADDIN ZOTERO_ITEM CSL_CITATION {"citationID":"YqCV8B4w","properties":{"unsorted":false,"formattedCitation":"(21, 22)","plainCitation":"(21, 22)","noteIndex":0},"citationItems":[{"id":693,"uris":["http://zotero.org/users/16875439/items/47I442CR"],"itemData":{"id":693,"type":"article-journal","abstract":"Plants associate with nitrogen-fixing bacteria to secure nitrogen, which is generally the most limiting nutrient for plant growth. Endosymbiotic nitrogen-fixing associations are widespread among diverse plant lineages, ranging from microalgae to angiosperms, and are primarily one of three types: cyanobacterial, actinorhizal or rhizobial. The large overlap in the signaling pathways and infection components of arbuscular mycorrhizal, actinorhizal and rhizobial symbioses reflects their evolutionary relatedness. These beneficial associations are influenced by environmental factors and other microorganisms in the rhizosphere. In this review, we summarize the diversity of nitrogen-fixing symbioses, key signal transduction pathways and colonization mechanisms relevant to such interactions, and compare and contrast these interactions with arbuscular mycorrhizal associations from an evolutionary standpoint. Additionally, we highlight recent studies on environmental factors regulating nitrogen-fixing symbioses to provide insights into the adaptation of symbiotic plants to complex environments.","container-title":"Current Biology","DOI":"10.1016/j.cub.2023.04.053","ISSN":"0960-9822","issue":"11","journalAbbreviation":"Current Biology","page":"R543-R559","source":"ScienceDirect","title":"Diversity and regulation of symbiotic nitrogen fixation in plants","volume":"33","author":[{"family":"Xu","given":"Peng"},{"family":"Wang","given":"Ertao"}],"issued":{"date-parts":[["2023",6,5]]}}},{"id":695,"uris":["http://zotero.org/users/16875439/items/XMSBY7AK"],"itemData":{"id":695,"type":"article-journal","abstract":"Organisms rely on symbiotic associations for metabolism, protection, and energy. However, these intimate partnerships can be vulnerable to exploitation. What prevents microbial mutualists from parasitizing their hosts? In legumes, there is evidence that hosts have evolved sophisticated mechanisms to manage their symbiotic rhizobia, but the generality and evolutionary origins of these control mechanisms are under debate. Here, we focused on the symbiosis between Parasponia hosts and N2-fixing rhizobium bacteria. Parasponia is the only non-legume lineage to have evolved a rhizobial symbiosis and thus provides an evolutionary replicate to test how rhizobial exploitation is controlled. A key question is whether Parasponia hosts can prevent colonization of rhizobia under high nitrogen conditions, when the contribution of the symbiont becomes nonessential. We grew Parasponia andersonii inoculated with Bradyrhizobium elkanii under four ammonium nitrate concentrations in a controlled growth chamber. We measured shoot and root dry weight, nodule number, nodule fresh weight, nodule volume. To quantify viable rhizobial populations in planta, we crushed nodules and determined colony forming units (CFU), as a rhizobia fitness proxy. We show that, like legumes and actinorhizal plants, P. andersonii is able to control nodule symbiosis in response to exogenous nitrogen. While the relative host growth benefits of inoculation decreased with nitrogen fertilization, our highest ammonium nitrate concentration (3.75 mM) was sufficient to prevent nodule formation on inoculated roots. Rhizobial populations were highest in nitrogen free medium. While we do not yet know the mechanism, our results suggest that control mechanisms over rhizobia are not exclusive to the legume clade.","container-title":"Frontiers in Plant Science","DOI":"10.3389/fpls.2019.01779","ISSN":"1664-462X","journalAbbreviation":"Front Plant Sci","language":"eng","page":"1779","PMID":"32117343","PMCID":"PMC7019102","source":"PubMed","title":"The Non-Legume Parasponia andersonii Mediates the Fitness of Nitrogen-Fixing Rhizobial Symbionts Under High Nitrogen Conditions","volume":"10","author":[{"family":"Dupin","given":"Simon E."},{"family":"Geurts","given":"René"},{"family":"Kiers","given":"E. Toby"}],"issued":{"date-parts":[["2019"]]}}}],"schema":"https://github.com/citation-style-language/schema/raw/master/csl-citation.json"}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(21, 22)</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Legumes release flavonoids </w:t>
      </w:r>
      <w:r>
        <w:fldChar w:fldCharType="begin"/>
      </w:r>
      <w:r>
        <w:rPr>
          <w:kern w:val="0"/>
          <w:rFonts w:cs="Times New Roman" w:ascii="Times New Roman" w:hAnsi="Times New Roman"/>
        </w:rPr>
        <w:instrText xml:space="preserve">ADDIN ZOTERO_ITEM CSL_CITATION {"citationID":"rmrgm9vw","properties":{"unsorted":false,"formattedCitation":"(11, 23, 24)","plainCitation":"(11, 23, 24)","noteIndex":0},"citationItems":[{"id":655,"uris":["http://zotero.org/users/16875439/items/DY664738"],"itemData":{"id":655,"type":"article-journal","abstract":"Plants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D."}],"issued":{"date-parts":[["2013",4]]}}},{"id":698,"uris":["http://zotero.org/users/16875439/items/PABQWDPG"],"itemData":{"id":698,"type":"article-journal","abstract":"As a major component of plant specialized metabolism, phenylpropanoid biosynthetic pathways provide anthocyanins for pigmentation, flavonoids such as flavones for protection against UV photodamage, various flavonoid and isoflavonoid inducers of Rhizobium nodulation genes, polymeric lignin for structural support and assorted antimicrobial phytoalexins. As constituents of plant-rich diets and an assortment of herbal medicinal agents, the phenylpropanoids exhibit measurable cancer chemopreventive, antimitotic, estrogenic, antimalarial, antioxidant and antiasthmatic activities. The health benefits of consuming red wine, which contains significant amounts of 3,4',5-trihydroxystilbene (resveratrol) and other phenylpropanoids, highlight the increasing awareness in the medical community and the public at large as to the potential dietary importance of these plant derived compounds. As recently as a decade ago, little was known about the three-dimensional structure of the enzymes involved in these highly branched biosynthetic pathways. Ten years ago, we initiated X-ray crystallographic analyses of key enzymes of this pathway, complemented by biochemical and enzyme engineering studies. We first investigated chalcone synthase (CHS), the entry point of the flavonoid pathway, and its close relative stilbene synthase (STS). Work soon followed on the O-methyl transferases (OMTs) involved in modifications of chalcone, isoflavonoids and metabolic precursors of lignin. More recently, our groups and others have extended the range of phenylpropanoid pathway structural investigations to include the upstream enzymes responsible for the initial recruitment of phenylalanine and tyrosine, as well as a number of reductases, acyltransferases and ancillary tailoring enzymes of phenylpropanoid-derived metabolites. These structure-function studies collectively provide a comprehensive view of an important aspect of phenylpropanoid metabolism. More specifically, these atomic resolution insights into the architecture and mechanistic underpinnings of phenylpropanoid metabolizing enzymes contribute to our understanding of the emergence and on-going evolution of specialized phenylpropanoid products, and underscore the molecular basis of metabolic biodiversity at the chemical level. Finally, the detailed knowledge of the structure, function and evolution of these enzymes of specialized metabolism provide a set of experimental templates for the enzyme and metabolic engineering of production platforms for diverse novel compounds with desirable dietary and medicinal properties.","container-title":"Plant physiology and biochemistry: PPB","DOI":"10.1016/j.plaphy.2007.12.009","ISSN":"0981-9428","issue":"3","journalAbbreviation":"Plant Physiol Biochem","language":"eng","page":"356-370","PMID":"18272377","PMCID":"PMC2860624","source":"PubMed","title":"Structure and function of enzymes involved in the biosynthesis of phenylpropanoids","volume":"46","author":[{"family":"Ferrer","given":"J.-L."},{"family":"Austin","given":"M. B."},{"family":"Stewart","given":"C."},{"family":"Noel","given":"J. P."}],"issued":{"date-parts":[["2008",3]]}}},{"id":611,"uris":["http://zotero.org/users/16875439/items/FH53YT7M"],"itemData":{"id":611,"type":"article-journal","abstract":"Flavonoids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(11, 23, 24)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that are detected by nitrogen-fixing bacteria in the soil and activate bacterial production of Nod-factors </w:t>
      </w:r>
      <w:r>
        <w:fldChar w:fldCharType="begin"/>
      </w:r>
      <w:r>
        <w:rPr>
          <w:kern w:val="0"/>
          <w:rFonts w:cs="Times New Roman" w:ascii="Times New Roman" w:hAnsi="Times New Roman"/>
        </w:rPr>
        <w:instrText xml:space="preserve">ADDIN ZOTERO_ITEM CSL_CITATION {"citationID":"Ota85plY","properties":{"unsorted":false,"formattedCitation":"(24, 25)","plainCitation":"(24, 25)","noteIndex":0},"citationItems":[{"id":611,"uris":["http://zotero.org/users/16875439/items/FH53YT7M"],"itemData":{"id":611,"type":"article-journal","abstract":"Flavonoids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D."}],"issued":{"date-parts":[["2016",8,11]]}}},{"id":701,"uris":["http://zotero.org/users/16875439/items/6G5WDC92"],"itemData":{"id":701,"type":"article-journal","abstract":"Nitrogen is essential for the growth of plants. The ability of some plant species to obtain all or part of their requirement for nitrogen by interacti...","container-title":"International Journal of Molecular Sciences","DOI":"10.3390/ijms21165926","ISSN":"1422-0067","issue":"16","language":"en","license":"http://creativecommons.org/licenses/by/3.0/","publisher":"publisher","source":"www.mdpi.com","title":"The Significance of Flavonoids in the Process of Biological Nitrogen Fixation","URL":"https://www.mdpi.com/1422-0067/21/16/5926","volume":"21","author":[{"family":"Dong","given":"Wei"},{"family":"Song","given":"Yuguang"}],"accessed":{"date-parts":[["2026",2,17]]},"issued":{"date-parts":[["2020",8,18]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(24, 25)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These signals are perceived by the plant, triggering symbiosis signalling, as seen in AMS, but leading to the development of specialised root-derived organelles called ‘nodules’, inside which nitrogen-fixing rhizobia are endocytosed </w:t>
      </w:r>
      <w:r>
        <w:fldChar w:fldCharType="begin"/>
      </w:r>
      <w:r>
        <w:rPr>
          <w:kern w:val="0"/>
          <w:rFonts w:cs="Times New Roman" w:ascii="Times New Roman" w:hAnsi="Times New Roman"/>
        </w:rPr>
        <w:instrText xml:space="preserve">ADDIN ZOTERO_ITEM CSL_CITATION {"citationID":"f5tpVyFt","properties":{"unsorted":false,"formattedCitation":"(11)","plainCitation":"(11)","noteIndex":0},"citationItems":[{"id":655,"uris":["http://zotero.org/users/16875439/items/DY664738"],"itemData":{"id":655,"type":"article-journal","abstract":"Plants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Nitrogen fixation is then facilitated by host-supplied sugars and tightly controlled oxygen levels mediated by leghemoglobin </w:t>
      </w:r>
      <w:r>
        <w:fldChar w:fldCharType="begin"/>
      </w:r>
      <w:r>
        <w:rPr>
          <w:kern w:val="0"/>
          <w:rFonts w:cs="Times New Roman" w:ascii="Times New Roman" w:hAnsi="Times New Roman"/>
        </w:rPr>
        <w:instrText xml:space="preserve">ADDIN ZOTERO_ITEM CSL_CITATION {"citationID":"bhqAC8VG","properties":{"unsorted":false,"formattedCitation":"(26\\uc0\\u8211{}30)","plainCitation":"(26–30)","noteIndex":0},"citationItems":[{"id":703,"uris":["http://zotero.org/users/16875439/items/N7L2TWMF"],"itemData":{"id":703,"type":"article-journal","abstract":"Legumes form a symbiosis with rhizobia, a soil bacterium that allows them to access atmospheric nitrogen and deliver it to the plant for growth. Biolo...","container-title":"Molecules","DOI":"10.3390/molecules26226876","ISSN":"1420-3049","issue":"22","language":"en","license":"http://creativecommons.org/licenses/by/3.0/","publisher":"publisher","source":"www.mdpi.com","title":"Malate Transport and Metabolism in Nitrogen-Fixing Legume Nodules","URL":"https://www.mdpi.com/1420-3049/26/22/6876","volume":"26","author":[{"family":"Booth","given":"Nicholas J."},{"family":"Smith","given":"Penelope M. C."},{"family":"Ramesh","given":"Sunita A."},{"family":"Day","given":"David A."}],"accessed":{"date-parts":[["2026",2,17]]},"issued":{"date-parts":[["2021",11,15]]}}},{"id":705,"uris":["http://zotero.org/users/16875439/items/IRR4BV7I"],"itemData":{"id":705,"type":"article-journal","abstract":"The literature concerning the metabolism of carbon compounds during the reduction, assimilation and translocation of nitrogen in root nodules of leguminous plants is reviewed. The reduction of dinitrogen requires an energy source (ATP) and a reluctant which are both supplied by respiratory catabolism of carbohydrates produced by the host plant. Photosynthates are also required to generate the carbon skeletons for amino acid or urcide synthesis during the assimilation of ammonia produced by the bacteria within the nodule tissue. Competition for photosynthates occurs between the bacteroids, nodule tissue and the various vegetative and reproductive sinks in the host plant. The nature of carbon compounds involved in these processes, their routes of metabolism, the mechanisms of control and the partitioning of metabolises between the various sites of utilization are only poorly understood. It is apparent that dinitrogen is reduced to ammonia in the bacteroids. Both fast- and slow-growing strains of Rhizobium possess the Entner-Doudoroff pathway of glucose catabolism, and some, if not all, enzymes of the Emden-Meyerhof pathway. Some bacterial cultures also metabolize carbon through the ketogluconate pathway but only the fast-growing strains of cultured rhizobia possess the key enzyme of the pentose phosphate pathway (6-phosphogluconate dehydrogenase). The host cells are thought to contain the complete Emden-Meyerhof pathway and tricarboxylic acid cycle, which provides the carbon skeletons for assimilation of the ammonia, formed by the bacteroids, into α-amino acids. A pathway of anapleurotic carbon conservation, operative in the host cells, synthesizes oxaloacetic acid through β-carboxylation of phosphoenol pyruvate. This process could be important in the recapture and assimilation of respired CO2 in the rhizosphere. The main route of assimilation of ammonia produced by the bacteroids would appear to be via the glutamine synthetase-glutamate synthase pathway in the host cells. However, glutamate dehydrogenase may also be involved in ammonia assimilation. These enzymes also occur in in vitro cultures of Rhizobium and in bacteroids where they presumably participate in the synthesis of amino acids for growth of the bacteria or bacteroids. Nitrogen assimilated into glutamine or glutamate is exported from the nodules in a variety of forms, which include asparagine, glutamine, aspartate, homoserine and allantoates, in proportions which depend on the legume species. Studies on regulation of the overall process have focussed on expression of bacteroid genes and on the control of enzyme activity, at the level of nitrogenase and enzymes of nitrogen assimilation in particular. However, due to the wide range of experimental techniques, environmental conditions and plant species which have been used, no clear conclusions can yet be drawn. The pathways of carbon flow in nitrogen metabolism, particularly in relation to the synthesis of ureides and the regulation of carbon metabolism, remain key areas for future research in symbiotic nitrogen fixation.","container-title":"Phytochemistry","DOI":"10.1016/0031-9422(80)83181-5","ISSN":"0031-9422","issue":"3","journalAbbreviation":"Phytochemistry","page":"341-355","source":"ScienceDirect","title":"Carbon and nitrogen metabolism in legume root nodules","volume":"19","author":[{"family":"Rawsthorne","given":"Stephen"},{"family":"Minchin","given":"Frank R."},{"family":"Summerfield","given":"Rodney J."},{"family":"Cookson","given":"Claire"},{"family":"Coombs","given":"James"}],"issued":{"date-parts":[["1980",1,1]]}}},{"id":708,"uris":["http://zotero.org/users/16875439/items/U3LIVH5P"],"itemData":{"id":708,"type":"article-journal","abstract":"The previously published simulation of physiological functions occurring in infected cells of soybean nodules has been extended to include consideration of the diffusion of N2 from the outside of a nodule to the nitrogen-fixing bacteroids, in relation to published values for the apparentKm(N2) for nitrogen fixation in the soybean nodule system. Nitrogen fixation is driven by bacteroid respiration, so increases in the average relative oxygenation (Y) of cytoplasmic leghaemoglobin lead to increased bacteroid respiration, increased nitrogen fixation, and greater differences in concentration of dissolved N2 between the cell surface and the innermost bacteroids (d[N2]). Over the range ofY considered, values for d[N2] were from 5.2- to 6.2-fold greater than the corresponding values for d[O2], because of facilitation of O2 flux by cytoplasmic leghaemoglobin. Gradients of [N2] within symbiosomes are small relative to cytoplasmic values and at the symbiosome surface [N2] was greater than 0.4 mol/m3 at the greatest rates of nitrogen fixation calculated. Therefore, it is unlikely that values for [N2] anywhere in the infected cell are low enough to affect rates of nitrogen fixation significantly, unless low external atmospheric N2 pressures are used experimentally.","container-title":"Protoplasma","DOI":"10.1007/BF01279260","ISSN":"1615-6102","issue":"1","journalAbbreviation":"Protoplasma","language":"en","page":"137-142","source":"Springer Link","title":"Delivery of N2 to bacteroids in simulated soybean nodule cells: consideration of gradients of concentration of dissolved N2 in cell walls, cytoplasm, and symbiosomes","title-short":"Delivery of N2 to bacteroids in simulated soybean nodule cells","volume":"206","author":[{"family":"Bergersen","given":"F. J."}],"issued":{"date-parts":[["1999",3,1]]}}},{"id":710,"uris":["http://zotero.org/users/16875439/items/U3BSCMFU"],"itemData":{"id":710,"type":"article-journal","abstract":"Symbiotic nitrogen fixation by rhizobia in legume root nodules injects approximately 40 million tonnes of nitrogen into agricultural systems each year. In exchange for reduced nitrogen from the bacteria, the plant provides rhizobia with reduced carbon and all the essential nutrients required for bacterial metabolism. Symbiotic nitrogen fixation requires exquisite integration of plant and bacterial metabolism. Central to this integration are transporters of both the plant and the rhizobia, which transfer elements and compounds across various plant membranes and the two bacterial membranes. Here we review current knowledge of legume and rhizobial transport and metabolism as they relate to symbiotic nitrogen fixation. Although all legume-rhizobia symbioses have many metabolic features in common, there are also interesting differences between them, which show that evolution has solved metabolic problems in different ways to achieve effective symbiosis in different systems.","container-title":"Annual Review of Plant Biology","DOI":"10.1146/annurev-arplant-050312-120235","ISSN":"1545-2123","journalAbbreviation":"Annu Rev Plant Biol","language":"eng","page":"781-805","PMID":"23451778","source":"PubMed","title":"Transport and metabolism in legume-rhizobia symbioses","volume":"64","author":[{"family":"Udvardi","given":"Michael"},{"family":"Poole","given":"Philip S."}],"issued":{"date-parts":[["2013"]]}}},{"id":712,"uris":["http://zotero.org/users/16875439/items/ED9DQCP4"],"itemData":{"id":712,"type":"article-journal","abstract":"Respiration in support of N(2) fixation by rhizobia in legume root nodules depends on an adequate supply of O(2), but excessive O(2) can damage nitrogenase, the key enzyme. The movement of O(2) into and within the nodule is driven by gradients in the concentration of O(2) or in the oxygenation of the O(2)-carrier, leghaemoglobin. Steeper gradients may increase flux to the sites of respiration, but gradients also raise the possibility of inadequate O(2) in some nodule zones and excessive O(2) in others. No detailed study of O(2) gradients in the interior of nodules has been published previously. Spectral changes in leghaemoglobin with oxygenation, previously used to measure the average O(2) status of the nodule interior, were used to map longitudinal gradients in O(2) and in respiratory capacity in the elongated nodules of alfalfa (Medicago sativa L.) and sweetclover (Melilotus officinalis L.). Variability among nodules under air in the magnitude and direction of internal O(2) gradients was seen in both species. Despite consistently higher respiratory capacity near the meristematic tip, a majority of nodules had higher O(2) towards the tip than towards the base. These results contrast with a previous report, apparently based on limited data, but they are consistent with anatomical and tracer studies showing higher gas permeability near the tip.","container-title":"Journal of Experimental Botany","DOI":"10.1093/jxb/erg097","ISSN":"0022-0957","issue":"384","journalAbbreviation":"J Exp Bot","language":"eng","page":"1085-1091","PMID":"12598578","source":"PubMed","title":"Leghaemoglobin oxygenation gradients in alfalfa and yellow sweetclover nodules","volume":"54","author":[{"family":"Denison","given":"R. Ford"},{"family":"Okano","given":"Yutaka"}],"issued":{"date-parts":[["2003",3]]}}}],"schema":"https://github.com/citation-style-language/schema/raw/master/csl-citation.json"}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(26–30)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Together, SNF and AMS are essential strategies enabling plants to acquire nutrients critical for growth and reproduction.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Both symbioses are controlled by a shared genetic pathway known as the ‘Common Symbiosis Signalling Pathway’ (CSSP), which is conserved across land plants </w:t>
      </w:r>
      <w:r>
        <w:fldChar w:fldCharType="begin"/>
      </w:r>
      <w:r>
        <w:rPr>
          <w:kern w:val="0"/>
          <w:rFonts w:cs="Times New Roman" w:ascii="Times New Roman" w:hAnsi="Times New Roman"/>
        </w:rPr>
        <w:instrText xml:space="preserve">ADDIN ZOTERO_ITEM CSL_CITATION {"citationID":"LwNTrGcS","properties":{"unsorted":false,"formattedCitation":"(11, 12, 31\\uc0\\u8211{}34)","plainCitation":"(11, 12, 31–34)","noteIndex":0},"citationItems":[{"id":655,"uris":["http://zotero.org/users/16875439/items/DY664738"],"itemData":{"id":655,"type":"article-journal","abstract":"Plants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mycorrhiza","volume":"6","author":[{"family":"Parniske","given":"Martin"}],"issued":{"date-parts":[["2008",10]]}}},{"id":714,"uris":["http://zotero.org/users/16875439/items/NEQ9HF62"],"itemData":{"id":714,"type":"chapter","abstract":"Interestingly, part of the common symbiotic signaling pathway (CSSP or SYM) has been co-opted by other symbiotic interactions besides legume or Mycorrhizae. Therefore the rhizobial symbiosis has co-opted elements of the AM symbiosis. In fact several Medicago truncatula legume mutants in genes in the signal transduction pathway are simultaneously Nod- and Myc-, while other components, such as NSP1 seem to have been duplicated from the AM SYM pathway and recruited specifically for the Rhizobium-legume symbiosis. Monocots, such as rice, also interact symbiotically with mycorrhizal fungi and contain a CSSP or SYM pathway similar to that in legumes, suggesting an ancient origin of this signaling pathway, and revealing an extraordinary degree of conservation. Selected cross-complementation experiments have shown that some but not all rice CSSP pathway genes are functionally conserved with the corresponding legume genes.","container-title":"The Model Legume Medicago truncatula","DOI":"10.1002/9781119409144.part8","ISBN":"978-1-119-40914-4","language":"en","license":"Copyright © 2020 John Wiley &amp; Sons, Inc. All rights reserved.","note":"section: 8\n_eprint: https://onlinelibrary.wiley.com/doi/pdf/10.1002/9781119409144.part8\nDOI: 10.1002/9781119409144.part8","page":"521-521","publisher":"John Wiley &amp; Sons, Ltd","source":"Wiley Online Library","title":"The common symbiotic signaling pathway (CSSP or SYM)","URL":"https://onlinelibrary.wiley.com/doi/abs/10.1002/9781119409144.part8","author":[{"family":"Bruijn","given":"Frans J.","non-dropping-particle":"de"}],"accessed":{"date-parts":[["2026",2,17]]},"issued":{"date-parts":[["2020"]]}}},{"id":716,"uris":["http://zotero.org/users/16875439/items/VWELNMB9"],"itemData":{"id":716,"type":"article-journal","abstract":"During 450 million years of diversification on land, plants and microbes have evolved together. This is reflected in today’s continuum of associations, ranging from parasitism to mutualism. Through phylogenetics, cell biology, and reverse genetics extending beyond flowering plants into bryophytes, scientists have started to unravel the genetic basis and evolutionary trajectories of plant-microbe associations. Protection against pathogens and support of beneficial, symbiotic, microorganisms are sustained by a blend of conserved and clade-specific plant mechanisms evolving at different speeds. We propose that symbiosis consistently emerges from the co-option of protection mechanisms and general cell biology principles. Exploring and harnessing the diversity of molecular mechanisms used in nonflowering plant-microbe interactions may extend the possibilities for engineering symbiosis-competent and pathogen-resilient crops.","container-title":"Science","DOI":"10.1126/science.aba6605","issue":"6531","page":"eaba6605","publisher":"American Association for the Advancement of Science","source":"science.org (Atypon)","title":"Plant evolution driven by interactions with symbiotic and pathogenic microbes","volume":"371","author":[{"family":"Delaux","given":"Pierre-Marc"},{"family":"Schornack","given":"Sebastian"}],"issued":{"date-parts":[["2021",2,19]]}}},{"id":721,"uris":["http://zotero.org/users/16875439/items/2ZBAGHAM"],"itemData":{"id":721,"type":"article-journal","abstract":"Knowledge about signaling in arbuscular mycorrhizal (AM) symbioses is currently restricted to the common symbiosis (SYM) signaling pathway discovered in legumes. This pathway includes calcium as a second messenger and regulates both AM and rhizobial symbioses. Both monocotyledons and dicotyledons form symbiotic associations with AM fungi, and although they differ markedly in the organization of their root systems, the morphology of colonization is similar. To identify and dissect AM-specific signaling in rice (Oryza sativa), we developed molecular phenotyping tools based on gene expression patterns that monitor various steps of AM colonization. These tools were used to distinguish common SYM-dependent and -independent signaling by examining rice mutants of selected putative legume signaling orthologs predicted to be perturbed both upstream (CASTOR and POLLUX) and downstream (CCAMK and CYCLOPS) of the central, calcium-spiking signal. All four mutants displayed impaired AM interactions and altered AM-specific gene expression patterns, therefore demonstrating functional conservation of SYM signaling between distant plant species. In addition, differential gene expression patterns in the mutants provided evidence for AM-specific but SYM-independent signaling in rice and furthermore for unexpected deviations from the SYM pathway downstream of calcium spiking.","container-title":"The Plant Cell","DOI":"10.1105/tpc.108.062414","ISSN":"1040-4651","issue":"11","journalAbbreviation":"Plant Cell","language":"eng","page":"2989-3005","PMID":"19033527","PMCID":"PMC2613669","source":"PubMed","title":"Arbuscular mycorrhiza-specific signaling in rice transcends the common symbiosis signaling pathway","volume":"20","author":[{"family":"Gutjahr","given":"Caroline"},{"family":"Banba","given":"Mari"},{"family":"Croset","given":"Vincent"},{"family":"An","given":"Kyungsook"},{"family":"Miyao","given":"Akio"},{"family":"An","given":"Gynheung"},{"family":"Hirochika","given":"Hirohiko"},{"family":"Imaizumi-Anraku","given":"Haruko"},{"family":"Paszkowski","given":"Uta"}],"issued":{"date-parts":[["2008",11]]}}},{"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12, 31–34)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The CSSP is fundamental to both symbioses and operates not only in legumes, which facilitate both SNF and AMS, but also in cereals, which establish only AMS </w:t>
      </w:r>
      <w:r>
        <w:fldChar w:fldCharType="begin"/>
      </w:r>
      <w:r>
        <w:rPr>
          <w:kern w:val="0"/>
          <w:rFonts w:cs="Times New Roman" w:ascii="Times New Roman" w:hAnsi="Times New Roman"/>
        </w:rPr>
        <w:instrText xml:space="preserve">ADDIN ZOTERO_ITEM CSL_CITATION {"citationID":"pNmhwcWm","properties":{"unsorted":false,"formattedCitation":"(34)","plainCitation":"(34)","noteIndex":0},"citationItems":[{"id":723,"uris":["http://zotero.org/users/16875439/items/D5DTQEUZ"],"itemData":{"id":723,"type":"article-journal","abstract":"Establishment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A key CSSP gene is SYMRK, encoding a receptor-like kinase that acts as first shared component of the pathway, interacting with Myc- and Nod-factor receptors and associating with regulatory proteins to trigger the release of calcium (Ca</w:t>
      </w:r>
      <w:r>
        <w:rPr>
          <w:rFonts w:cs="Times New Roman" w:ascii="Times New Roman" w:hAnsi="Times New Roman"/>
          <w:kern w:val="0"/>
          <w:vertAlign w:val="superscript"/>
        </w:rPr>
        <w:t>2+</w:t>
      </w:r>
      <w:r>
        <w:rPr>
          <w:rFonts w:cs="Times New Roman" w:ascii="Times New Roman" w:hAnsi="Times New Roman"/>
          <w:kern w:val="0"/>
        </w:rPr>
        <w:t xml:space="preserve">) signals </w:t>
      </w:r>
      <w:r>
        <w:fldChar w:fldCharType="begin"/>
      </w:r>
      <w:r>
        <w:rPr>
          <w:kern w:val="0"/>
          <w:rFonts w:cs="Times New Roman" w:ascii="Times New Roman" w:hAnsi="Times New Roman"/>
        </w:rPr>
        <w:instrText xml:space="preserve">ADDIN ZOTERO_ITEM CSL_CITATION {"citationID":"RNgjR6YG","properties":{"unsorted":false,"formattedCitation":"(35\\uc0\\u8211{}38)","plainCitation":"(35–38)","noteIndex":0},"citationItems":[{"id":726,"uris":["http://zotero.org/users/16875439/items/QJS4544G"],"itemData":{"id":726,"type":"article-journal","abstract":"Plants form root symbioses with fungi and bacteria to improve their nutrient supply. SYMBIOSIS RECEPTOR-LIKE KINASE (SYMRK) is required for phosphate-acquiring arbuscular mycorrhiza, as well as for the nitrogen-fixing root nodule symbiosis of legumes and actinorhizal plants, but its precise function was completely unclear. Here we show that the extracytoplasmic region of SYMRK, which comprises three leucine-rich repeats (LRRs) and a malectin-like domain (MLD) related to a carbohydrate-binding protein from Xenopus laevis, is cleaved to release the MLD in the absence of symbiotic stimulation. A conserved sequence motif--GDPC--that connects the MLD to the LRRs is required for MLD release. We discovered that Nod factor receptor 5 (NFR5) forms a complex with the SYMRK version that remains after MLD release (SYMRK-ΔMLD). SYMRK-ΔMLD outcompeted full-length SYMRK for NFR5 interaction, indicating that the MLD negatively interferes with complex formation. SYMRK-ΔMLD is present at lower amounts than MLD, suggesting rapid degradation after MLD release. A deletion of the entire extracytoplasmic region increased protein abundance, suggesting that the LRR region promotes degradation. Curiously, this deletion led to excessive infection thread formation, highlighting the importance of fine-tuned regulation of SYMRK by its ectodomain.","container-title":"Current biology: CB","DOI":"10.1016/j.cub.2013.12.053","ISSN":"1879-0445","issue":"4","journalAbbreviation":"Curr Biol","language":"eng","page":"422-427","PMID":"24508172","source":"PubMed","title":"Cleavage of the SYMBIOSIS RECEPTOR-LIKE KINASE ectodomain promotes complex formation with Nod factor receptor 5","volume":"24","author":[{"family":"Antolín-Llovera","given":"Meritxell"},{"family":"Ried","given":"Martina K."},{"family":"Parniske","given":"Martin"}],"issued":{"date-parts":[["2014",2,17]]}}},{"id":729,"uris":["http://zotero.org/users/16875439/items/J3ZYNGPR"],"itemData":{"id":729,"type":"article-journal","abstract":"• The colonization of Lotus japonicus roots by the arbuscular mycorrhizal fungus Glomus intraradices was analysed in plant mutants affected in the symbiosis genes, SYM15 or SYMRK. SYMRK encodes an LRR receptor-like kinase that is, like the SYM15 gene, essential for both mycorrhizal and rhizobial symbioses. • Different colonization patterns were observed in growing vs meristematically arrested roots. • Three steps in the interaction were differentially impaired in the mutants: surface opening, where the anticlinal cell walls of two adjacent epidermal cells separate from each other in the vicinity of fungal hyphae; intracellular passage of hyphae through an exodermal cell and an adjacent cell of the outermost cortical layer; and arbuscule formation in cells of the two innermost cortical layers. • The combined results indicate that LjSYMRK is required for the intracellular passage through exodermis and outermost cortical cell layer whereas LjSYM15 is required for surface opening and arbuscule formation.","container-title":"New Phytologist","DOI":"10.1111/j.1469-8137.2004.01123.x","ISSN":"1469-8137","issue":"2","language":"en","note":"_eprint: https://nph.onlinelibrary.wiley.com/doi/pdf/10.1111/j.1469-8137.2004.01123.x","page":"381-392","source":"Wiley Online Library","title":"Distinct roles of Lotus japonicus SYMRK and SYM15 in root colonization and arbuscule formation","volume":"163","author":[{"family":"Demchenko","given":"Kirill"},{"family":"Winzer","given":"Thilo"},{"family":"Stougaard","given":"Jens"},{"family":"Parniske","given":"Martin"},{"family":"Pawlowski","given":"Katharina"}],"issued":{"date-parts":[["2004"]]}}},{"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R."}],"issued":{"date-parts":[["2024",2,20]]}}},{"id":732,"uris":["http://zotero.org/users/16875439/items/TN52BYRX"],"itemData":{"id":732,"type":"article-journal","abstract":"Root endosymbioses vitally contribute to plant nutrition and fitness worldwide. Nitrogen-fixing root nodulation, confined to four plant orders, encompasses two distinct types of associations, the interaction of legumes (Fabales) with rhizobia bacteria and actinorhizal symbioses, where the bacterial symbionts are actinomycetes of the genus Frankia. Although several genetic components of the host–symbiont interaction have been identified in legumes, the genetic basis of actinorhiza formation is unknown. Here, we show that the receptor-like kinase gene SymRK, which is required for nodulation in legumes, is also necessary for actinorhiza formation in the tree Casuarina glauca. This indicates that both types of nodulation symbiosis share genetic components. Like several other legume genes involved in the interaction with rhizobia, SymRK is also required for the interaction with arbuscular mycorrhiza (AM) fungi. We show that SymRK is involved in AM formation in C. glauca as well and can restore both nodulation and AM symbioses in a Lotus japonicus symrk mutant. Taken together, our results demonstrate that SymRK functions as a vital component of the genetic basis for both plant–fungal and plant–bacterial endosymbioses and is conserved between legumes and actinorhiza-forming Fagales.","container-title":"Proceedings of the National Academy of Sciences","DOI":"10.1073/pnas.0710618105","issue":"12","page":"4928-4932","publisher":"Proceedings of the National Academy of Sciences","source":"pnas.org (Atypon)","title":"SymRK defines a common genetic basis for plant root endosymbioses with arbuscular mycorrhiza fungi, rhizobia, and Frankiabacteria","volume":"105","author":[{"family":"Gherbi","given":"Hassen"},{"family":"Markmann","given":"Katharina"},{"family":"Svistoonoff","given":"Sergio"},{"family":"Estevan","given":"Joan"},{"family":"Autran","given":"Daphné"},{"family":"Giczey","given":"Gabor"},{"family":"Auguy","given":"Florence"},{"family":"Péret","given":"Benjamin"},{"family":"Laplaze","given":"Laurent"},{"family":"Franche","given":"Claudine"},{"family":"Parniske","given":"Martin"},{"family":"Bogusz","given":"Didier"}],"issued":{"date-parts":[["2008",3,25]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(35–38)</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These Ca</w:t>
      </w:r>
      <w:r>
        <w:rPr>
          <w:rFonts w:cs="Times New Roman" w:ascii="Times New Roman" w:hAnsi="Times New Roman"/>
          <w:kern w:val="0"/>
          <w:vertAlign w:val="superscript"/>
        </w:rPr>
        <w:t>2+</w:t>
      </w:r>
      <w:r>
        <w:rPr>
          <w:rFonts w:cs="Times New Roman" w:ascii="Times New Roman" w:hAnsi="Times New Roman"/>
          <w:kern w:val="0"/>
        </w:rPr>
        <w:t xml:space="preserve"> signals are decoded by the nucleus-localised calcium- and calmodulin-dependent serine/threonine protein kinase CCaMK, which is considered the central regulator of symbiosis signal transduction </w:t>
      </w:r>
      <w:r>
        <w:fldChar w:fldCharType="begin"/>
      </w:r>
      <w:r>
        <w:rPr>
          <w:kern w:val="0"/>
          <w:rFonts w:cs="Times New Roman" w:ascii="Times New Roman" w:hAnsi="Times New Roman"/>
        </w:rPr>
        <w:instrText xml:space="preserve">ADDIN ZOTERO_ITEM CSL_CITATION {"citationID":"ccUZ9Acz","properties":{"unsorted":false,"formattedCitation":"(39\\uc0\\u8211{}42)","plainCitation":"(39–42)","noteIndex":0},"citationItems":[{"id":734,"uris":["http://zotero.org/users/16875439/items/J8QTTBAQ"],"itemData":{"id":734,"type":"article-journal","abstract":"Calcium ion (Ca(2+)) is one of the very important ubiquitous intracellular second messenger molecules involved in many signal transduction pathways in plants. The cytosolic free Ca(2+) concentration ([Ca(2+)](cyt)) have been found to increased in response to many physiological stimuli such as light, touch, pathogenic elicitor, plant hormones and abiotic stresses including high salinity, cold and drought. This Ca(2+) spikes normally result from two opposing reactions, Ca(2+) influx through channels or Ca(2+) efflux through pumps. The removal of Ca(2+) from the cytosol against its electrochemical gradient to either the apoplast or to intracellular organelles requires energized 'active' transport. Ca(2+)-ATPases and H(+)/Ca(2+) antiporters are the key proteins catalyzing this movement. The increased level of Ca(2+) is recognised by some Ca(2+)-sensors or calcium-binding proteins, which can activate many calcium dependent protein kinases. These kinases regulate the function of many genes including stress responsive genes, resulted in the phenotypic response of stress tolerance. Calcium signaling is also involved in the regulation of cell cycle progression in response to abiotic stress. The regulation of gene expression by cellular calcium is also crucial for plant defense against various stresses. However, the number of genes known to respond to specific transient calcium signals is limited. This review article describes several aspects of calcium signaling such as Ca(2+) requiremant and its role in plants, Ca(2+) transporters, Ca(2+)-ATPases, H(+)/ Ca(2+)-antiporter, Ca(2+)-signature, Ca(2+)-memory and various Ca(2+)-binding proteins (with and without EF hand).","container-title":"Plant Signaling &amp; Behavior","DOI":"10.4161/psb.2.2.4176","ISSN":"1559-2316","issue":"2","journalAbbreviation":"Plant Signal Behav","language":"eng","page":"79-85","PMID":"19516972","PMCID":"PMC2633903","source":"PubMed","title":"Calcium signaling network in plants: an overview","title-short":"Calcium signaling network in plants","volume":"2","author":[{"family":"Tuteja","given":"Narendra"},{"family":"Mahajan","given":"Shilpi"}],"issued":{"date-parts":[["2007",3]]}}},{"id":737,"uris":["http://zotero.org/users/16875439/items/LXXPKLFM"],"itemData":{"id":737,"type":"article-journal","abstract":"Legumes can enter into symbiotic relationships with both nitrogen-fixing bacteria (rhizobia) and mycorrhizal fungi. Nodulation by rhizobia results from a signal transduction pathway induced in legume roots by rhizobial Nod factors. DMI3, a Medicago truncatula gene that acts immediately downstream of calcium spiking in this signaling pathway and is required for both nodulation and mycorrhizal infection, has high sequence similarity to genes encoding calcium and calmodulin-dependent protein kinases (CCaMKs). This indicates that calcium spiking is likely an essential component of the signaling cascade leading to nodule development and mycorrhizal infection, and sheds light on the biological role of plant CCaMKs.","container-title":"Science","DOI":"10.1126/science.1093038","ISSN":"1095-9203","issue":"5662","journalAbbreviation":"Science","language":"eng","page":"1361-1364","PMID":"14963335","publisher-place":"New York, N.Y.","source":"PubMed","title":"A putative Ca2+ and calmodulin-dependent protein kinase required for bacterial and fungal symbioses","volume":"303","author":[{"family":"Lévy","given":"Julien"},{"family":"Bres","given":"Cécile"},{"family":"Geurts","given":"René"},{"family":"Chalhoub","given":"Boulos"},{"family":"Kulikova","given":"Olga"},{"family":"Duc","given":"Gérard"},{"family":"Journet","given":"Etienne-Pascal"},{"family":"Ané","given":"Jean-Michel"},{"family":"Lauber","given":"Emmanuelle"},{"family":"Bisseling","given":"Ton"},{"family":"Dénarié","given":"Jean"},{"family":"Rosenberg","given":"Charles"},{"family":"Debellé","given":"Frédéric"}],"issued":{"date-parts":[["2004",2,27]]}}},{"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742,"uris":["http://zotero.org/users/16875439/items/QYF2EBU2"],"itemData":{"id":742,"type":"article-journal","abstract":"In the establishment of the legume-rhizobial symbiosis, bacterial lipochitooligosaccharide signaling molecules termed Nod factors activate the formation of a novel root organ, the nodule. Nod factors elicit several responses in plant root hair cells, including oscillations in cytoplasmic calcium levels (termed calcium spiking) and alterations in root hair growth. A number of plant mutants with defects in the Nod factor signaling pathway have been identified. One such Medicago truncatula mutant, dmi3, exhibits calcium spiking and root hair swelling in response to Nod factor, but fails to initiate symbiotic gene expression or cell divisions for nodule formation. On the basis of these data, it is thought that the dmi3 mutant perceives Nod factor but fails to transduce the signal downstream of calcium spiking. Additionally, the dmi3 mutant is defective in the symbiosis with mycorrhizal fungi, indicating the importance of the encoded protein in multiple symbioses. We report the identification of the DMI3 gene, using a gene cloning method based on transcript abundance. We show that transcript-based cloning is a valid approach for cloning genes in barley, indicating the value of this technology in crop plants. DMI3 encodes a calcium/calmodulin-dependent protein kinase. Mutants in pea sym9 have phenotypes similar to dmi3 and have alterations in this gene. The DMI3 class of proteins is well conserved among plants that interact with mycorrhizal fungi, but it is less conserved in Arabidopsis thaliana, which does not participate in the mycorrhizal symbiosis.","container-title":"Proceedings of the National Academy of Sciences of the United States of America","DOI":"10.1073/pnas.0400595101","ISSN":"0027-8424","issue":"13","journalAbbreviation":"Proc Natl Acad Sci U S A","language":"eng","page":"4701-4705","PMID":"15070781","PMCID":"PMC384810","source":"PubMed","title":"A Ca2+/calmodulin-dependent protein kinase required for symbiotic nodule development: Gene identification by transcript-based cloning","title-short":"A Ca2+/calmodulin-dependent protein kinase required for symbiotic nodule development","volume":"101","author":[{"family":"Mitra","given":"Raka M."},{"family":"Gleason","given":"Cynthia A."},{"family":"Edwards","given":"Anne"},{"family":"Hadfield","given":"James"},{"family":"Downie","given":"J. Allan"},{"family":"Oldroyd","given":"Giles E. D."},{"family":"Long","given":"Sharon R."}],"issued":{"date-parts":[["2004",3,30]]}}}],"schema":"https://github.com/citation-style-language/schema/raw/master/csl-citation.json"}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(39–42)</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CCaMK acts as pacemaker, interpreting Ca</w:t>
      </w:r>
      <w:r>
        <w:rPr>
          <w:rFonts w:cs="Times New Roman" w:ascii="Times New Roman" w:hAnsi="Times New Roman"/>
          <w:kern w:val="0"/>
          <w:vertAlign w:val="superscript"/>
        </w:rPr>
        <w:t>2+</w:t>
      </w:r>
      <w:r>
        <w:rPr>
          <w:rFonts w:cs="Times New Roman" w:ascii="Times New Roman" w:hAnsi="Times New Roman"/>
          <w:kern w:val="0"/>
        </w:rPr>
        <w:t xml:space="preserve"> oscillations to activate endosymbiotic programs </w:t>
      </w:r>
      <w:r>
        <w:fldChar w:fldCharType="begin"/>
      </w:r>
      <w:r>
        <w:rPr>
          <w:kern w:val="0"/>
          <w:rFonts w:cs="Times New Roman" w:ascii="Times New Roman" w:hAnsi="Times New Roman"/>
        </w:rPr>
        <w:instrText xml:space="preserve">ADDIN ZOTERO_ITEM CSL_CITATION {"citationID":"fRLxDvza","properties":{"unsorted":false,"formattedCitation":"(43)","plainCitation":"(43)","noteIndex":0},"citationItems":[{"id":609,"uris":["http://zotero.org/users/16875439/items/3DR3LB7T"],"itemData":{"id":609,"type":"article-journal","abstract":"Nutrient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(43)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CCaMK activates a complex transcriptional network involving genes essential for one or both symbioses </w:t>
      </w:r>
      <w:r>
        <w:fldChar w:fldCharType="begin"/>
      </w:r>
      <w:r>
        <w:rPr>
          <w:kern w:val="0"/>
          <w:rFonts w:cs="Times New Roman" w:ascii="Times New Roman" w:hAnsi="Times New Roman"/>
        </w:rPr>
        <w:instrText xml:space="preserve">ADDIN ZOTERO_ITEM CSL_CITATION {"citationID":"tffu4RBG","properties":{"unsorted":false,"formattedCitation":"(41, 44\\uc0\\u8211{}46)","plainCitation":"(41, 44–46)","noteIndex":0},"citationItems":[{"id":739,"uris":["http://zotero.org/users/16875439/items/2E7Z79GD"],"itemData":{"id":739,"type":"article-journal","abstract":"In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745,"uris":["http://zotero.org/users/16875439/items/SZABBDXS"],"itemData":{"id":745,"type":"article-journal","abstract":"The initiation of intracellular infection of legume roots by symbiotic rhizobia bacteria and arbuscular mycorrhiza (AM) fungi is preceded by the induction of calcium signatures in and around the nucleus of root epidermal cells. Although a calcium and calmodulin-dependent kinase (CCaMK) is a key mediator of symbiotic root responses, the decoding of the calcium signal and the molecular events downstream are only poorly understood. Here, we characterize Lotus japonicus cyclops mutants on which microbial infection was severely inhibited. In contrast, nodule organogenesis was initiated in response to rhizobia, but arrested prematurely. This arrest was overcome when a deregulated CCaMK mutant version was introduced into cyclops mutants, conferring the development of full-sized, spontaneous nodules. Because cyclops mutants block symbiotic infection but are competent for nodule development, they reveal a bifurcation of signal transduction downstream of CCaMK. We identified CYCLOPS by positional cloning. CYCLOPS carries a functional nuclear localization signal and a predicted coiled-coil domain. We observed colocalization and physical interaction between CCaMK and CYCLOPS in plant and yeast cell nuclei in the absence of symbiotic stimulation. Importantly, CYCLOPS is a phosphorylation substrate of CCaMK in vitro. Cyclops mutants of rice were impaired in AM, and rice CYCLOPS could restore symbiosis in Lotus cyclops mutants, indicating a functional conservation across angiosperms. Our results suggest that CYCLOPS forms an ancient, preassembled signal transduction complex with CCaMK that is specifically required for infection, whereas organogenesis likely requires additional yet-to-be identified CCaMK interactors or substrates.","container-title":"Proceedings of the National Academy of Sciences","DOI":"10.1073/pnas.0806858105","issue":"51","page":"20540-20545","publisher":"Proceedings of the National Academy of Sciences","source":"pnas.org (Atypon)","title":"CYCLOPS, a mediator of symbiotic intracellular accommodation","volume":"105","author":[{"family":"Yano","given":"Koji"},{"family":"Yoshida","given":"Satoko"},{"family":"Müller","given":"Judith"},{"family":"Singh","given":"Sylvia"},{"family":"Banba","given":"Mari"},{"family":"Vickers","given":"Kate"},{"family":"Markmann","given":"Katharina"},{"family":"White","given":"Catharine"},{"family":"Schuller","given":"Bettina"},{"family":"Sato","given":"Shusei"},{"family":"Asamizu","given":"Erika"},{"family":"Tabata","given":"Satoshi"},{"family":"Murooka","given":"Yoshikatsu"},{"family":"Perry","given":"Jillian"},{"family":"Wang","given":"Trevor L."},{"family":"Kawaguchi","given":"Masayoshi"},{"family":"Imaizumi-Anraku","given":"Haruko"},{"family":"Hayashi","given":"Makoto"},{"family":"Parniske","given":"Martin"}],"issued":{"date-parts":[["2008",12,23]]}}},{"id":747,"uris":["http://zotero.org/users/16875439/items/5YIZU8QY"],"itemData":{"id":747,"type":"article-journal","abstract":"Legumes form endosymbiotic associations with nitrogen-fixing bacteria and arbuscular mycorrhizal (AM) fungi which facilitate nutrient uptake. Both symbiotic interactions require a molecular signal exchange between the plant and the symbiont, and this involves a conserved symbiosis (Sym) signaling pathway. In order to identify plant genes required for intracellular accommodation of nitrogen-fixing bacteria and AM fungi, we characterized Medicago truncatula symbiotic mutants defective for rhizobial infection of nodule cells and colonization of root cells by AM hyphae. Here, we describe mutants impaired in the interacting protein of DMI3 (IPD3) gene, which has been identified earlier as an interacting partner of the calcium/calmodulin-dependent protein, a member of the Sym pathway. The ipd3 mutants are impaired in both rhizobial and mycorrhizal colonization and we show that IPD3 is necessary for appropriate Nod-factor-induced gene expression. This indicates that IPD3 is a member of the common Sym pathway. We observed differences in the severity of ipd3 mutants that appear to be the result of the genetic background. This supports the hypothesis that IPD3 function is partially redundant and, thus, additional genetic components must exist that have analogous functions to IPD3. This explains why mutations in an essential component of the Sym pathway have defects at late stages of the symbiotic interactions.","container-title":"Molecular plant-microbe interactions: MPMI","DOI":"10.1094/MPMI-01-11-0015","ISSN":"0894-0282","issue":"11","journalAbbreviation":"Mol Plant Microbe Interact","language":"eng","page":"1345-1358","PMID":"21692638","source":"PubMed","title":"Medicago truncatula IPD3 is a member of the common symbiotic signaling pathway required for rhizobial and mycorrhizal symbioses","volume":"24","author":[{"family":"Horváth","given":"Beatrix"},{"family":"Yeun","given":"Li Huey"},{"family":"Domonkos","given":"Agota"},{"family":"Halász","given":"Gábor"},{"family":"Gobbato","given":"Enrico"},{"family":"Ayaydin","given":"Ferhan"},{"family":"Miró","given":"Krisztina"},{"family":"Hirsch","given":"Sibylle"},{"family":"Sun","given":"Jongho"},{"family":"Tadege","given":"Million"},{"family":"Ratet","given":"Pascal"},{"family":"Mysore","given":"Kirankumar S."},{"family":"Ané","given":"Jean-Michel"},{"family":"Oldroyd","given":"Giles E. D."},{"family":"Kaló","given":"Péter"}],"issued":{"date-parts":[["2011",11]]}}},{"id":749,"uris":["http://zotero.org/users/16875439/items/F2X2CF3M"],"itemData":{"id":749,"type":"article-journal","abstract":"Bacterial infection of interior tissues of legume root nodules is controlled at the epidermal cell layer and is closely coordinated with progressing organ development. Using spontaneous nodulating Lotus japonicus plant mutants to uncouple nodule organogenesis from infection, we have determined the role of 16 genes in these two developmental processes. We show that host-encoded mechanisms control three alternative entry processes operating in the epidermis, the root cortex and at the single cell level. Single cell infection did not involve the formation of trans-cellular infection threads and was independent of host Nod-factor receptors and bacterial Nod-factor signals. In contrast, Nod-factor perception was required for epidermal root hair infection threads, whereas primary signal transduction genes preceding the secondary Ca2+ oscillations have an indirect role. We provide support for the origin of rhizobial infection through direct intercellular epidermal invasion and subsequent evolution of crack entry and root hair invasions observed in most extant legumes.","container-title":"Nature Communications","DOI":"10.1038/ncomms1009","ISSN":"2041-1723","issue":"1","journalAbbreviation":"Nat Commun","language":"en","license":"2010 The Author(s)","page":"10","publisher":"Nature Publishing Group","source":"www.nature.com","title":"The molecular network governing nodule organogenesis and infection in the model legume Lotus japonicus","volume":"1","author":[{"family":"Madsen","given":"Lene H."},{"family":"Tirichine","given":"Leïla"},{"family":"Jurkiewicz","given":"Anna"},{"family":"Sullivan","given":"John T."},{"family":"Heckmann","given":"Anne B."},{"family":"Bek","given":"Anita S."},{"family":"Ronson","given":"Clive W."},{"family":"James","given":"Euan K."},{"family":"Stougaard","given":"Jens"}],"issued":{"date-parts":[["2010",4,12]]}}}],"schema":"https://github.com/citation-style-language/schema/raw/master/csl-citation.json"}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(41, 44–46)</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Among these, the GRAS-domain transcription factors Nodulation Signalling Pathway1 (NSP1) and NSP2 are crucial. These proteins regulate nodule formation and bacterial infection during SNF and play a key role in strigolactone biosynthesis during early AMS </w:t>
      </w:r>
      <w:r>
        <w:fldChar w:fldCharType="begin"/>
      </w:r>
      <w:r>
        <w:rPr>
          <w:kern w:val="0"/>
          <w:rFonts w:cs="Times New Roman" w:ascii="Times New Roman" w:hAnsi="Times New Roman"/>
        </w:rPr>
        <w:instrText xml:space="preserve">ADDIN ZOTERO_ITEM CSL_CITATION {"citationID":"SU2xSpdV","properties":{"unsorted":false,"formattedCitation":"(11, 47\\uc0\\u8211{}50)","plainCitation":"(11, 47–50)","noteIndex":0},"citationItems":[{"id":655,"uris":["http://zotero.org/users/16875439/items/DY664738"],"itemData":{"id":655,"type":"article-journal","abstract":"Plants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D."}],"issued":{"date-parts":[["2013",4]]}}},{"id":751,"uris":["http://zotero.org/users/16875439/items/HN2WYETT"],"itemData":{"id":751,"type":"article-journal","abstract":"A new nodulation-defective mutant of Lotus japonicus does not initiate nodule cortical cell division in response to Mesorhizobium loti, but induces root hair deformation, Nod factor-induced calcium spiking, and mycorrhization. This phenotype, together with mapping data, suggested that the mutation could be in the ortholog of the Medicago truncatula NSP1 gene (MtNSP1). The sequence of the orthologous gene (LjNSP1) in the L. japonicus mutant (Ljnsp1-1) revealed a mutation causing a premature stop resulting in loss of the C-terminal 23 amino acids. We also sequenced the NSP2 gene from L. japonicus (LjNSP2). A mutant (Ljnsp2-3) with a premature stop codon was identified by TILLING showing a similar phenotype to Ljnsp1-1. Both LjNSP1 and LjNSP2 are predicted GRAS (GAI, RGA, SCR) domain transcriptional regulators. Transcript steady-state levels of LjNSP1 and LjNSP2 initially decreased and then increased following infection by M. loti. In hairy root transformations, LjNSP1 and MtNSP1 complemented both Mtnsp1-1 and Ljnsp1-1 mutants, demonstrating that these orthologous proteins have a conserved biochemical function. A Nicotiana benthamiana NSP1-like gene (NbNSP1) was shown to restore nodule formation in both Ljnsp1-1 and Mtnsp1-1 mutants, indicating that NSP1 regulators from legumes and non-legumes can propagate the Nod factor-induced signal, activating appropriate downstream targets. The L. japonicus nodules complemented with NbNSP1 contained some cells with abnormal bacteroids and could fix nitrogen. However, the NbNSP1-complemented M. truncatula nodules did not fix nitrogen and contained very few bacteria released from infection threads. These observations suggest that NSP1 is also involved in infection, bacterial release, and normal bacteroid formation in nodule cells.","container-title":"Plant Physiology","DOI":"10.1104/pp.106.089508","ISSN":"0032-0889","issue":"4","journalAbbreviation":"Plant Physiol","language":"eng","page":"1739-1750","PMID":"17071642","PMCID":"PMC1676053","source":"PubMed","title":"Lotus japonicus nodulation requires two GRAS domain regulators, one of which is functionally conserved in a non-legume","volume":"142","author":[{"family":"Heckmann","given":"Anne B."},{"family":"Lombardo","given":"Fabien"},{"family":"Miwa","given":"Hiroki"},{"family":"Perry","given":"Jillian A."},{"family":"Bunnewell","given":"Sue"},{"family":"Parniske","given":"Martin"},{"family":"Wang","given":"Trevor L."},{"family":"Downie","given":"J. Allan"}],"issued":{"date-parts":[["2006",12]]}}},{"id":754,"uris":["http://zotero.org/users/16875439/items/QU4VLIXD"],"itemData":{"id":754,"type":"article-journal","abstract":"For almost a century now it has been speculated that a transfer of the largely legume-specific symbiosis with nitrogen fixing rhizobium would be profitable in agriculture [1,2]. Up to now such a step has not been achieved, despite intensive research in this era. Novel insights in the underlying signalling networks leading to intracellular accommodation of rhizobium as well as mycorrhizal fungi of the Glomeromycota order show extensive commonalities between both interactions. As mycorrhizae symbiosis can be established basically with most higher plant species it raises questions why is it only in a few taxonomic lineages that the underlying signalling network could be hijacked by rhizobium. Unravelling this will lead to insights that are essential to achieve an old dream.","container-title":"Current Opinion in Plant Biology","DOI":"10.1016/j.pbi.2012.04.004","ISSN":"1879-0356","issue":"4","journalAbbreviation":"Curr Opin Plant Biol","language":"eng","page":"438-443","PMID":"22633856","source":"PubMed","title":"Exploiting an ancient signalling machinery to enjoy a nitrogen fixing symbiosis","volume":"15","author":[{"family":"Geurts","given":"Rene"},{"family":"Lillo","given":"Alessandra"},{"family":"Bisseling","given":"Ton"}],"issued":{"date-parts":[["2012",8]]}}},{"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 47–50)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In conclusion, the CSSP is the central regulatory network governing both SNF and AMS. A growing research field focuses on elucidating individual CSSP gene functions to enhance plant nitrogen and phosphorus uptake, with the goal of improving agricultural productivity </w:t>
      </w:r>
      <w:r>
        <w:fldChar w:fldCharType="begin"/>
      </w:r>
      <w:r>
        <w:rPr>
          <w:kern w:val="0"/>
          <w:rFonts w:cs="Times New Roman" w:ascii="Times New Roman" w:hAnsi="Times New Roman"/>
        </w:rPr>
        <w:instrText xml:space="preserve">ADDIN ZOTERO_ITEM CSL_CITATION {"citationID":"pRYidVkH","properties":{"unsorted":false,"formattedCitation":"(37, 51\\uc0\\u8211{}54)","plainCitation":"(37, 51–54)","noteIndex":0},"citationItems":[{"id":664,"uris":["http://zotero.org/users/16875439/items/N3YMASZK"],"itemData":{"id":664,"type":"article-journal","abstract":"Receptor signalling determines cellular responses and is crucial for defining specific biological outcomes. In legume root cells, highly similar and structurally conserved chitin and Nod factor receptor kinases activate immune or symbiotic pathways, respectively, when chitinous ligands are perceived1. Here we show that specific amino acid residues in the intracellular part of the Nod factor receptor NFR1 control signalling specificity and enable the distinction of immune and symbiotic responses. Functional investigation of CERK6, NFR1 and receptor variants thereof revealed a conserved motif that we term Symbiosis Determinant 1 in the juxtamembrane region of the kinase domain, which is key for symbiotic signalling. We show that two residues in Symbiosis Determinant 1 are indispensable hallmarks of NFR1-type receptors and are sufficient to convert Lotus CERK6 and barley RLK4 kinase outputs to enable symbiotic signalling in Lotus japonicus.","container-title":"Nature","DOI":"10.1038/s41586-025-09696-3","ISSN":"1476-4687","issue":"8093","journalAbbreviation":"Nature","language":"eng","page":"443-450","PMID":"41193803","source":"PubMed","title":"Two residues reprogram immunity receptors for nitrogen-fixing symbiosis","volume":"648","author":[{"family":"Tsitsikli","given":"Magdalini"},{"family":"Simonsen","given":"Bine"},{"family":"Luu","given":"Thi-Bich"},{"family":"Larsen","given":"Maria M."},{"family":"Andersen","given":"Camilla G."},{"family":"Gysel","given":"Kira"},{"family":"Lironi","given":"Damiano"},{"family":"Krönauer","given":"Christina"},{"family":"Rübsam","given":"Henriette"},{"family":"Hansen","given":"Simon B."},{"family":"Bærentsen","given":"René"},{"family":"Wulff","given":"Jesper Lundsgaard"},{"family":"Johansen","given":"Sarah Holt"},{"family":"Sezer","given":"Gülendam"},{"family":"Stougaard","given":"Jens"},{"family":"Andersen","given":"Kasper Røjkjær"},{"family":"Radutoiu","given":"Simona"}],"issued":{"date-parts":[["2025",12]]}}},{"id":666,"uris":["http://zotero.org/users/16875439/items/QEPDY45U"],"itemData":{"id":666,"type":"article-journal","abstract":"Plants have colonized lands 450 million years ago. This terrestrialization was facilitated by developmental and functional innovations. Recent evo-devo approaches have demonstrated that one of these innovations was the mutualistic arbuscular mycorrhizal symbiosis (AMS). The genetic pathways that have been involved in the establishment and functioning of AMS since its evolution remain poorly described. Here, we found that intracellular colonization by AM fungi induces a transcriptional reporter of the common symbiosis pathway, well-described in angiosperms, in the liverwort Marchantia paleacea. Mutants of either of the three main genes of this pathway, SYMRK, CCaMK, and CYCLOPS, disrupt the ability of M. paleacea to associate with AM fungi. Finally, overexpressing gain-of-function CCaMK or CYCLOPS leads to convergent transcriptomic signatures that partially overlap with AMS. Altogether, our data indicate that plants have maintained three genes of the common symbiotic pathway to support symbiotic interactions since their most recent common ancestor.","container-title":"Proceedings of the National Academy of Sciences","DOI":"10.1073/pnas.2408539121","issue":"1","page":"e2408539121","publisher":"Proceedings of the National Academy of Sciences","source":"pnas.org (Atypon)","title":"Conservation of symbiotic signaling since the most recent common ancestor of land plants","volume":"122","author":[{"family":"Vernié","given":"Tatiana"},{"family":"Rich","given":"Mélanie"},{"family":"Pellen","given":"Tifenn"},{"family":"Teyssier","given":"Eve"},{"family":"Garrigues","given":"Vincent"},{"family":"Chauderon","given":"Lucie"},{"family":"Medioni","given":"Lauréna"},{"family":"Beveren","given":"Fabian","non-dropping-particle":"van"},{"family":"Libourel","given":"Cyril"},{"family":"Keller","given":"Jean"},{"family":"Girou","given":"Camille"},{"family":"Lefort","given":"Corinne"},{"family":"Le Ru","given":"Aurélie"},{"family":"Martinez","given":"Yves"},{"family":"Reinhardt","given":"Didier"},{"family":"Kodama","given":"Kyoichi"},{"family":"Shimazaki","given":"Shota"},{"family":"Morel","given":"Patrice"},{"family":"Kyozuka","given":"Junko"},{"family":"Mbengue","given":"Malick"},{"family":"Vandenbussche","given":"Michiel"},{"family":"Delaux","given":"Pierre-Marc"}],"issued":{"date-parts":[["2025",1,7]]}}},{"id":667,"uris":["http://zotero.org/users/16875439/items/C5D4FKRG"],"itemData":{"id":667,"type":"article-journal","abstract":"Understanding the composition and activation of multicomponent receptor complexes is a challenge in biology. To address this, we developed a synthetic approach based on nanobodies to drive assembly and activation of cell surface receptors and apply the concept by manipulating receptors that govern plant symbiosis with nitrogen-fixing bacteria. We show that the Lotus japonicus Nod factor receptors NFR1 and NFR5 constitute the core receptor complex initiating the cortical root nodule organogenesis program as well as the epidermal program controlling infection. We find that organogenesis signaling is mediated by the intracellular kinase domains whereas infection requires functional ectodomains. Finally, we identify evolutionarily distant barley receptors that activate root nodule organogenesis, which could enable engineering of biological nitrogen-fixation into cereals.","container-title":"Science","DOI":"10.1126/science.ade9204","issue":"6629","page":"272-277","publisher":"American Association for the Advancement of Science","source":"science.org (Atypon)","title":"Nanobody-driven signaling reveals the core receptor complex in root nodule symbiosis","volume":"379","author":[{"family":"Rübsam","given":"Henriette"},{"family":"Krönauer","given":"Christina"},{"family":"Abel","given":"Nikolaj B."},{"family":"Ji","given":"Hongtao"},{"family":"Lironi","given":"Damiano"},{"family":"Hansen","given":"Simon B."},{"family":"Nadzieja","given":"Marcin"},{"family":"Kolte","given":"Marie V."},{"family":"Abel","given":"Dörte"},{"family":"Jong","given":"Noor","non-dropping-particle":"de"},{"family":"Madsen","given":"Lene H."},{"family":"Liu","given":"Huijun"},{"family":"Stougaard","given":"Jens"},{"family":"Radutoiu","given":"Simona"},{"family":"Andersen","given":"Kasper R."}],"issued":{"date-parts":[["2023",1,20]]}}},{"id":669,"uris":["http://zotero.org/users/16875439/items/KCV5EL55"],"itemData":{"id":669,"type":"article-journal","abstract":"Symbiosis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R."}],"issued":{"date-parts":[["2024",2,20]]}}},{"id":672,"uris":["http://zotero.org/users/16875439/items/3VGX5JXF"],"itemData":{"id":672,"type":"article-journal","abstract":"Symbiotic nitrogen fixation represents a crucial yet energy-demanding strategy for legumes to survive in nutrient-poor soils. We highlight the multifaceted roles of NSP1 and NSP2 in this symbiosis and propose their function as ‘nutrient-responsive regulators’, integrating environmental signals, physiological status, and nutrient availability, to ensure nodulation occurs only under favorable conditions.","container-title":"Trends in Plant Science","DOI":"10.1016/j.tplants.2025.05.008","ISSN":"1360-1385","issue":"9","journalAbbreviation":"Trends in Plant Science","page":"925-928","source":"ScienceDirect","title":"Unlocking the role of &lt;i&gt;NSP1&lt;/i&gt; and &lt;i&gt;NSP2&lt;/i&gt;: nutrient-responsive regulators in nodulation","title-short":"Unlocking the role of &lt;i&gt;NSP1&lt;/i&gt; and &lt;i&gt;NSP2&lt;/i&gt;","volume":"30","author":[{"family":"Gao","given":"Jin-Peng"},{"family":"Chiu","given":"Chai Hao"},{"family":"Oldroyd","given":"Giles E. D."}],"issued":{"date-parts":[["2025",9,1]]}}}],"schema":"https://github.com/citation-style-language/schema/raw/master/csl-citation.json"}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(37, 51–54)</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Recent studies have begun exploring whether individual CSSP genes may influence not only the establishment of symbioses but also broader microbial associations. Mutations in CSSP genes have been shown to alter bacterial and fungal communities in legumes, highlighting a potential role for these genes beyond symbiosis </w:t>
      </w:r>
      <w:r>
        <w:fldChar w:fldCharType="begin"/>
      </w:r>
      <w:r>
        <w:rPr>
          <w:kern w:val="0"/>
          <w:rFonts w:cs="Times New Roman" w:ascii="Times New Roman" w:hAnsi="Times New Roman"/>
        </w:rPr>
        <w:instrText xml:space="preserve">ADDIN ZOTERO_ITEM CSL_CITATION {"citationID":"sajeYqHS","properties":{"unsorted":false,"formattedCitation":"(55\\uc0\\u8211{}59)","plainCitation":"(55–59)","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(55–59)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.Whether similar effects occur in non-leguminous plants, such as cereals, remains unclear. Cereals lack the ability to facilitate SNF and often suffer from nitrogen deficiencies, making it particularly interesting to investigate whether the CSSP also influences colonisation by other beneficial soil bacteria, such as free-living nitrogen-fixing isolates.</w:t>
      </w:r>
    </w:p>
    <w:p>
      <w:pPr>
        <w:pStyle w:val="Normal"/>
        <w:spacing w:lineRule="auto" w:line="276"/>
        <w:jc w:val="both"/>
        <w:rPr>
          <w:rFonts w:ascii="Times New Roman" w:hAnsi="Times New Roman" w:cs="Times New Roman"/>
          <w:kern w:val="0"/>
        </w:rPr>
      </w:pPr>
      <w:r>
        <w:rPr>
          <w:rFonts w:cs="Times New Roman" w:ascii="Times New Roman" w:hAnsi="Times New Roman"/>
          <w:kern w:val="0"/>
        </w:rPr>
        <w:t>Here, we tested the hypothesis that the CSSP shapes root-associated microbial communities in both a legume (</w:t>
      </w:r>
      <w:r>
        <w:rPr>
          <w:rFonts w:cs="Times New Roman" w:ascii="Times New Roman" w:hAnsi="Times New Roman"/>
          <w:i/>
          <w:iCs/>
          <w:kern w:val="0"/>
        </w:rPr>
        <w:t>Lotus japonicus</w:t>
      </w:r>
      <w:r>
        <w:rPr>
          <w:rFonts w:cs="Times New Roman" w:ascii="Times New Roman" w:hAnsi="Times New Roman"/>
          <w:kern w:val="0"/>
        </w:rPr>
        <w:t>) and a cereal (</w:t>
      </w:r>
      <w:r>
        <w:rPr>
          <w:rFonts w:cs="Times New Roman" w:ascii="Times New Roman" w:hAnsi="Times New Roman"/>
          <w:i/>
          <w:iCs/>
          <w:kern w:val="0"/>
        </w:rPr>
        <w:t>Hordeum vulgare</w:t>
      </w:r>
      <w:r>
        <w:rPr>
          <w:rFonts w:cs="Times New Roman" w:ascii="Times New Roman" w:hAnsi="Times New Roman"/>
          <w:kern w:val="0"/>
        </w:rPr>
        <w:t>). Using mutants impaired in orthologous CSSP genes (</w:t>
      </w:r>
      <w:r>
        <w:rPr>
          <w:rFonts w:cs="Times New Roman" w:ascii="Times New Roman" w:hAnsi="Times New Roman"/>
          <w:i/>
          <w:iCs/>
          <w:kern w:val="0"/>
        </w:rPr>
        <w:t>symrk</w:t>
      </w:r>
      <w:r>
        <w:rPr>
          <w:rFonts w:cs="Times New Roman" w:ascii="Times New Roman" w:hAnsi="Times New Roman"/>
          <w:kern w:val="0"/>
        </w:rPr>
        <w:t xml:space="preserve">, </w:t>
      </w:r>
      <w:r>
        <w:rPr>
          <w:rFonts w:cs="Times New Roman" w:ascii="Times New Roman" w:hAnsi="Times New Roman"/>
          <w:i/>
          <w:iCs/>
          <w:kern w:val="0"/>
        </w:rPr>
        <w:t>ccamk</w:t>
      </w:r>
      <w:r>
        <w:rPr>
          <w:rFonts w:cs="Times New Roman" w:ascii="Times New Roman" w:hAnsi="Times New Roman"/>
          <w:kern w:val="0"/>
        </w:rPr>
        <w:t xml:space="preserve">, </w:t>
      </w:r>
      <w:r>
        <w:rPr>
          <w:rFonts w:cs="Times New Roman" w:ascii="Times New Roman" w:hAnsi="Times New Roman"/>
          <w:i/>
          <w:iCs/>
          <w:kern w:val="0"/>
        </w:rPr>
        <w:t>nsp1</w:t>
      </w:r>
      <w:r>
        <w:rPr>
          <w:rFonts w:cs="Times New Roman" w:ascii="Times New Roman" w:hAnsi="Times New Roman"/>
          <w:kern w:val="0"/>
        </w:rPr>
        <w:t xml:space="preserve">, </w:t>
      </w:r>
      <w:r>
        <w:rPr>
          <w:rFonts w:cs="Times New Roman" w:ascii="Times New Roman" w:hAnsi="Times New Roman"/>
          <w:i/>
          <w:iCs/>
          <w:kern w:val="0"/>
        </w:rPr>
        <w:t>nsp2</w:t>
      </w:r>
      <w:r>
        <w:rPr>
          <w:rFonts w:cs="Times New Roman" w:ascii="Times New Roman" w:hAnsi="Times New Roman"/>
          <w:kern w:val="0"/>
        </w:rPr>
        <w:t xml:space="preserve">), we examined how disrupted symbiosis signalling influences root microbiota composition, root exudate profiles, and plant growth. By combining these genetic perturbations with soils subjected to long-term differential nitrogen and phosphorus fertilisation, we show that soil nutrient status strongly affects root-associated bacterial communities and that microbiota composition can accurately predict the plant’s nutritional state. Independent of nutrient availability, active symbiosis signalling exerts a strong influence on bacterial community assembly in both hosts. In </w:t>
      </w:r>
      <w:r>
        <w:rPr>
          <w:rFonts w:cs="Times New Roman" w:ascii="Times New Roman" w:hAnsi="Times New Roman"/>
          <w:i/>
          <w:iCs/>
          <w:kern w:val="0"/>
        </w:rPr>
        <w:t>Lotus</w:t>
      </w:r>
      <w:r>
        <w:rPr>
          <w:rFonts w:cs="Times New Roman" w:ascii="Times New Roman" w:hAnsi="Times New Roman"/>
          <w:kern w:val="0"/>
        </w:rPr>
        <w:t xml:space="preserve">, CSSP mutants primarily lose symbiont colonisation, creating opportunities for other microbes to occupy available niches, whereas in </w:t>
      </w:r>
      <w:r>
        <w:rPr>
          <w:rFonts w:cs="Times New Roman" w:ascii="Times New Roman" w:hAnsi="Times New Roman"/>
          <w:i/>
          <w:iCs/>
          <w:kern w:val="0"/>
        </w:rPr>
        <w:t>Hordeum</w:t>
      </w:r>
      <w:r>
        <w:rPr>
          <w:rFonts w:cs="Times New Roman" w:ascii="Times New Roman" w:hAnsi="Times New Roman"/>
          <w:kern w:val="0"/>
        </w:rPr>
        <w:t>, colonisation by diverse bacterial taxa is broadly altered. These community shifts appear to be linked to CSSP-dependent changes in root exudation, particularly affecting phenylpropanoids and phenolic acids. Together, our findings demonstrate that CSSP genes play a broader role in plant</w:t>
      </w:r>
      <w:r>
        <w:rPr>
          <w:rFonts w:cs="Times New Roman" w:ascii="Times New Roman" w:hAnsi="Times New Roman"/>
          <w:color w:val="000000" w:themeColor="text1"/>
          <w:kern w:val="0"/>
        </w:rPr>
        <w:t>-</w:t>
      </w:r>
      <w:r>
        <w:rPr>
          <w:rFonts w:cs="Times New Roman" w:ascii="Times New Roman" w:hAnsi="Times New Roman"/>
          <w:kern w:val="0"/>
        </w:rPr>
        <w:t>microbe interactions beyond their known functions in SNF and AMS.</w:t>
      </w:r>
    </w:p>
    <w:p>
      <w:pPr>
        <w:pStyle w:val="Normal"/>
        <w:spacing w:lineRule="auto" w:line="276"/>
        <w:jc w:val="both"/>
        <w:rPr>
          <w:rFonts w:ascii="Times New Roman" w:hAnsi="Times New Roman" w:eastAsia="Times New Roman" w:cs="Times New Roman"/>
          <w:color w:val="222222"/>
          <w:kern w:val="0"/>
          <w:lang w:eastAsia="en-GB"/>
          <w14:ligatures w14:val="none"/>
        </w:rPr>
      </w:pPr>
      <w:r>
        <w:rPr>
          <w:rFonts w:eastAsia="Times New Roman" w:cs="Times New Roman" w:ascii="Times New Roman" w:hAnsi="Times New Roman"/>
          <w:color w:val="222222"/>
          <w:kern w:val="0"/>
          <w:lang w:eastAsia="en-GB"/>
          <w14:ligatures w14:val="none"/>
        </w:rPr>
      </w:r>
    </w:p>
    <w:p>
      <w:pPr>
        <w:pStyle w:val="Normal"/>
        <w:spacing w:lineRule="auto" w:line="276"/>
        <w:jc w:val="both"/>
        <w:rPr>
          <w:rFonts w:ascii="Times New Roman" w:hAnsi="Times New Roman" w:cs="Times New Roman"/>
          <w:b/>
          <w:b/>
          <w:bCs/>
        </w:rPr>
      </w:pPr>
      <w:r>
        <w:rPr>
          <w:rFonts w:cs="Times New Roman" w:ascii="Times New Roman" w:hAnsi="Times New Roman"/>
          <w:b/>
          <w:bCs/>
        </w:rPr>
        <w:t>Results</w:t>
      </w:r>
    </w:p>
    <w:p>
      <w:pPr>
        <w:pStyle w:val="Normal"/>
        <w:spacing w:lineRule="auto" w:line="276"/>
        <w:jc w:val="both"/>
        <w:rPr>
          <w:rFonts w:ascii="Times New Roman" w:hAnsi="Times New Roman" w:cs="Times New Roman"/>
          <w:b/>
          <w:b/>
          <w:bCs/>
        </w:rPr>
      </w:pPr>
      <w:r>
        <w:rPr>
          <w:rFonts w:cs="Times New Roman" w:ascii="Times New Roman" w:hAnsi="Times New Roman"/>
          <w:b/>
          <w:bCs/>
        </w:rPr>
        <w:t>Long-term effects of soil fertilisation on soil bacterial communities</w:t>
      </w:r>
    </w:p>
    <w:p>
      <w:pPr>
        <w:pStyle w:val="Normal"/>
        <w:spacing w:lineRule="auto" w:line="276"/>
        <w:jc w:val="both"/>
        <w:rPr>
          <w:rFonts w:ascii="Times New Roman" w:hAnsi="Times New Roman" w:cs="Times New Roman"/>
        </w:rPr>
      </w:pPr>
      <w:r>
        <w:rPr>
          <w:rFonts w:cs="Times New Roman" w:ascii="Times New Roman" w:hAnsi="Times New Roman"/>
        </w:rPr>
        <w:t xml:space="preserve">Christensen </w:t>
      </w:r>
      <w:r>
        <w:rPr>
          <w:rFonts w:cs="Times New Roman" w:ascii="Times New Roman" w:hAnsi="Times New Roman"/>
          <w:i/>
          <w:iCs/>
        </w:rPr>
        <w:t>et al</w:t>
      </w:r>
      <w:r>
        <w:rPr>
          <w:rFonts w:cs="Times New Roman" w:ascii="Times New Roman" w:hAnsi="Times New Roman"/>
        </w:rPr>
        <w:t xml:space="preserve">. (2022) conducted a long-term field study in Askov, Denmark, where plots had been consistently treated with specific fertiliser combinations for over 125 years </w:t>
      </w:r>
      <w:r>
        <w:fldChar w:fldCharType="begin"/>
      </w:r>
      <w:r>
        <w:rPr>
          <w:rFonts w:cs="Times New Roman" w:ascii="Times New Roman" w:hAnsi="Times New Roman"/>
        </w:rPr>
        <w:instrText xml:space="preserve">ADDIN ZOTERO_ITEM CSL_CITATION {"citationID":"jGzfJ1H3","properties":{"unsorted":false,"formattedCitation":"(60)","plainCitation":"(60)","noteIndex":0},"citationItems":[{"id":511,"uris":["http://zotero.org/users/16875439/items/HBBTIG79"],"itemData":{"id":511,"type":"article-journal","abstract":"Long-term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Crop plants were grown in well-documented annual rotations, and bulk soil was collected for scientific analyses. In our study, we used three soils from this experiment (hereafter soil types) that had been subjected to: (1) nitrogen-, phosphorus-, and potassium fertilisation (NPK); (2) nitrogen-deficient soil (PK); and (3) unfertilised soil (UF). All soils followed the same crop rotation and agricultural practices over time. Given the long-term fertilisation history, we first asked whether these treatments had influenced soil bacterial communities. Profiling the soil microbiota using 16S V5-V7 rRNA amplicon sequencing (</w:t>
      </w:r>
      <w:r>
        <w:rPr>
          <w:rFonts w:cs="Times New Roman" w:ascii="Times New Roman" w:hAnsi="Times New Roman"/>
          <w:highlight w:val="cyan"/>
        </w:rPr>
        <w:t>Fig.</w:t>
      </w:r>
      <w:r>
        <w:rPr>
          <w:rFonts w:cs="Times New Roman" w:ascii="Times New Roman" w:hAnsi="Times New Roman"/>
          <w:color w:val="FF0000"/>
          <w:highlight w:val="cyan"/>
        </w:rPr>
        <w:t xml:space="preserve"> </w:t>
      </w:r>
      <w:r>
        <w:rPr>
          <w:rFonts w:cs="Times New Roman" w:ascii="Times New Roman" w:hAnsi="Times New Roman"/>
          <w:highlight w:val="cyan"/>
        </w:rPr>
        <w:t>1</w:t>
      </w:r>
      <w:r>
        <w:rPr>
          <w:rFonts w:cs="Times New Roman" w:ascii="Times New Roman" w:hAnsi="Times New Roman"/>
        </w:rPr>
        <w:t>) revealed similar within-sample diversity (alpha diversity, Chao1 index) across the three soils (</w:t>
      </w:r>
      <w:r>
        <w:rPr>
          <w:rFonts w:cs="Times New Roman" w:ascii="Times New Roman" w:hAnsi="Times New Roman"/>
          <w:highlight w:val="cyan"/>
        </w:rPr>
        <w:t>Fig. 1B</w:t>
      </w:r>
      <w:r>
        <w:rPr>
          <w:rFonts w:cs="Times New Roman" w:ascii="Times New Roman" w:hAnsi="Times New Roman"/>
        </w:rPr>
        <w:t xml:space="preserve">), but substantial differences in community composition (between-sample diversity, beta diversity; Bray-Curtis dissimilarities, </w:t>
      </w:r>
      <w:r>
        <w:rPr>
          <w:rFonts w:cs="Times New Roman" w:ascii="Times New Roman" w:hAnsi="Times New Roman"/>
          <w:highlight w:val="cyan"/>
        </w:rPr>
        <w:t>Fig. 1C</w:t>
      </w:r>
      <w:r>
        <w:rPr>
          <w:rFonts w:cs="Times New Roman" w:ascii="Times New Roman" w:hAnsi="Times New Roman"/>
        </w:rPr>
        <w:t xml:space="preserve">). Several well-known bacterial orders </w:t>
      </w:r>
      <w:r>
        <w:fldChar w:fldCharType="begin"/>
      </w:r>
      <w:r>
        <w:rPr>
          <w:rFonts w:cs="Times New Roman" w:ascii="Times New Roman" w:hAnsi="Times New Roman"/>
        </w:rPr>
        <w:instrText xml:space="preserve">ADDIN ZOTERO_ITEM CSL_CITATION {"citationID":"PzFgZAQ9","properties":{"unsorted":false,"formattedCitation":"(61)","plainCitation":"(61)","noteIndex":0},"citationItems":[{"id":565,"uris":["http://zotero.org/users/16875439/items/SXAZQ5JI"],"itemData":{"id":565,"type":"article-journal","abstract":"The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(61)</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were among the most abundant taxa (</w:t>
      </w:r>
      <w:r>
        <w:rPr>
          <w:rFonts w:cs="Times New Roman" w:ascii="Times New Roman" w:hAnsi="Times New Roman"/>
          <w:highlight w:val="cyan"/>
        </w:rPr>
        <w:t>Fig. 1D</w:t>
      </w:r>
      <w:r>
        <w:rPr>
          <w:rFonts w:cs="Times New Roman" w:ascii="Times New Roman" w:hAnsi="Times New Roman"/>
        </w:rPr>
        <w:t xml:space="preserve">), with some showing differential abundance across soil types; for example, </w:t>
      </w:r>
      <w:r>
        <w:rPr>
          <w:rFonts w:cs="Times New Roman" w:ascii="Times New Roman" w:hAnsi="Times New Roman"/>
          <w:i/>
          <w:iCs/>
        </w:rPr>
        <w:t xml:space="preserve">Pseudomonadales </w:t>
      </w:r>
      <w:r>
        <w:rPr>
          <w:rFonts w:cs="Times New Roman" w:ascii="Times New Roman" w:hAnsi="Times New Roman"/>
        </w:rPr>
        <w:t xml:space="preserve">were enriched in UF, whereas </w:t>
      </w:r>
      <w:r>
        <w:rPr>
          <w:rFonts w:cs="Times New Roman" w:ascii="Times New Roman" w:hAnsi="Times New Roman"/>
          <w:i/>
          <w:iCs/>
        </w:rPr>
        <w:t>Bacillales</w:t>
      </w:r>
      <w:r>
        <w:rPr>
          <w:rFonts w:cs="Times New Roman" w:ascii="Times New Roman" w:hAnsi="Times New Roman"/>
        </w:rPr>
        <w:t xml:space="preserve">, </w:t>
      </w:r>
      <w:r>
        <w:rPr>
          <w:rFonts w:cs="Times New Roman" w:ascii="Times New Roman" w:hAnsi="Times New Roman"/>
          <w:i/>
          <w:iCs/>
        </w:rPr>
        <w:t>Gaiellales</w:t>
      </w:r>
      <w:r>
        <w:rPr>
          <w:rFonts w:cs="Times New Roman" w:ascii="Times New Roman" w:hAnsi="Times New Roman"/>
        </w:rPr>
        <w:t xml:space="preserve">, and </w:t>
      </w:r>
      <w:r>
        <w:rPr>
          <w:rFonts w:cs="Times New Roman" w:ascii="Times New Roman" w:hAnsi="Times New Roman"/>
          <w:i/>
          <w:iCs/>
        </w:rPr>
        <w:t>Xanthomonadales</w:t>
      </w:r>
      <w:r>
        <w:rPr>
          <w:rFonts w:cs="Times New Roman" w:ascii="Times New Roman" w:hAnsi="Times New Roman"/>
        </w:rPr>
        <w:t xml:space="preserve"> were more abundant in NPK soil (</w:t>
      </w:r>
      <w:r>
        <w:rPr>
          <w:rFonts w:cs="Times New Roman" w:ascii="Times New Roman" w:hAnsi="Times New Roman"/>
          <w:highlight w:val="cyan"/>
        </w:rPr>
        <w:t>Fig. 1E</w:t>
      </w:r>
      <w:r>
        <w:rPr>
          <w:rFonts w:cs="Times New Roman" w:ascii="Times New Roman" w:hAnsi="Times New Roman"/>
        </w:rPr>
        <w:t>). A similar number of</w:t>
      </w:r>
      <w:r>
        <w:rPr>
          <w:rFonts w:cs="Times New Roman" w:ascii="Times New Roman" w:hAnsi="Times New Roman"/>
          <w:color w:val="000000" w:themeColor="text1"/>
        </w:rPr>
        <w:t xml:space="preserve"> amplicon sequence variants (</w:t>
      </w:r>
      <w:r>
        <w:rPr>
          <w:rFonts w:cs="Times New Roman" w:ascii="Times New Roman" w:hAnsi="Times New Roman"/>
        </w:rPr>
        <w:t>ASVs; ~1200) was identified in all soils, of which fewer than 40% were shared across soil types (</w:t>
      </w:r>
      <w:r>
        <w:rPr>
          <w:rFonts w:cs="Times New Roman" w:ascii="Times New Roman" w:hAnsi="Times New Roman"/>
          <w:highlight w:val="cyan"/>
        </w:rPr>
        <w:t>Fig. 1F, Suppl. Table 1</w:t>
      </w:r>
      <w:r>
        <w:rPr>
          <w:rFonts w:cs="Times New Roman" w:ascii="Times New Roman" w:hAnsi="Times New Roman"/>
        </w:rPr>
        <w:t>). Both unique and shared ASVs spanned a broad range of bacterial orders, indicating that long-term fertilisation influenced community composition at both low and higher taxonomic levels (</w:t>
      </w:r>
      <w:r>
        <w:rPr>
          <w:rFonts w:cs="Times New Roman" w:ascii="Times New Roman" w:hAnsi="Times New Roman"/>
          <w:highlight w:val="cyan"/>
        </w:rPr>
        <w:t>Fig. 1F</w:t>
      </w:r>
      <w:r>
        <w:rPr>
          <w:rFonts w:cs="Times New Roman" w:ascii="Times New Roman" w:hAnsi="Times New Roman"/>
        </w:rPr>
        <w:t>). This demonstrates that long-term fertilisation maintains overall diversity while shaping bacterial community composition, resulting in distinct communities likely adapted to the specific soil conditions imposed by different fertilisation regimes.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commentRangeStart w:id="2"/>
      <w:r>
        <w:rPr>
          <w:rFonts w:cs="Times New Roman" w:ascii="Times New Roman" w:hAnsi="Times New Roman"/>
          <w:b/>
          <w:bCs/>
        </w:rPr>
        <w:t>Host-specific colonisation by distinct soil microbiota members</w:t>
      </w:r>
      <w:commentRangeEnd w:id="2"/>
      <w:r>
        <w:commentReference w:id="2"/>
      </w: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rPr>
        <w:t xml:space="preserve">Next, we cultivated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Hordeum</w:t>
      </w:r>
      <w:r>
        <w:rPr>
          <w:rFonts w:cs="Times New Roman" w:ascii="Times New Roman" w:hAnsi="Times New Roman"/>
        </w:rPr>
        <w:t xml:space="preserve"> wild-type in the three soils (NPK, PK and UF) for three weeks (</w:t>
      </w:r>
      <w:r>
        <w:rPr>
          <w:rFonts w:cs="Times New Roman" w:ascii="Times New Roman" w:hAnsi="Times New Roman"/>
          <w:highlight w:val="cyan"/>
        </w:rPr>
        <w:t>Fig. 2A</w:t>
      </w:r>
      <w:r>
        <w:rPr>
          <w:rFonts w:cs="Times New Roman" w:ascii="Times New Roman" w:hAnsi="Times New Roman"/>
        </w:rPr>
        <w:t xml:space="preserve">) and assessed their phenotype and associated microbiota. Shoot fresh weight revealed that, as expected </w:t>
      </w:r>
      <w:r>
        <w:fldChar w:fldCharType="begin"/>
      </w:r>
      <w:r>
        <w:rPr>
          <w:rFonts w:cs="Times New Roman" w:ascii="Times New Roman" w:hAnsi="Times New Roman"/>
        </w:rPr>
        <w:instrText xml:space="preserve">ADDIN ZOTERO_ITEM CSL_CITATION {"citationID":"zfummPwO","properties":{"unsorted":false,"formattedCitation":"(62)","plainCitation":"(62)","noteIndex":0},"citationItems":[{"id":573,"uris":["http://zotero.org/users/16875439/items/WBTKLK9P"],"itemData":{"id":573,"type":"article-journal","abstract":"Macronutrients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kern w:val="0"/>
        </w:rPr>
        <w:t xml:space="preserve">, </w:t>
      </w:r>
      <w:r>
        <w:rPr>
          <w:rFonts w:cs="Times New Roman" w:ascii="Times New Roman" w:hAnsi="Times New Roman"/>
        </w:rPr>
        <w:t>fertilisation levels had a significant effect on plant growth, with reduced growth as nutrient availability decreased (</w:t>
      </w:r>
      <w:r>
        <w:rPr>
          <w:rFonts w:cs="Times New Roman" w:ascii="Times New Roman" w:hAnsi="Times New Roman"/>
          <w:highlight w:val="cyan"/>
        </w:rPr>
        <w:t>Fig. 2B</w:t>
      </w:r>
      <w:r>
        <w:rPr>
          <w:rFonts w:cs="Times New Roman" w:ascii="Times New Roman" w:hAnsi="Times New Roman"/>
        </w:rPr>
        <w:t>)</w:t>
      </w:r>
      <w:r>
        <w:rPr>
          <w:rFonts w:cs="Times New Roman" w:ascii="Times New Roman" w:hAnsi="Times New Roman"/>
          <w:kern w:val="0"/>
        </w:rPr>
        <w:t xml:space="preserve">. </w:t>
      </w:r>
      <w:r>
        <w:rPr>
          <w:rFonts w:cs="Times New Roman" w:ascii="Times New Roman" w:hAnsi="Times New Roman"/>
          <w:i/>
          <w:iCs/>
          <w:kern w:val="0"/>
        </w:rPr>
        <w:t xml:space="preserve">Lotus </w:t>
      </w:r>
      <w:r>
        <w:rPr>
          <w:rFonts w:cs="Times New Roman" w:ascii="Times New Roman" w:hAnsi="Times New Roman"/>
          <w:kern w:val="0"/>
        </w:rPr>
        <w:t>formed pink root nodules in all soils, although nodule numbers were significantly higher in PK and UF than in NPK, reflecting nitrogen repression of symbiosis (</w:t>
      </w:r>
      <w:r>
        <w:rPr>
          <w:rFonts w:cs="Times New Roman" w:ascii="Times New Roman" w:hAnsi="Times New Roman"/>
          <w:kern w:val="0"/>
          <w:highlight w:val="cyan"/>
        </w:rPr>
        <w:t>Fig.2C</w:t>
      </w:r>
      <w:r>
        <w:rPr>
          <w:rFonts w:cs="Times New Roman" w:ascii="Times New Roman" w:hAnsi="Times New Roman"/>
          <w:kern w:val="0"/>
        </w:rPr>
        <w:t xml:space="preserve">). The highest nodule counts were observed in PK, likely due to sufficient phosphorus supporting SNF </w:t>
      </w:r>
      <w:r>
        <w:fldChar w:fldCharType="begin"/>
      </w:r>
      <w:r>
        <w:rPr>
          <w:kern w:val="0"/>
          <w:rFonts w:cs="Times New Roman" w:ascii="Times New Roman" w:hAnsi="Times New Roman"/>
        </w:rPr>
        <w:instrText xml:space="preserve">ADDIN ZOTERO_ITEM CSL_CITATION {"citationID":"n3fVcX90","properties":{"unsorted":false,"formattedCitation":"(63)","plainCitation":"(63)","noteIndex":0},"citationItems":[{"id":570,"uris":["http://zotero.org/users/16875439/items/PS5SHXCM"],"itemData":{"id":570,"type":"article-journal","abstract":"Access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(63)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w:t>
      </w:r>
      <w:r>
        <w:rPr>
          <w:rFonts w:cs="Times New Roman" w:ascii="Times New Roman" w:hAnsi="Times New Roman"/>
        </w:rPr>
        <w:t xml:space="preserve"> We collected rhizosphere, root, and nodule samples for microbiome analysis. As expected, alpha diversity was highest in rhizosphere samples of both hosts, followed by root and then nodule samples (Chao1 index, </w:t>
      </w:r>
      <w:r>
        <w:rPr>
          <w:rFonts w:cs="Times New Roman" w:ascii="Times New Roman" w:hAnsi="Times New Roman"/>
          <w:highlight w:val="cyan"/>
        </w:rPr>
        <w:t>Suppl. Fig. 1A,B</w:t>
      </w:r>
      <w:r>
        <w:rPr>
          <w:rFonts w:cs="Times New Roman" w:ascii="Times New Roman" w:hAnsi="Times New Roman"/>
        </w:rPr>
        <w:t xml:space="preserve">) </w:t>
      </w:r>
      <w:r>
        <w:fldChar w:fldCharType="begin"/>
      </w:r>
      <w:r>
        <w:rPr>
          <w:rFonts w:cs="Times New Roman" w:ascii="Times New Roman" w:hAnsi="Times New Roman"/>
        </w:rPr>
        <w:instrText xml:space="preserve">ADDIN ZOTERO_ITEM CSL_CITATION {"citationID":"ehYt9TqX","properties":{"unsorted":false,"formattedCitation":"(56)","plainCitation":"(56)","noteIndex":0},"citationItems":[{"id":575,"uris":["http://zotero.org/users/16875439/items/634WQWZN"],"itemData":{"id":575,"type":"article-journal","abstract":"Lotus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(56)</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Fertilisation history did not affect alpha diversity in </w:t>
      </w:r>
      <w:r>
        <w:rPr>
          <w:rFonts w:cs="Times New Roman" w:ascii="Times New Roman" w:hAnsi="Times New Roman"/>
          <w:i/>
          <w:iCs/>
        </w:rPr>
        <w:t>Hordeum</w:t>
      </w:r>
      <w:r>
        <w:rPr>
          <w:rFonts w:cs="Times New Roman" w:ascii="Times New Roman" w:hAnsi="Times New Roman"/>
        </w:rPr>
        <w:t xml:space="preserve">, but </w:t>
      </w:r>
      <w:r>
        <w:rPr>
          <w:rFonts w:cs="Times New Roman" w:ascii="Times New Roman" w:hAnsi="Times New Roman"/>
          <w:i/>
          <w:iCs/>
        </w:rPr>
        <w:t>Lotus</w:t>
      </w:r>
      <w:r>
        <w:rPr>
          <w:rFonts w:cs="Times New Roman" w:ascii="Times New Roman" w:hAnsi="Times New Roman"/>
        </w:rPr>
        <w:t xml:space="preserve"> rhizosphere communities exhibited reduced diversity in PK and UF soils (</w:t>
      </w:r>
      <w:r>
        <w:rPr>
          <w:rFonts w:cs="Times New Roman" w:ascii="Times New Roman" w:hAnsi="Times New Roman"/>
          <w:highlight w:val="cyan"/>
        </w:rPr>
        <w:t>Suppl. Fig. 1A,B</w:t>
      </w:r>
      <w:r>
        <w:rPr>
          <w:rFonts w:cs="Times New Roman" w:ascii="Times New Roman" w:hAnsi="Times New Roman"/>
        </w:rPr>
        <w:t>), coinciding with higher nodule numbers (</w:t>
      </w:r>
      <w:r>
        <w:rPr>
          <w:rFonts w:cs="Times New Roman" w:ascii="Times New Roman" w:hAnsi="Times New Roman"/>
          <w:highlight w:val="cyan"/>
        </w:rPr>
        <w:t>Fig.2C</w:t>
      </w:r>
      <w:r>
        <w:rPr>
          <w:rFonts w:cs="Times New Roman" w:ascii="Times New Roman" w:hAnsi="Times New Roman"/>
        </w:rPr>
        <w:t xml:space="preserve">), consistent with SNF contributing to rhizosphere microbiota structuring </w:t>
      </w:r>
      <w:r>
        <w:fldChar w:fldCharType="begin"/>
      </w:r>
      <w:r>
        <w:rPr>
          <w:rFonts w:cs="Times New Roman" w:ascii="Times New Roman" w:hAnsi="Times New Roman"/>
        </w:rPr>
        <w:instrText xml:space="preserve">ADDIN ZOTERO_ITEM CSL_CITATION {"citationID":"Y0XR0WL3","properties":{"unsorted":false,"formattedCitation":"(55)","plainCitation":"(55)","noteIndex":0},"citationItems":[{"id":577,"uris":["http://zotero.org/users/16875439/items/4YKUMNYH"],"itemData":{"id":577,"type":"article-journal","abstract":"Symbiosis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(55)</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Beta diversity was significanlty influenced by both sample fraction and soil type in both plants (</w:t>
      </w:r>
      <w:r>
        <w:rPr>
          <w:rFonts w:cs="Times New Roman" w:ascii="Times New Roman" w:hAnsi="Times New Roman"/>
          <w:highlight w:val="cyan"/>
        </w:rPr>
        <w:t>Fig. 2D</w:t>
      </w:r>
      <w:r>
        <w:rPr>
          <w:rFonts w:cs="Times New Roman" w:ascii="Times New Roman" w:hAnsi="Times New Roman"/>
        </w:rPr>
        <w:t xml:space="preserve">), with clear separation of rhizosphere and root communities. </w:t>
      </w:r>
      <w:r>
        <w:rPr>
          <w:rFonts w:cs="Times New Roman" w:ascii="Times New Roman" w:hAnsi="Times New Roman"/>
          <w:i/>
          <w:iCs/>
        </w:rPr>
        <w:t>Lotus</w:t>
      </w:r>
      <w:r>
        <w:rPr>
          <w:rFonts w:cs="Times New Roman" w:ascii="Times New Roman" w:hAnsi="Times New Roman"/>
        </w:rPr>
        <w:t xml:space="preserve"> nodule communities displayed similar beta diversity patterns across soils (</w:t>
      </w:r>
      <w:r>
        <w:rPr>
          <w:rFonts w:cs="Times New Roman" w:ascii="Times New Roman" w:hAnsi="Times New Roman"/>
          <w:highlight w:val="cyan"/>
        </w:rPr>
        <w:t>Fig. 2D</w:t>
      </w:r>
      <w:r>
        <w:rPr>
          <w:rFonts w:cs="Times New Roman" w:ascii="Times New Roman" w:hAnsi="Times New Roman"/>
        </w:rPr>
        <w:t xml:space="preserve">). Community structure analysis revealed common features in both hosts. </w:t>
      </w:r>
      <w:r>
        <w:rPr>
          <w:rFonts w:cs="Times New Roman" w:ascii="Times New Roman" w:hAnsi="Times New Roman"/>
          <w:i/>
          <w:iCs/>
        </w:rPr>
        <w:t>Burkholderiales</w:t>
      </w:r>
      <w:r>
        <w:rPr>
          <w:rFonts w:cs="Times New Roman" w:ascii="Times New Roman" w:hAnsi="Times New Roman"/>
        </w:rPr>
        <w:t xml:space="preserve"> was the most abundant order, while </w:t>
      </w:r>
      <w:r>
        <w:rPr>
          <w:rFonts w:cs="Times New Roman" w:ascii="Times New Roman" w:hAnsi="Times New Roman"/>
          <w:i/>
          <w:iCs/>
        </w:rPr>
        <w:t>Rhizobiales</w:t>
      </w:r>
      <w:r>
        <w:rPr>
          <w:rFonts w:cs="Times New Roman" w:ascii="Times New Roman" w:hAnsi="Times New Roman"/>
        </w:rPr>
        <w:t xml:space="preserve"> was particularly enriched in </w:t>
      </w:r>
      <w:r>
        <w:rPr>
          <w:rFonts w:cs="Times New Roman" w:ascii="Times New Roman" w:hAnsi="Times New Roman"/>
          <w:i/>
          <w:iCs/>
        </w:rPr>
        <w:t>Lotus</w:t>
      </w:r>
      <w:r>
        <w:rPr>
          <w:rFonts w:cs="Times New Roman" w:ascii="Times New Roman" w:hAnsi="Times New Roman"/>
        </w:rPr>
        <w:t xml:space="preserve"> root and nodule fractions due to highly competitive symbionts (</w:t>
      </w:r>
      <w:r>
        <w:rPr>
          <w:rFonts w:cs="Times New Roman" w:ascii="Times New Roman" w:hAnsi="Times New Roman"/>
          <w:highlight w:val="cyan"/>
        </w:rPr>
        <w:t>Fig. 2E, Suppl. Fig. 1C,D</w:t>
      </w:r>
      <w:r>
        <w:rPr>
          <w:rFonts w:cs="Times New Roman" w:ascii="Times New Roman" w:hAnsi="Times New Roman"/>
        </w:rPr>
        <w:t xml:space="preserve">). Additional host-specific colonisation patterns were observed, including a higher abundance of  </w:t>
      </w:r>
      <w:r>
        <w:rPr>
          <w:rFonts w:cs="Times New Roman" w:ascii="Times New Roman" w:hAnsi="Times New Roman"/>
          <w:i/>
          <w:iCs/>
        </w:rPr>
        <w:t>Pseudomonadales</w:t>
      </w:r>
      <w:r>
        <w:rPr>
          <w:rFonts w:cs="Times New Roman" w:ascii="Times New Roman" w:hAnsi="Times New Roman"/>
        </w:rPr>
        <w:t xml:space="preserve"> in </w:t>
      </w:r>
      <w:r>
        <w:rPr>
          <w:rFonts w:cs="Times New Roman" w:ascii="Times New Roman" w:hAnsi="Times New Roman"/>
          <w:i/>
          <w:iCs/>
        </w:rPr>
        <w:t>Lotus</w:t>
      </w:r>
      <w:r>
        <w:rPr>
          <w:rFonts w:cs="Times New Roman" w:ascii="Times New Roman" w:hAnsi="Times New Roman"/>
        </w:rPr>
        <w:t xml:space="preserve">, whereas </w:t>
      </w:r>
      <w:r>
        <w:rPr>
          <w:rFonts w:cs="Times New Roman" w:ascii="Times New Roman" w:hAnsi="Times New Roman"/>
          <w:i/>
          <w:iCs/>
        </w:rPr>
        <w:t>Flavobacteriales</w:t>
      </w:r>
      <w:r>
        <w:rPr>
          <w:rFonts w:cs="Times New Roman" w:ascii="Times New Roman" w:hAnsi="Times New Roman"/>
        </w:rPr>
        <w:t xml:space="preserve"> and </w:t>
      </w:r>
      <w:r>
        <w:rPr>
          <w:rFonts w:cs="Times New Roman" w:ascii="Times New Roman" w:hAnsi="Times New Roman"/>
          <w:i/>
          <w:iCs/>
        </w:rPr>
        <w:t>Streptomycetales</w:t>
      </w:r>
      <w:r>
        <w:rPr>
          <w:rFonts w:cs="Times New Roman" w:ascii="Times New Roman" w:hAnsi="Times New Roman"/>
        </w:rPr>
        <w:t xml:space="preserve"> were more prevalent in </w:t>
      </w:r>
      <w:r>
        <w:rPr>
          <w:rFonts w:cs="Times New Roman" w:ascii="Times New Roman" w:hAnsi="Times New Roman"/>
          <w:i/>
          <w:iCs/>
        </w:rPr>
        <w:t>Hordeum</w:t>
      </w:r>
      <w:r>
        <w:rPr>
          <w:rFonts w:cs="Times New Roman" w:ascii="Times New Roman" w:hAnsi="Times New Roman"/>
        </w:rPr>
        <w:t xml:space="preserve">, with the latter particularly enriched in roots. Soil-dependent community shifts were also detected. For instance, </w:t>
      </w:r>
      <w:r>
        <w:rPr>
          <w:rFonts w:cs="Times New Roman" w:ascii="Times New Roman" w:hAnsi="Times New Roman"/>
          <w:i/>
          <w:iCs/>
        </w:rPr>
        <w:t>Burkholderiales</w:t>
      </w:r>
      <w:r>
        <w:rPr>
          <w:rFonts w:cs="Times New Roman" w:ascii="Times New Roman" w:hAnsi="Times New Roman"/>
        </w:rPr>
        <w:t xml:space="preserve"> were the most abundant in PK and UF in both hosts. In </w:t>
      </w:r>
      <w:r>
        <w:rPr>
          <w:rFonts w:cs="Times New Roman" w:ascii="Times New Roman" w:hAnsi="Times New Roman"/>
          <w:i/>
          <w:iCs/>
        </w:rPr>
        <w:t>Lotus</w:t>
      </w:r>
      <w:r>
        <w:rPr>
          <w:rFonts w:cs="Times New Roman" w:ascii="Times New Roman" w:hAnsi="Times New Roman"/>
        </w:rPr>
        <w:t xml:space="preserve">, </w:t>
      </w:r>
      <w:r>
        <w:rPr>
          <w:rFonts w:cs="Times New Roman" w:ascii="Times New Roman" w:hAnsi="Times New Roman"/>
          <w:i/>
          <w:iCs/>
        </w:rPr>
        <w:t>Chloroflexales</w:t>
      </w:r>
      <w:r>
        <w:rPr>
          <w:rFonts w:cs="Times New Roman" w:ascii="Times New Roman" w:hAnsi="Times New Roman"/>
        </w:rPr>
        <w:t xml:space="preserve"> were enriched in rhizosphere and root fractions when plants were grown in UF soil, while </w:t>
      </w:r>
      <w:r>
        <w:rPr>
          <w:rFonts w:cs="Times New Roman" w:ascii="Times New Roman" w:hAnsi="Times New Roman"/>
          <w:i/>
          <w:iCs/>
        </w:rPr>
        <w:t>Sphingomonadales</w:t>
      </w:r>
      <w:r>
        <w:rPr>
          <w:rFonts w:cs="Times New Roman" w:ascii="Times New Roman" w:hAnsi="Times New Roman"/>
        </w:rPr>
        <w:t xml:space="preserve"> (root) and </w:t>
      </w:r>
      <w:r>
        <w:rPr>
          <w:rFonts w:cs="Times New Roman" w:ascii="Times New Roman" w:hAnsi="Times New Roman"/>
          <w:i/>
          <w:iCs/>
        </w:rPr>
        <w:t>Streptomycetales</w:t>
      </w:r>
      <w:r>
        <w:rPr>
          <w:rFonts w:cs="Times New Roman" w:ascii="Times New Roman" w:hAnsi="Times New Roman"/>
        </w:rPr>
        <w:t xml:space="preserve"> (rhizosphere) were more abundant in NPK. In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Caulobacterales</w:t>
      </w:r>
      <w:r>
        <w:rPr>
          <w:rFonts w:cs="Times New Roman" w:ascii="Times New Roman" w:hAnsi="Times New Roman"/>
        </w:rPr>
        <w:t xml:space="preserve"> were reduced in NPK roots, while </w:t>
      </w:r>
      <w:r>
        <w:rPr>
          <w:rFonts w:cs="Times New Roman" w:ascii="Times New Roman" w:hAnsi="Times New Roman"/>
          <w:i/>
          <w:iCs/>
        </w:rPr>
        <w:t>Flavobacteriales</w:t>
      </w:r>
      <w:r>
        <w:rPr>
          <w:rFonts w:cs="Times New Roman" w:ascii="Times New Roman" w:hAnsi="Times New Roman"/>
        </w:rPr>
        <w:t xml:space="preserve"> increased  in PK and UF (</w:t>
      </w:r>
      <w:r>
        <w:rPr>
          <w:rFonts w:cs="Times New Roman" w:ascii="Times New Roman" w:hAnsi="Times New Roman"/>
          <w:highlight w:val="cyan"/>
        </w:rPr>
        <w:t>Fig. 2E, Suppl. Fig. 1C</w:t>
      </w:r>
      <w:r>
        <w:rPr>
          <w:rFonts w:cs="Times New Roman" w:ascii="Times New Roman" w:hAnsi="Times New Roman"/>
        </w:rPr>
        <w:t xml:space="preserve">). </w:t>
      </w:r>
      <w:r>
        <w:rPr>
          <w:rFonts w:cs="Times New Roman" w:ascii="Times New Roman" w:hAnsi="Times New Roman"/>
          <w:i/>
          <w:iCs/>
        </w:rPr>
        <w:t>Lotus</w:t>
      </w:r>
      <w:r>
        <w:rPr>
          <w:rFonts w:cs="Times New Roman" w:ascii="Times New Roman" w:hAnsi="Times New Roman"/>
        </w:rPr>
        <w:t xml:space="preserve"> nodules were colonised by </w:t>
      </w:r>
      <w:r>
        <w:rPr>
          <w:rFonts w:cs="Times New Roman" w:ascii="Times New Roman" w:hAnsi="Times New Roman"/>
          <w:i/>
          <w:iCs/>
        </w:rPr>
        <w:t>Mesorhizobium</w:t>
      </w:r>
      <w:r>
        <w:rPr>
          <w:rFonts w:cs="Times New Roman" w:ascii="Times New Roman" w:hAnsi="Times New Roman"/>
        </w:rPr>
        <w:t xml:space="preserve"> and </w:t>
      </w:r>
      <w:r>
        <w:rPr>
          <w:rFonts w:cs="Times New Roman" w:ascii="Times New Roman" w:hAnsi="Times New Roman"/>
          <w:i/>
          <w:iCs/>
        </w:rPr>
        <w:t>Pseudomonas</w:t>
      </w:r>
      <w:r>
        <w:rPr>
          <w:rFonts w:cs="Times New Roman" w:ascii="Times New Roman" w:hAnsi="Times New Roman"/>
        </w:rPr>
        <w:t xml:space="preserve"> ASVs, which largely overlapped between soils but differed in individual abundances in the nodules (</w:t>
      </w:r>
      <w:r>
        <w:rPr>
          <w:rFonts w:cs="Times New Roman" w:ascii="Times New Roman" w:hAnsi="Times New Roman"/>
          <w:highlight w:val="cyan"/>
        </w:rPr>
        <w:t>Suppl. Fig. 1D</w:t>
      </w:r>
      <w:r>
        <w:rPr>
          <w:rFonts w:cs="Times New Roman" w:ascii="Times New Roman" w:hAnsi="Times New Roman"/>
        </w:rPr>
        <w:t xml:space="preserve">). Together, these results show that long-term fertilisation regimes significantly impact plant fitness and associated root microbiota, and that different hosts adapt to the given differences and selectively recruit specific bacterial members, reinforcing the concept of host preference </w:t>
      </w:r>
      <w:r>
        <w:fldChar w:fldCharType="begin"/>
      </w:r>
      <w:r>
        <w:rPr>
          <w:rFonts w:cs="Times New Roman" w:ascii="Times New Roman" w:hAnsi="Times New Roman"/>
        </w:rPr>
        <w:instrText xml:space="preserve">ADDIN ZOTERO_ITEM CSL_CITATION {"citationID":"mKvyHJh6","properties":{"unsorted":false,"formattedCitation":"(64)","plainCitation":"(64)","noteIndex":0},"citationItems":[{"id":580,"uris":["http://zotero.org/users/16875439/items/97Y2M4HL"],"itemData":{"id":580,"type":"article-journal","abstract":"Roots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High accuracy prediction of plant nutrient status based on bacterial community compositions</w:t>
      </w:r>
    </w:p>
    <w:p>
      <w:pPr>
        <w:pStyle w:val="Normal"/>
        <w:spacing w:lineRule="auto" w:line="276"/>
        <w:jc w:val="both"/>
        <w:rPr>
          <w:rFonts w:ascii="Times New Roman" w:hAnsi="Times New Roman" w:cs="Times New Roman"/>
        </w:rPr>
      </w:pPr>
      <w:r>
        <w:rPr>
          <w:rFonts w:cs="Times New Roman" w:ascii="Times New Roman" w:hAnsi="Times New Roman"/>
        </w:rPr>
        <w:t xml:space="preserve">Following the observed large differences in rhizosphere and root microbiota across the different soils, we asked whether these microbial signatures could be used to predict the nutritional state of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rPr>
        <w:t>Hordeum</w:t>
      </w:r>
      <w:r>
        <w:rPr>
          <w:rFonts w:cs="Times New Roman" w:ascii="Times New Roman" w:hAnsi="Times New Roman"/>
          <w:iCs/>
        </w:rPr>
        <w:t>.</w:t>
      </w:r>
      <w:r>
        <w:rPr>
          <w:rFonts w:cs="Times New Roman" w:ascii="Times New Roman" w:hAnsi="Times New Roman"/>
        </w:rPr>
        <w:t xml:space="preserve"> We developed a two-step classification model trained on bacterial community profiles from plants grown in NPK, PK, and UF soils. The first model distinguishes plants grown in NPK soil from those in non-NPK soil, while the second model further separated PK from UF samples (</w:t>
      </w:r>
      <w:r>
        <w:rPr>
          <w:rFonts w:cs="Times New Roman" w:ascii="Times New Roman" w:hAnsi="Times New Roman"/>
          <w:highlight w:val="cyan"/>
        </w:rPr>
        <w:t>Fig. 3A</w:t>
      </w:r>
      <w:r>
        <w:rPr>
          <w:rFonts w:cs="Times New Roman" w:ascii="Times New Roman" w:hAnsi="Times New Roman"/>
        </w:rPr>
        <w:t>). Predictions were based on log-ratios of relative abundances of specific ASV combinations from rhizosphere or root microbiomes (</w:t>
      </w:r>
      <w:r>
        <w:rPr>
          <w:rFonts w:cs="Times New Roman" w:ascii="Times New Roman" w:hAnsi="Times New Roman"/>
          <w:highlight w:val="cyan"/>
        </w:rPr>
        <w:t>Fig. 3C; Suppl. Table 2</w:t>
      </w:r>
      <w:r>
        <w:rPr>
          <w:rFonts w:cs="Times New Roman" w:ascii="Times New Roman" w:hAnsi="Times New Roman"/>
        </w:rPr>
        <w:t>), which together accounted for 1-12% of total relative abundance (</w:t>
      </w:r>
      <w:r>
        <w:rPr>
          <w:rFonts w:cs="Times New Roman" w:ascii="Times New Roman" w:hAnsi="Times New Roman"/>
          <w:highlight w:val="cyan"/>
        </w:rPr>
        <w:t>Fig. 3D</w:t>
      </w:r>
      <w:r>
        <w:rPr>
          <w:rFonts w:cs="Times New Roman" w:ascii="Times New Roman" w:hAnsi="Times New Roman"/>
        </w:rPr>
        <w:t xml:space="preserve">). Remarkably, the model achieved an overall accuracy of 93.3% using </w:t>
      </w:r>
      <w:r>
        <w:rPr>
          <w:rFonts w:cs="Times New Roman" w:ascii="Times New Roman" w:hAnsi="Times New Roman"/>
          <w:i/>
          <w:iCs/>
        </w:rPr>
        <w:t>Lotus</w:t>
      </w:r>
      <w:r>
        <w:rPr>
          <w:rFonts w:cs="Times New Roman" w:ascii="Times New Roman" w:hAnsi="Times New Roman"/>
        </w:rPr>
        <w:t xml:space="preserve"> and 80-83.3% using </w:t>
      </w:r>
      <w:r>
        <w:rPr>
          <w:rFonts w:cs="Times New Roman" w:ascii="Times New Roman" w:hAnsi="Times New Roman"/>
          <w:i/>
          <w:iCs/>
        </w:rPr>
        <w:t>Hordeum</w:t>
      </w:r>
      <w:r>
        <w:rPr>
          <w:rFonts w:cs="Times New Roman" w:ascii="Times New Roman" w:hAnsi="Times New Roman"/>
        </w:rPr>
        <w:t xml:space="preserve"> rhizosphere and root microbiome data, with only 15 out of 120 samples not previously seen by the model being misclassified (</w:t>
      </w:r>
      <w:r>
        <w:rPr>
          <w:rFonts w:cs="Times New Roman" w:ascii="Times New Roman" w:hAnsi="Times New Roman"/>
          <w:highlight w:val="cyan"/>
        </w:rPr>
        <w:t>Fig. 3B,C</w:t>
      </w:r>
      <w:r>
        <w:rPr>
          <w:rFonts w:cs="Times New Roman" w:ascii="Times New Roman" w:hAnsi="Times New Roman"/>
        </w:rPr>
        <w:t xml:space="preserve">). For </w:t>
      </w:r>
      <w:r>
        <w:rPr>
          <w:rFonts w:cs="Times New Roman" w:ascii="Times New Roman" w:hAnsi="Times New Roman"/>
          <w:i/>
          <w:iCs/>
        </w:rPr>
        <w:t>Lotus</w:t>
      </w:r>
      <w:r>
        <w:rPr>
          <w:rFonts w:cs="Times New Roman" w:ascii="Times New Roman" w:hAnsi="Times New Roman"/>
        </w:rPr>
        <w:t xml:space="preserve">, influential ASVs belonged to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Oxalobacteraceae</w:t>
      </w:r>
      <w:r>
        <w:rPr>
          <w:rFonts w:cs="Times New Roman" w:ascii="Times New Roman" w:hAnsi="Times New Roman"/>
        </w:rPr>
        <w:t xml:space="preserve">, </w:t>
      </w:r>
      <w:r>
        <w:rPr>
          <w:rFonts w:cs="Times New Roman" w:ascii="Times New Roman" w:hAnsi="Times New Roman"/>
          <w:i/>
          <w:iCs/>
        </w:rPr>
        <w:t>Comamonadaceae</w:t>
      </w:r>
      <w:r>
        <w:rPr>
          <w:rFonts w:cs="Times New Roman" w:ascii="Times New Roman" w:hAnsi="Times New Roman"/>
        </w:rPr>
        <w:t xml:space="preserve">), along with </w:t>
      </w:r>
      <w:r>
        <w:rPr>
          <w:rFonts w:cs="Times New Roman" w:ascii="Times New Roman" w:hAnsi="Times New Roman"/>
          <w:i/>
          <w:iCs/>
        </w:rPr>
        <w:t>Pseudomonadales</w:t>
      </w:r>
      <w:r>
        <w:rPr>
          <w:rFonts w:cs="Times New Roman" w:ascii="Times New Roman" w:hAnsi="Times New Roman"/>
        </w:rPr>
        <w:t xml:space="preserve"> and </w:t>
      </w:r>
      <w:r>
        <w:rPr>
          <w:rFonts w:cs="Times New Roman" w:ascii="Times New Roman" w:hAnsi="Times New Roman"/>
          <w:i/>
          <w:iCs/>
        </w:rPr>
        <w:t>Rhizobiales</w:t>
      </w:r>
      <w:r>
        <w:rPr>
          <w:rFonts w:cs="Times New Roman" w:ascii="Times New Roman" w:hAnsi="Times New Roman"/>
        </w:rPr>
        <w:t>, each displaying compartment- and soil-type-specific associations (</w:t>
      </w:r>
      <w:r>
        <w:rPr>
          <w:rFonts w:cs="Times New Roman" w:ascii="Times New Roman" w:hAnsi="Times New Roman"/>
          <w:highlight w:val="cyan"/>
        </w:rPr>
        <w:t>Fig. 3D, Suppl. Table 2</w:t>
      </w:r>
      <w:r>
        <w:rPr>
          <w:rFonts w:cs="Times New Roman" w:ascii="Times New Roman" w:hAnsi="Times New Roman"/>
        </w:rPr>
        <w:t xml:space="preserve">). In </w:t>
      </w:r>
      <w:r>
        <w:rPr>
          <w:rFonts w:cs="Times New Roman" w:ascii="Times New Roman" w:hAnsi="Times New Roman"/>
          <w:i/>
          <w:iCs/>
        </w:rPr>
        <w:t>Hordeum</w:t>
      </w:r>
      <w:r>
        <w:rPr>
          <w:rFonts w:cs="Times New Roman" w:ascii="Times New Roman" w:hAnsi="Times New Roman"/>
        </w:rPr>
        <w:t xml:space="preserve">, a broader taxonomic range contributed to prediction accuracy, with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Caulobacterales</w:t>
      </w:r>
      <w:r>
        <w:rPr>
          <w:rFonts w:cs="Times New Roman" w:ascii="Times New Roman" w:hAnsi="Times New Roman"/>
        </w:rPr>
        <w:t xml:space="preserve">, </w:t>
      </w:r>
      <w:r>
        <w:rPr>
          <w:rFonts w:cs="Times New Roman" w:ascii="Times New Roman" w:hAnsi="Times New Roman"/>
          <w:i/>
          <w:iCs/>
        </w:rPr>
        <w:t>Flavobacteriales</w:t>
      </w:r>
      <w:r>
        <w:rPr>
          <w:rFonts w:cs="Times New Roman" w:ascii="Times New Roman" w:hAnsi="Times New Roman"/>
        </w:rPr>
        <w:t xml:space="preserve">, </w:t>
      </w:r>
      <w:r>
        <w:rPr>
          <w:rFonts w:cs="Times New Roman" w:ascii="Times New Roman" w:hAnsi="Times New Roman"/>
          <w:i/>
          <w:iCs/>
        </w:rPr>
        <w:t>Pseudomonadales</w:t>
      </w:r>
      <w:r>
        <w:rPr>
          <w:rFonts w:cs="Times New Roman" w:ascii="Times New Roman" w:hAnsi="Times New Roman"/>
        </w:rPr>
        <w:t xml:space="preserve">, and </w:t>
      </w:r>
      <w:r>
        <w:rPr>
          <w:rFonts w:cs="Times New Roman" w:ascii="Times New Roman" w:hAnsi="Times New Roman"/>
          <w:i/>
          <w:iCs/>
        </w:rPr>
        <w:t>Streptomycetales</w:t>
      </w:r>
      <w:r>
        <w:rPr>
          <w:rFonts w:cs="Times New Roman" w:ascii="Times New Roman" w:hAnsi="Times New Roman"/>
        </w:rPr>
        <w:t xml:space="preserve"> ASVs particularly important across all soil-compartment combinations. </w:t>
      </w:r>
      <w:r>
        <w:rPr>
          <w:rFonts w:cs="Times New Roman" w:ascii="Times New Roman" w:hAnsi="Times New Roman"/>
          <w:i/>
          <w:iCs/>
        </w:rPr>
        <w:t>Pseudonocardiales</w:t>
      </w:r>
      <w:r>
        <w:rPr>
          <w:rFonts w:cs="Times New Roman" w:ascii="Times New Roman" w:hAnsi="Times New Roman"/>
        </w:rPr>
        <w:t xml:space="preserve"> ASVs were additional predictors of PK cultivation in rhizosphere samples, while </w:t>
      </w:r>
      <w:r>
        <w:rPr>
          <w:rFonts w:cs="Times New Roman" w:ascii="Times New Roman" w:hAnsi="Times New Roman"/>
          <w:i/>
          <w:iCs/>
        </w:rPr>
        <w:t>Cellvibrionales</w:t>
      </w:r>
      <w:r>
        <w:rPr>
          <w:rFonts w:cs="Times New Roman" w:ascii="Times New Roman" w:hAnsi="Times New Roman"/>
        </w:rPr>
        <w:t xml:space="preserve"> ASVs were used for PK predictions for root samples (</w:t>
      </w:r>
      <w:r>
        <w:rPr>
          <w:rFonts w:cs="Times New Roman" w:ascii="Times New Roman" w:hAnsi="Times New Roman"/>
          <w:highlight w:val="cyan"/>
        </w:rPr>
        <w:t>Fig. 3D, Suppl. Table 2)</w:t>
      </w:r>
      <w:r>
        <w:rPr>
          <w:rFonts w:cs="Times New Roman" w:ascii="Times New Roman" w:hAnsi="Times New Roman"/>
        </w:rPr>
        <w:t>. Predictive ASVs differed substantially between the two hosts and were only partially conserved across fertilisation regimes, suggesting that each plant species recruits distinct microbial indicators of nutrient status rather than relying on universal predictors. In summary, our model based on bacterial community profiles provides a robust tool for predicting plant nutrient status with high accuracy, highlighting the plant-specific recruitment of indicator taxa and the intricate interplay between host species, soil type, and microbial community composition.</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Impairment of symbiosis signalling genes alters microbiome assemblies</w:t>
      </w:r>
    </w:p>
    <w:p>
      <w:pPr>
        <w:pStyle w:val="Normal"/>
        <w:spacing w:lineRule="auto" w:line="276"/>
        <w:jc w:val="both"/>
        <w:rPr>
          <w:rFonts w:ascii="Times New Roman" w:hAnsi="Times New Roman" w:cs="Times New Roman"/>
          <w:kern w:val="0"/>
        </w:rPr>
      </w:pPr>
      <w:r>
        <w:rPr>
          <w:rFonts w:cs="Times New Roman" w:ascii="Times New Roman" w:hAnsi="Times New Roman"/>
        </w:rPr>
        <w:t xml:space="preserve">Building on the observed effects of soil nutrient levels and host-determined root-associated communities, we tested whether active symbiosis signalling in wild-type </w:t>
      </w:r>
      <w:r>
        <w:rPr>
          <w:rFonts w:cs="Times New Roman" w:ascii="Times New Roman" w:hAnsi="Times New Roman"/>
          <w:i/>
        </w:rPr>
        <w:t>Lotus</w:t>
      </w:r>
      <w:r>
        <w:rPr>
          <w:rFonts w:cs="Times New Roman" w:ascii="Times New Roman" w:hAnsi="Times New Roman"/>
          <w:iCs/>
        </w:rPr>
        <w:t xml:space="preserve"> and </w:t>
      </w:r>
      <w:r>
        <w:rPr>
          <w:rFonts w:cs="Times New Roman" w:ascii="Times New Roman" w:hAnsi="Times New Roman"/>
          <w:i/>
          <w:iCs/>
        </w:rPr>
        <w:t>Hordeum</w:t>
      </w:r>
      <w:r>
        <w:rPr>
          <w:rFonts w:cs="Times New Roman" w:ascii="Times New Roman" w:hAnsi="Times New Roman"/>
        </w:rPr>
        <w:t xml:space="preserve"> contributes to the assembly of their associated microbial communities. To address this, we compared CSSP mutants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and </w:t>
      </w:r>
      <w:r>
        <w:rPr>
          <w:rFonts w:cs="Times New Roman" w:ascii="Times New Roman" w:hAnsi="Times New Roman"/>
          <w:i/>
          <w:iCs/>
        </w:rPr>
        <w:t>nsp2</w:t>
      </w:r>
      <w:r>
        <w:rPr>
          <w:rFonts w:cs="Times New Roman" w:ascii="Times New Roman" w:hAnsi="Times New Roman"/>
        </w:rPr>
        <w:t>) cultivated in the three soil types with their corresponding wild-type plants (</w:t>
      </w:r>
      <w:r>
        <w:rPr>
          <w:rFonts w:cs="Times New Roman" w:ascii="Times New Roman" w:hAnsi="Times New Roman"/>
          <w:highlight w:val="cyan"/>
        </w:rPr>
        <w:t>Fig. 4A</w:t>
      </w:r>
      <w:r>
        <w:rPr>
          <w:rFonts w:cs="Times New Roman" w:ascii="Times New Roman" w:hAnsi="Times New Roman"/>
        </w:rPr>
        <w:t xml:space="preserve">). In </w:t>
      </w:r>
      <w:r>
        <w:rPr>
          <w:rFonts w:cs="Times New Roman" w:ascii="Times New Roman" w:hAnsi="Times New Roman"/>
          <w:i/>
          <w:iCs/>
        </w:rPr>
        <w:t>Lotus</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nsp1</w:t>
      </w:r>
      <w:r>
        <w:rPr>
          <w:rFonts w:cs="Times New Roman" w:ascii="Times New Roman" w:hAnsi="Times New Roman"/>
        </w:rPr>
        <w:t xml:space="preserve"> mutants showed significantly reduced growth in NPK soil, while all mutants exhibited reduced growth in PK and UF soils (</w:t>
      </w:r>
      <w:r>
        <w:rPr>
          <w:rFonts w:cs="Times New Roman" w:ascii="Times New Roman" w:hAnsi="Times New Roman"/>
          <w:highlight w:val="cyan"/>
        </w:rPr>
        <w:t>Fig. 4B</w:t>
      </w:r>
      <w:r>
        <w:rPr>
          <w:rFonts w:cs="Times New Roman" w:ascii="Times New Roman" w:hAnsi="Times New Roman"/>
        </w:rPr>
        <w:t>). This growth reduction likely reflects the loss of SNF, consistent with the absence of nodules in all mutants (</w:t>
      </w:r>
      <w:r>
        <w:rPr>
          <w:rFonts w:cs="Times New Roman" w:ascii="Times New Roman" w:hAnsi="Times New Roman"/>
          <w:highlight w:val="cyan"/>
        </w:rPr>
        <w:t>Suppl. Fig. 2A</w:t>
      </w:r>
      <w:r>
        <w:rPr>
          <w:rFonts w:cs="Times New Roman" w:ascii="Times New Roman" w:hAnsi="Times New Roman"/>
        </w:rPr>
        <w:t>). Additionally, AMS colonisation was diminished,</w:t>
      </w:r>
      <w:r>
        <w:rPr>
          <w:rFonts w:cs="Times New Roman" w:ascii="Times New Roman" w:hAnsi="Times New Roman"/>
          <w:kern w:val="0"/>
        </w:rPr>
        <w:t xml:space="preserve"> which is crucial for P acquisition, particularly under P-limited conditions </w:t>
      </w:r>
      <w:r>
        <w:fldChar w:fldCharType="begin"/>
      </w:r>
      <w:r>
        <w:rPr>
          <w:kern w:val="0"/>
          <w:rFonts w:cs="Times New Roman" w:ascii="Times New Roman" w:hAnsi="Times New Roman"/>
        </w:rPr>
        <w:instrText xml:space="preserve">ADDIN ZOTERO_ITEM CSL_CITATION {"citationID":"SJ4imBuz","properties":{"unsorted":false,"formattedCitation":"(13)","plainCitation":"(13)","noteIndex":0},"citationItems":[{"id":676,"uris":["http://zotero.org/users/16875439/items/GJKQGUL6"],"itemData":{"id":676,"type":"article-journal","abstract":"Most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(13)</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further explaining reduced growth in UF soil</w:t>
      </w:r>
      <w:r>
        <w:rPr>
          <w:rFonts w:cs="Times New Roman" w:ascii="Times New Roman" w:hAnsi="Times New Roman"/>
          <w:highlight w:val="red"/>
        </w:rPr>
        <w:t xml:space="preserve"> </w:t>
      </w:r>
      <w:commentRangeStart w:id="3"/>
      <w:r>
        <w:rPr>
          <w:rFonts w:cs="Times New Roman" w:ascii="Times New Roman" w:hAnsi="Times New Roman"/>
          <w:highlight w:val="red"/>
        </w:rPr>
        <w:t>(double check whether AM colonisation quantified)</w:t>
      </w:r>
      <w:r>
        <w:rPr>
          <w:rFonts w:cs="Times New Roman" w:ascii="Times New Roman" w:hAnsi="Times New Roman"/>
        </w:rPr>
        <w:t>.</w:t>
      </w:r>
      <w:r>
        <w:rPr>
          <w:rFonts w:cs="Times New Roman" w:ascii="Times New Roman" w:hAnsi="Times New Roman"/>
        </w:rPr>
      </w:r>
      <w:commentRangeEnd w:id="3"/>
      <w:r>
        <w:commentReference w:id="3"/>
      </w:r>
      <w:r>
        <w:rPr>
          <w:rFonts w:cs="Times New Roman" w:ascii="Times New Roman" w:hAnsi="Times New Roman"/>
        </w:rPr>
        <w:t xml:space="preserve"> In </w:t>
      </w:r>
      <w:r>
        <w:rPr>
          <w:rFonts w:cs="Times New Roman" w:ascii="Times New Roman" w:hAnsi="Times New Roman"/>
          <w:i/>
          <w:iCs/>
        </w:rPr>
        <w:t>Hordeum</w:t>
      </w:r>
      <w:r>
        <w:rPr>
          <w:rFonts w:cs="Times New Roman" w:ascii="Times New Roman" w:hAnsi="Times New Roman"/>
        </w:rPr>
        <w:t xml:space="preserve">, growth was significantly reduced in </w:t>
      </w:r>
      <w:r>
        <w:rPr>
          <w:rFonts w:cs="Times New Roman" w:ascii="Times New Roman" w:hAnsi="Times New Roman"/>
          <w:i/>
          <w:iCs/>
        </w:rPr>
        <w:t>ccamk</w:t>
      </w:r>
      <w:r>
        <w:rPr>
          <w:rFonts w:cs="Times New Roman" w:ascii="Times New Roman" w:hAnsi="Times New Roman"/>
        </w:rPr>
        <w:t xml:space="preserve"> mutants across all soils, whereas other mutants showed milder effects (</w:t>
      </w:r>
      <w:r>
        <w:rPr>
          <w:rFonts w:cs="Times New Roman" w:ascii="Times New Roman" w:hAnsi="Times New Roman"/>
          <w:highlight w:val="cyan"/>
        </w:rPr>
        <w:t>Fig. 4B</w:t>
      </w:r>
      <w:r>
        <w:rPr>
          <w:rFonts w:cs="Times New Roman" w:ascii="Times New Roman" w:hAnsi="Times New Roman"/>
        </w:rPr>
        <w:t>). This reduction was not observed under axenic conditions (</w:t>
      </w:r>
      <w:r>
        <w:rPr>
          <w:rFonts w:cs="Times New Roman" w:ascii="Times New Roman" w:hAnsi="Times New Roman"/>
          <w:highlight w:val="cyan"/>
        </w:rPr>
        <w:t>Suppl. Fig. 2B</w:t>
      </w:r>
      <w:r>
        <w:rPr>
          <w:rFonts w:cs="Times New Roman" w:ascii="Times New Roman" w:hAnsi="Times New Roman"/>
        </w:rPr>
        <w:t xml:space="preserve">), indicating that the phenotype depends on the presence of soil microbes. Furthermore, none of the </w:t>
      </w:r>
      <w:r>
        <w:rPr>
          <w:rFonts w:cs="Times New Roman" w:ascii="Times New Roman" w:hAnsi="Times New Roman"/>
          <w:i/>
          <w:iCs/>
          <w:kern w:val="0"/>
        </w:rPr>
        <w:t>Hordeum</w:t>
      </w:r>
      <w:r>
        <w:rPr>
          <w:rFonts w:cs="Times New Roman" w:ascii="Times New Roman" w:hAnsi="Times New Roman"/>
          <w:kern w:val="0"/>
        </w:rPr>
        <w:t xml:space="preserve"> genotypes had established AMS at this stage, suggesting that this symbiosis was not responsible for the observed growth differences. Alpha diversity was generally unaffected by CSSP impairment, with only minor differences in the </w:t>
      </w:r>
      <w:r>
        <w:rPr>
          <w:rFonts w:cs="Times New Roman" w:ascii="Times New Roman" w:hAnsi="Times New Roman"/>
          <w:i/>
          <w:iCs/>
          <w:kern w:val="0"/>
        </w:rPr>
        <w:t>Hordeum</w:t>
      </w:r>
      <w:r>
        <w:rPr>
          <w:rFonts w:cs="Times New Roman" w:ascii="Times New Roman" w:hAnsi="Times New Roman"/>
          <w:kern w:val="0"/>
        </w:rPr>
        <w:t xml:space="preserve"> rhizosphere of </w:t>
      </w:r>
      <w:r>
        <w:rPr>
          <w:rFonts w:cs="Times New Roman" w:ascii="Times New Roman" w:hAnsi="Times New Roman"/>
          <w:i/>
          <w:iCs/>
          <w:kern w:val="0"/>
        </w:rPr>
        <w:t>ccamk</w:t>
      </w:r>
      <w:r>
        <w:rPr>
          <w:rFonts w:cs="Times New Roman" w:ascii="Times New Roman" w:hAnsi="Times New Roman"/>
          <w:kern w:val="0"/>
        </w:rPr>
        <w:t xml:space="preserve"> and </w:t>
      </w:r>
      <w:r>
        <w:rPr>
          <w:rFonts w:cs="Times New Roman" w:ascii="Times New Roman" w:hAnsi="Times New Roman"/>
          <w:i/>
          <w:iCs/>
          <w:kern w:val="0"/>
        </w:rPr>
        <w:t>nsp1</w:t>
      </w:r>
      <w:r>
        <w:rPr>
          <w:rFonts w:cs="Times New Roman" w:ascii="Times New Roman" w:hAnsi="Times New Roman"/>
          <w:kern w:val="0"/>
        </w:rPr>
        <w:t xml:space="preserve"> mutants (NPK soil) and in the roots of </w:t>
      </w:r>
      <w:r>
        <w:rPr>
          <w:rFonts w:cs="Times New Roman" w:ascii="Times New Roman" w:hAnsi="Times New Roman"/>
          <w:i/>
          <w:iCs/>
          <w:kern w:val="0"/>
        </w:rPr>
        <w:t>Hordeum</w:t>
      </w:r>
      <w:r>
        <w:rPr>
          <w:rFonts w:cs="Times New Roman" w:ascii="Times New Roman" w:hAnsi="Times New Roman"/>
          <w:kern w:val="0"/>
        </w:rPr>
        <w:t xml:space="preserve"> </w:t>
      </w:r>
      <w:r>
        <w:rPr>
          <w:rFonts w:cs="Times New Roman" w:ascii="Times New Roman" w:hAnsi="Times New Roman"/>
          <w:i/>
          <w:iCs/>
          <w:kern w:val="0"/>
        </w:rPr>
        <w:t>nsp1</w:t>
      </w:r>
      <w:r>
        <w:rPr>
          <w:rFonts w:cs="Times New Roman" w:ascii="Times New Roman" w:hAnsi="Times New Roman"/>
          <w:kern w:val="0"/>
        </w:rPr>
        <w:t xml:space="preserve"> and </w:t>
      </w:r>
      <w:r>
        <w:rPr>
          <w:rFonts w:cs="Times New Roman" w:ascii="Times New Roman" w:hAnsi="Times New Roman"/>
          <w:i/>
          <w:iCs/>
          <w:kern w:val="0"/>
        </w:rPr>
        <w:t>nsp2</w:t>
      </w:r>
      <w:r>
        <w:rPr>
          <w:rFonts w:cs="Times New Roman" w:ascii="Times New Roman" w:hAnsi="Times New Roman"/>
          <w:kern w:val="0"/>
        </w:rPr>
        <w:t xml:space="preserve"> mutants (PK and UF soils, respectively) (</w:t>
      </w:r>
      <w:r>
        <w:rPr>
          <w:rFonts w:cs="Times New Roman" w:ascii="Times New Roman" w:hAnsi="Times New Roman"/>
          <w:kern w:val="0"/>
          <w:highlight w:val="cyan"/>
        </w:rPr>
        <w:t>Suppl. Fig. 3A,B</w:t>
      </w:r>
      <w:r>
        <w:rPr>
          <w:rFonts w:cs="Times New Roman" w:ascii="Times New Roman" w:hAnsi="Times New Roman"/>
          <w:kern w:val="0"/>
        </w:rPr>
        <w:t>). Beta diversity was primarily driven by soil type (</w:t>
      </w:r>
      <w:r>
        <w:rPr>
          <w:rFonts w:cs="Times New Roman" w:ascii="Times New Roman" w:hAnsi="Times New Roman"/>
          <w:kern w:val="0"/>
          <w:highlight w:val="cyan"/>
        </w:rPr>
        <w:t>Fig. 4C, Suppl. Fig. 3C,D</w:t>
      </w:r>
      <w:r>
        <w:rPr>
          <w:rFonts w:cs="Times New Roman" w:ascii="Times New Roman" w:hAnsi="Times New Roman"/>
          <w:kern w:val="0"/>
        </w:rPr>
        <w:t>), although differential clustering of genotypes was observed across plant-soil-fraction combinations (</w:t>
      </w:r>
      <w:r>
        <w:rPr>
          <w:rFonts w:cs="Times New Roman" w:ascii="Times New Roman" w:hAnsi="Times New Roman"/>
          <w:kern w:val="0"/>
          <w:highlight w:val="cyan"/>
        </w:rPr>
        <w:t>Fig. 4C, Suppl. Fig. 3E,F</w:t>
      </w:r>
      <w:r>
        <w:rPr>
          <w:rFonts w:cs="Times New Roman" w:ascii="Times New Roman" w:hAnsi="Times New Roman"/>
          <w:kern w:val="0"/>
        </w:rPr>
        <w:t>). Analysis of cumulative relative abundances at the bacterial order level revealed genotype- and soil-specific patterns across wild-type and CSSP mutants (</w:t>
      </w:r>
      <w:r>
        <w:rPr>
          <w:rFonts w:cs="Times New Roman" w:ascii="Times New Roman" w:hAnsi="Times New Roman"/>
          <w:kern w:val="0"/>
          <w:highlight w:val="cyan"/>
        </w:rPr>
        <w:t>Suppl. Fig. 4A,B</w:t>
      </w:r>
      <w:r>
        <w:rPr>
          <w:rFonts w:cs="Times New Roman" w:ascii="Times New Roman" w:hAnsi="Times New Roman"/>
          <w:kern w:val="0"/>
        </w:rPr>
        <w:t xml:space="preserve">). In the </w:t>
      </w:r>
      <w:r>
        <w:rPr>
          <w:rFonts w:cs="Times New Roman" w:ascii="Times New Roman" w:hAnsi="Times New Roman"/>
          <w:i/>
          <w:iCs/>
          <w:kern w:val="0"/>
        </w:rPr>
        <w:t>Lotus</w:t>
      </w:r>
      <w:r>
        <w:rPr>
          <w:rFonts w:cs="Times New Roman" w:ascii="Times New Roman" w:hAnsi="Times New Roman"/>
          <w:kern w:val="0"/>
        </w:rPr>
        <w:t xml:space="preserve"> rhizosphere, symbiosis impairment affected the abundance of several bacterial orders, while in roots, the order </w:t>
      </w:r>
      <w:r>
        <w:rPr>
          <w:rFonts w:cs="Times New Roman" w:ascii="Times New Roman" w:hAnsi="Times New Roman"/>
          <w:i/>
          <w:iCs/>
          <w:kern w:val="0"/>
        </w:rPr>
        <w:t>Rhizobiales</w:t>
      </w:r>
      <w:r>
        <w:rPr>
          <w:rFonts w:cs="Times New Roman" w:ascii="Times New Roman" w:hAnsi="Times New Roman"/>
          <w:kern w:val="0"/>
        </w:rPr>
        <w:t xml:space="preserve"> in particular was reduced in all mutants across all soils, likely due to impaired symbiont colonisation (</w:t>
      </w:r>
      <w:commentRangeStart w:id="4"/>
      <w:r>
        <w:rPr>
          <w:rFonts w:cs="Times New Roman" w:ascii="Times New Roman" w:hAnsi="Times New Roman"/>
          <w:kern w:val="0"/>
          <w:highlight w:val="cyan"/>
        </w:rPr>
        <w:t>Suppl. Fig. 4</w:t>
      </w:r>
      <w:r>
        <w:rPr>
          <w:rFonts w:cs="Times New Roman" w:ascii="Times New Roman" w:hAnsi="Times New Roman"/>
          <w:kern w:val="0"/>
          <w:highlight w:val="cyan"/>
        </w:rPr>
      </w:r>
      <w:commentRangeEnd w:id="4"/>
      <w:r>
        <w:commentReference w:id="4"/>
      </w:r>
      <w:r>
        <w:rPr>
          <w:rFonts w:cs="Times New Roman" w:ascii="Times New Roman" w:hAnsi="Times New Roman"/>
          <w:kern w:val="0"/>
          <w:highlight w:val="cyan"/>
        </w:rPr>
        <w:t>B</w:t>
      </w:r>
      <w:r>
        <w:rPr>
          <w:rFonts w:cs="Times New Roman" w:ascii="Times New Roman" w:hAnsi="Times New Roman"/>
          <w:kern w:val="0"/>
        </w:rPr>
        <w:t xml:space="preserve">). In </w:t>
      </w:r>
      <w:r>
        <w:rPr>
          <w:rFonts w:cs="Times New Roman" w:ascii="Times New Roman" w:hAnsi="Times New Roman"/>
          <w:i/>
          <w:iCs/>
          <w:kern w:val="0"/>
        </w:rPr>
        <w:t>Hordeum</w:t>
      </w:r>
      <w:r>
        <w:rPr>
          <w:rFonts w:cs="Times New Roman" w:ascii="Times New Roman" w:hAnsi="Times New Roman"/>
          <w:kern w:val="0"/>
        </w:rPr>
        <w:t xml:space="preserve">, the strongest effects occurred in </w:t>
      </w:r>
      <w:r>
        <w:rPr>
          <w:rFonts w:cs="Times New Roman" w:ascii="Times New Roman" w:hAnsi="Times New Roman"/>
          <w:i/>
          <w:iCs/>
          <w:kern w:val="0"/>
        </w:rPr>
        <w:t>ccamk</w:t>
      </w:r>
      <w:r>
        <w:rPr>
          <w:rFonts w:cs="Times New Roman" w:ascii="Times New Roman" w:hAnsi="Times New Roman"/>
          <w:kern w:val="0"/>
        </w:rPr>
        <w:t xml:space="preserve"> and </w:t>
      </w:r>
      <w:r>
        <w:rPr>
          <w:rFonts w:cs="Times New Roman" w:ascii="Times New Roman" w:hAnsi="Times New Roman"/>
          <w:i/>
          <w:iCs/>
          <w:kern w:val="0"/>
        </w:rPr>
        <w:t>nsp</w:t>
      </w:r>
      <w:r>
        <w:rPr>
          <w:rFonts w:cs="Times New Roman" w:ascii="Times New Roman" w:hAnsi="Times New Roman"/>
          <w:kern w:val="0"/>
        </w:rPr>
        <w:t xml:space="preserve"> mutants in both rhizosphere and root fractions, involving taxa such as </w:t>
      </w:r>
      <w:r>
        <w:rPr>
          <w:rFonts w:cs="Times New Roman" w:ascii="Times New Roman" w:hAnsi="Times New Roman"/>
          <w:i/>
          <w:iCs/>
          <w:kern w:val="0"/>
        </w:rPr>
        <w:t>Burkholderiales</w:t>
      </w:r>
      <w:r>
        <w:rPr>
          <w:rFonts w:cs="Times New Roman" w:ascii="Times New Roman" w:hAnsi="Times New Roman"/>
          <w:kern w:val="0"/>
        </w:rPr>
        <w:t xml:space="preserve">, </w:t>
      </w:r>
      <w:r>
        <w:rPr>
          <w:rFonts w:cs="Times New Roman" w:ascii="Times New Roman" w:hAnsi="Times New Roman"/>
          <w:i/>
          <w:iCs/>
          <w:kern w:val="0"/>
        </w:rPr>
        <w:t>Caulobacterales</w:t>
      </w:r>
      <w:r>
        <w:rPr>
          <w:rFonts w:cs="Times New Roman" w:ascii="Times New Roman" w:hAnsi="Times New Roman"/>
          <w:kern w:val="0"/>
        </w:rPr>
        <w:t xml:space="preserve">, and </w:t>
      </w:r>
      <w:r>
        <w:rPr>
          <w:rFonts w:cs="Times New Roman" w:ascii="Times New Roman" w:hAnsi="Times New Roman"/>
          <w:i/>
          <w:iCs/>
          <w:kern w:val="0"/>
        </w:rPr>
        <w:t>Pseudomonadales</w:t>
      </w:r>
      <w:r>
        <w:rPr>
          <w:rFonts w:cs="Times New Roman" w:ascii="Times New Roman" w:hAnsi="Times New Roman"/>
          <w:kern w:val="0"/>
        </w:rPr>
        <w:t xml:space="preserve"> (</w:t>
      </w:r>
      <w:r>
        <w:rPr>
          <w:rFonts w:cs="Times New Roman" w:ascii="Times New Roman" w:hAnsi="Times New Roman"/>
          <w:kern w:val="0"/>
          <w:highlight w:val="cyan"/>
        </w:rPr>
        <w:t>Suppl. Fig. 4B</w:t>
      </w:r>
      <w:r>
        <w:rPr>
          <w:rFonts w:cs="Times New Roman" w:ascii="Times New Roman" w:hAnsi="Times New Roman"/>
          <w:kern w:val="0"/>
        </w:rPr>
        <w:t>).</w:t>
      </w:r>
    </w:p>
    <w:p>
      <w:pPr>
        <w:pStyle w:val="Normal"/>
        <w:spacing w:lineRule="auto" w:line="276"/>
        <w:jc w:val="both"/>
        <w:rPr>
          <w:rFonts w:ascii="Times New Roman" w:hAnsi="Times New Roman" w:cs="Times New Roman"/>
          <w:kern w:val="0"/>
        </w:rPr>
      </w:pPr>
      <w:r>
        <w:rPr>
          <w:rFonts w:cs="Times New Roman" w:ascii="Times New Roman" w:hAnsi="Times New Roman"/>
          <w:kern w:val="0"/>
        </w:rPr>
        <w:t>Differential abundance analysis (</w:t>
      </w:r>
      <w:r>
        <w:rPr>
          <w:rFonts w:cs="Times New Roman" w:ascii="Times New Roman" w:hAnsi="Times New Roman"/>
          <w:kern w:val="0"/>
          <w:highlight w:val="cyan"/>
        </w:rPr>
        <w:t>Fig. 4D, Suppl. Table 3</w:t>
      </w:r>
      <w:r>
        <w:rPr>
          <w:rFonts w:cs="Times New Roman" w:ascii="Times New Roman" w:hAnsi="Times New Roman"/>
          <w:kern w:val="0"/>
        </w:rPr>
        <w:t xml:space="preserve">) identified ASVs representing approximately 6-20% of the total relative abundance in wild-type roots that showed altered colonisation in CSSP mutants in both hosts. These ASVs spanned a broad taxonomic range. In </w:t>
      </w:r>
      <w:r>
        <w:rPr>
          <w:rFonts w:cs="Times New Roman" w:ascii="Times New Roman" w:hAnsi="Times New Roman"/>
          <w:i/>
          <w:iCs/>
          <w:kern w:val="0"/>
        </w:rPr>
        <w:t>Lotus</w:t>
      </w:r>
      <w:r>
        <w:rPr>
          <w:rFonts w:cs="Times New Roman" w:ascii="Times New Roman" w:hAnsi="Times New Roman"/>
          <w:kern w:val="0"/>
        </w:rPr>
        <w:t xml:space="preserve">, all mutants displayed reduced colonisation of </w:t>
      </w:r>
      <w:r>
        <w:rPr>
          <w:rFonts w:cs="Times New Roman" w:ascii="Times New Roman" w:hAnsi="Times New Roman"/>
          <w:i/>
          <w:iCs/>
          <w:kern w:val="0"/>
        </w:rPr>
        <w:t>Rhizobiales</w:t>
      </w:r>
      <w:r>
        <w:rPr>
          <w:rFonts w:cs="Times New Roman" w:ascii="Times New Roman" w:hAnsi="Times New Roman"/>
          <w:kern w:val="0"/>
        </w:rPr>
        <w:t xml:space="preserve"> ASVs, most likely symbiotic rhizobia, alongside other taxa that showed genotype-specific shifts. In </w:t>
      </w:r>
      <w:r>
        <w:rPr>
          <w:rFonts w:cs="Times New Roman" w:ascii="Times New Roman" w:hAnsi="Times New Roman"/>
          <w:i/>
          <w:iCs/>
          <w:kern w:val="0"/>
        </w:rPr>
        <w:t>Hordeum</w:t>
      </w:r>
      <w:r>
        <w:rPr>
          <w:rFonts w:cs="Times New Roman" w:ascii="Times New Roman" w:hAnsi="Times New Roman"/>
          <w:kern w:val="0"/>
        </w:rPr>
        <w:t xml:space="preserve">, several </w:t>
      </w:r>
      <w:r>
        <w:rPr>
          <w:rFonts w:cs="Times New Roman" w:ascii="Times New Roman" w:hAnsi="Times New Roman"/>
          <w:i/>
          <w:iCs/>
          <w:kern w:val="0"/>
        </w:rPr>
        <w:t>Burkholderiales</w:t>
      </w:r>
      <w:r>
        <w:rPr>
          <w:rFonts w:cs="Times New Roman" w:ascii="Times New Roman" w:hAnsi="Times New Roman"/>
          <w:kern w:val="0"/>
        </w:rPr>
        <w:t xml:space="preserve">, </w:t>
      </w:r>
      <w:r>
        <w:rPr>
          <w:rFonts w:cs="Times New Roman" w:ascii="Times New Roman" w:hAnsi="Times New Roman"/>
          <w:i/>
          <w:iCs/>
          <w:kern w:val="0"/>
        </w:rPr>
        <w:t>Micromonosporales</w:t>
      </w:r>
      <w:r>
        <w:rPr>
          <w:rFonts w:cs="Times New Roman" w:ascii="Times New Roman" w:hAnsi="Times New Roman"/>
          <w:kern w:val="0"/>
        </w:rPr>
        <w:t xml:space="preserve">, </w:t>
      </w:r>
      <w:r>
        <w:rPr>
          <w:rFonts w:cs="Times New Roman" w:ascii="Times New Roman" w:hAnsi="Times New Roman"/>
          <w:i/>
          <w:iCs/>
          <w:kern w:val="0"/>
        </w:rPr>
        <w:t>Propionibacteriales</w:t>
      </w:r>
      <w:r>
        <w:rPr>
          <w:rFonts w:cs="Times New Roman" w:ascii="Times New Roman" w:hAnsi="Times New Roman"/>
          <w:kern w:val="0"/>
        </w:rPr>
        <w:t xml:space="preserve">, and </w:t>
      </w:r>
      <w:r>
        <w:rPr>
          <w:rFonts w:cs="Times New Roman" w:ascii="Times New Roman" w:hAnsi="Times New Roman"/>
          <w:i/>
          <w:iCs/>
          <w:kern w:val="0"/>
        </w:rPr>
        <w:t>Rhizobiales</w:t>
      </w:r>
      <w:r>
        <w:rPr>
          <w:rFonts w:cs="Times New Roman" w:ascii="Times New Roman" w:hAnsi="Times New Roman"/>
          <w:kern w:val="0"/>
        </w:rPr>
        <w:t xml:space="preserve"> ASVs were consistently reduced in all mutants (or at least in </w:t>
      </w:r>
      <w:r>
        <w:rPr>
          <w:rFonts w:cs="Times New Roman" w:ascii="Times New Roman" w:hAnsi="Times New Roman"/>
          <w:i/>
          <w:iCs/>
          <w:kern w:val="0"/>
        </w:rPr>
        <w:t>ccamk</w:t>
      </w:r>
      <w:r>
        <w:rPr>
          <w:rFonts w:cs="Times New Roman" w:ascii="Times New Roman" w:hAnsi="Times New Roman"/>
          <w:kern w:val="0"/>
        </w:rPr>
        <w:t xml:space="preserve"> and </w:t>
      </w:r>
      <w:r>
        <w:rPr>
          <w:rFonts w:cs="Times New Roman" w:ascii="Times New Roman" w:hAnsi="Times New Roman"/>
          <w:i/>
          <w:iCs/>
          <w:kern w:val="0"/>
        </w:rPr>
        <w:t>nsps</w:t>
      </w:r>
      <w:r>
        <w:rPr>
          <w:rFonts w:cs="Times New Roman" w:ascii="Times New Roman" w:hAnsi="Times New Roman"/>
          <w:kern w:val="0"/>
        </w:rPr>
        <w:t>), while other taxa showed mutant-specific enrichment or depletion patterns.</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Overall, impairment of the CSSP at different stages not only impacted plant growth but also significantly influenced the colonisation of a diverse range of bacteria in the </w:t>
      </w:r>
      <w:r>
        <w:rPr>
          <w:rFonts w:cs="Times New Roman" w:ascii="Times New Roman" w:hAnsi="Times New Roman"/>
          <w:i/>
          <w:iCs/>
          <w:kern w:val="0"/>
        </w:rPr>
        <w:t>Lotus</w:t>
      </w:r>
      <w:r>
        <w:rPr>
          <w:rFonts w:cs="Times New Roman" w:ascii="Times New Roman" w:hAnsi="Times New Roman"/>
          <w:kern w:val="0"/>
        </w:rPr>
        <w:t xml:space="preserve"> and </w:t>
      </w:r>
      <w:r>
        <w:rPr>
          <w:rFonts w:cs="Times New Roman" w:ascii="Times New Roman" w:hAnsi="Times New Roman"/>
          <w:i/>
          <w:iCs/>
          <w:kern w:val="0"/>
        </w:rPr>
        <w:t>Hordeum</w:t>
      </w:r>
      <w:r>
        <w:rPr>
          <w:rFonts w:cs="Times New Roman" w:ascii="Times New Roman" w:hAnsi="Times New Roman"/>
          <w:kern w:val="0"/>
        </w:rPr>
        <w:t xml:space="preserve"> rhizosphere and roots. The distinct microbiome shifts observed across individual mutants, despite equal impairment of SNF and/or AMS, indicate that CSSP genes contribute more broadly to plant</w:t>
      </w:r>
      <w:r>
        <w:rPr>
          <w:rFonts w:cs="Times New Roman" w:ascii="Times New Roman" w:hAnsi="Times New Roman"/>
          <w:color w:val="000000" w:themeColor="text1"/>
          <w:kern w:val="0"/>
        </w:rPr>
        <w:t>-</w:t>
      </w:r>
      <w:r>
        <w:rPr>
          <w:rFonts w:cs="Times New Roman" w:ascii="Times New Roman" w:hAnsi="Times New Roman"/>
          <w:kern w:val="0"/>
        </w:rPr>
        <w:t xml:space="preserve">microbe interactions beyond their established symbiotic roles. The particularly strong growth defect of </w:t>
      </w:r>
      <w:r>
        <w:rPr>
          <w:rFonts w:cs="Times New Roman" w:ascii="Times New Roman" w:hAnsi="Times New Roman"/>
          <w:i/>
          <w:iCs/>
          <w:kern w:val="0"/>
        </w:rPr>
        <w:t>Hordeum</w:t>
      </w:r>
      <w:r>
        <w:rPr>
          <w:rFonts w:cs="Times New Roman" w:ascii="Times New Roman" w:hAnsi="Times New Roman"/>
          <w:kern w:val="0"/>
        </w:rPr>
        <w:t xml:space="preserve"> </w:t>
      </w:r>
      <w:r>
        <w:rPr>
          <w:rFonts w:cs="Times New Roman" w:ascii="Times New Roman" w:hAnsi="Times New Roman"/>
          <w:i/>
          <w:iCs/>
          <w:kern w:val="0"/>
        </w:rPr>
        <w:t>ccamk</w:t>
      </w:r>
      <w:r>
        <w:rPr>
          <w:rFonts w:cs="Times New Roman" w:ascii="Times New Roman" w:hAnsi="Times New Roman"/>
          <w:kern w:val="0"/>
        </w:rPr>
        <w:t xml:space="preserve"> in the presence of microbes suggests an additional, yet poorly characterised, function of this gene in regulating plant performance when grown in complex microbial environments.</w:t>
      </w:r>
    </w:p>
    <w:p>
      <w:pPr>
        <w:pStyle w:val="Normal"/>
        <w:spacing w:lineRule="auto" w:line="276"/>
        <w:jc w:val="both"/>
        <w:rPr>
          <w:rFonts w:ascii="Times New Roman" w:hAnsi="Times New Roman" w:cs="Times New Roman"/>
          <w:kern w:val="0"/>
        </w:rPr>
      </w:pPr>
      <w:r>
        <w:rPr>
          <w:rFonts w:cs="Times New Roman" w:ascii="Times New Roman" w:hAnsi="Times New Roman"/>
          <w:kern w:val="0"/>
        </w:rPr>
      </w:r>
    </w:p>
    <w:p>
      <w:pPr>
        <w:pStyle w:val="Normal"/>
        <w:spacing w:lineRule="auto" w:line="276"/>
        <w:jc w:val="both"/>
        <w:rPr>
          <w:rFonts w:ascii="Times New Roman" w:hAnsi="Times New Roman" w:cs="Times New Roman"/>
          <w:b/>
          <w:b/>
          <w:bCs/>
        </w:rPr>
      </w:pPr>
      <w:r>
        <w:rPr>
          <w:rFonts w:cs="Times New Roman" w:ascii="Times New Roman" w:hAnsi="Times New Roman"/>
          <w:b/>
          <w:bCs/>
        </w:rPr>
        <w:t>Symbiosis signalling pathways can be linked to differential root exudation in both hosts</w:t>
      </w:r>
    </w:p>
    <w:p>
      <w:pPr>
        <w:pStyle w:val="Normal"/>
        <w:spacing w:lineRule="auto" w:line="276"/>
        <w:jc w:val="both"/>
        <w:rPr>
          <w:rFonts w:ascii="Times New Roman" w:hAnsi="Times New Roman" w:cs="Times New Roman"/>
        </w:rPr>
      </w:pPr>
      <w:r>
        <w:rPr>
          <w:rFonts w:cs="Times New Roman" w:ascii="Times New Roman" w:hAnsi="Times New Roman"/>
        </w:rPr>
        <w:t>Root exudates are key drivers of interactions at the root</w:t>
      </w:r>
      <w:r>
        <w:rPr>
          <w:rFonts w:cs="Times New Roman" w:ascii="Times New Roman" w:hAnsi="Times New Roman"/>
          <w:color w:val="000000" w:themeColor="text1"/>
          <w:kern w:val="0"/>
        </w:rPr>
        <w:t>-</w:t>
      </w:r>
      <w:r>
        <w:rPr>
          <w:rFonts w:cs="Times New Roman" w:ascii="Times New Roman" w:hAnsi="Times New Roman"/>
        </w:rPr>
        <w:t xml:space="preserve">soil interface, forming a diverse chemical pool that fosters microbial competition and cooperation </w:t>
      </w:r>
      <w:r>
        <w:fldChar w:fldCharType="begin"/>
      </w:r>
      <w:r>
        <w:rPr>
          <w:rFonts w:cs="Times New Roman" w:ascii="Times New Roman" w:hAnsi="Times New Roman"/>
        </w:rPr>
        <w:instrText xml:space="preserve">ADDIN ZOTERO_ITEM CSL_CITATION {"citationID":"E0PNyKhj","properties":{"unsorted":false,"formattedCitation":"(65\\uc0\\u8211{}67)","plainCitation":"(65–67)","noteIndex":0},"citationItems":[{"id":760,"uris":["http://zotero.org/users/16875439/items/CV8VP6NC"],"itemData":{"id":760,"type":"article-journal","abstract":"This article describes the composition of root exudates, how these metabolites are released to the rhizosphere and their importance in the recruitment of beneficial microbiota that alleviate plant stress. Metabolites secreted to the rhizosphere by roots are involved in several processes. By modulating the composition of the root exudates, plants can modify soil properties to adapt and ensure their survival under adverse conditions. They use several strategies such as (1) changing soil pH to solubilize nutrients into assimilable forms, (2) chelating toxic compounds, (3) attracting beneficial microbiota, or (4) releasing toxic substances for pathogens, etc. In this work, the composition of root exudates as well as the different mechanisms of root exudation have been reviewed. Existing methodologies to collect root exudates, indicating their advantages and disadvantages, are also described. Factors affecting root exudation have been exposed, including physical, chemical, and biological agents which can produce qualitative and quantitative changes in exudate composition. Finally, since root exudates play an important role in the recruitment of mycorrhizal fungi and plant growth-promoting rhizobacteria (PGPR), the mechanisms of interaction between plants and the beneficial microbiota have been highlighted.","container-title":"Plant Cell Reports","DOI":"10.1007/s00299-019-02447-5","ISSN":"1432-203X","issue":"1","journalAbbreviation":"Plant Cell Rep","language":"eng","page":"3-17","PMID":"31346716","source":"PubMed","title":"Root exudates: from plant to rhizosphere and beyond","title-short":"Root exudates","volume":"39","author":[{"family":"Vives-Peris","given":"Vicente"},{"family":"Ollas","given":"Carlos","non-dropping-particle":"de"},{"family":"Gómez-Cadenas","given":"Aurelio"},{"family":"Pérez-Clemente","given":"Rosa María"}],"issued":{"date-parts":[["2020",1]]}}},{"id":763,"uris":["http://zotero.org/users/16875439/items/WGQN7ADL"],"itemData":{"id":763,"type":"article-journal","abstract":"Root exudation is an important process determining plant interactions with the soil environment. Many studies have linked this process to soil nutrient mobilization. Yet, it remains unresolved how exudation is controlled and how exactly and under what circumstances plants benefit from exudation. The majority of root exudates include primary metabolites (sugars, amino acids and organic acids) believed to be passively lost from the root and used by rhizosphere-dwelling microbes. In this review, we synthetize recent advances in ecology and plant biology to explain and propose mechanisms by which root exudation of primary metabolites is controlled, and what role their exudation plays in plant nutrient acquisition strategies. Specifically, we propose a novel conceptual framework for root exudates. This framework is built upon two main concepts: (i) root exudation of primary metabolites is driven by diffusion, with plants and microbes both modulating concentration gradients and therefore diffusion rates to soil depending on their nutritional status; (ii) exuded metabolite concentrations can be sensed at the root tip and signals are translated to modify root architecture. The flux of primary metabolites through root exudation is mostly located at the root tip, where the lack of cell differentiation favors diffusion of metabolites to the soil. We show examples of how the root tip senses concentration changes of exuded metabolites and translate that into signals to modify root growth. Plants can modify the concentration of metabolites either by controlling source/sink processes or by expressing and regulating efflux carriers, therefore challenging the idea of root exudation as a purely unregulated passive process. Through root exudate flux, plants can locally enhance concentrations of many common metabolites which can serve as sensors and integrators of the plant nutritional status and of the nutrient availability in the surrounding environment. Plant-associated micro-organisms also constitute a strong sink for plant carbon thereby increasing concentration gradients of metabolites and affecting root exudation. Understanding the mechanisms of, and the effects that, environmental stimuli have on the magnitude and type of root exudation will ultimately improve our knowledge of processes determining soil CO2 emissions, ecosystem functioning and how to improve the sustainability of agricultural production.","container-title":"Frontiers in Plant Science","DOI":"10.3389/fpls.2019.00157","ISSN":"1664-462X","journalAbbreviation":"Front. Plant Sci.","language":"English","publisher":"Frontiers","source":"Frontiers","title":"Root Exudation of Primary Metabolites: Mechanisms and Their Roles in Plant Responses to Environmental Stimuli","title-short":"Root Exudation of Primary Metabolites","URL":"https://www.frontiersin.org/journals/plant-science/articles/10.3389/fpls.2019.00157/full","volume":"10","author":[{"family":"Canarini","given":"Alberto"},{"family":"Kaiser","given":"Christina"},{"family":"Merchant","given":"Andrew"},{"family":"Richter","given":"Andreas"},{"family":"Wanek","given":"Wolfgang"}],"accessed":{"date-parts":[["2026",2,17]]},"issued":{"date-parts":[["2019",2,21]]}}},{"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r>
      <w:r>
        <w:rPr>
          <w:rFonts w:cs="Times New Roman" w:ascii="Times New Roman" w:hAnsi="Times New Roman"/>
          <w:kern w:val="0"/>
        </w:rPr>
        <w:t>(65–67)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Beyond serving as a nutrient source, root exudates contain defence-related metabolites with antimicrobial properties, as well as signalling molecules that are important for communication with beneficial microbes </w:t>
      </w:r>
      <w:r>
        <w:fldChar w:fldCharType="begin"/>
      </w:r>
      <w:r>
        <w:rPr>
          <w:rFonts w:cs="Times New Roman" w:ascii="Times New Roman" w:hAnsi="Times New Roman"/>
        </w:rPr>
        <w:instrText xml:space="preserve">ADDIN ZOTERO_ITEM CSL_CITATION {"citationID":"WSgItRE2","properties":{"unsorted":false,"formattedCitation":"(10, 67)","plainCitation":"(10, 67)","noteIndex":0},"citationItems":[{"id":652,"uris":["http://zotero.org/users/16875439/items/463EKNQL"],"itemData":{"id":652,"type":"article-journal","abstract":"The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(10, 67)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Previous work has shown that NSP1/NSP2 genes modulate strigolactone production, and CCaMK modulates phenylpropanoid biosynthesis during symbiosis </w:t>
      </w:r>
      <w:r>
        <w:fldChar w:fldCharType="begin"/>
      </w:r>
      <w:r>
        <w:rPr>
          <w:rFonts w:cs="Times New Roman" w:ascii="Times New Roman" w:hAnsi="Times New Roman"/>
        </w:rPr>
        <w:instrText xml:space="preserve">ADDIN ZOTERO_ITEM CSL_CITATION {"citationID":"blDdbZvx","properties":{"unsorted":false,"formattedCitation":"(43, 49)","plainCitation":"(43, 49)","noteIndex":0},"citationItems":[{"id":609,"uris":["http://zotero.org/users/16875439/items/3DR3LB7T"],"itemData":{"id":609,"type":"article-journal","abstract":"Nutrient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(43, 49)</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To assess whether the observed effects of CSSP mutations on root-associated bacterial communities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 xml:space="preserve">Hordeum </w:t>
      </w:r>
      <w:r>
        <w:rPr>
          <w:rFonts w:cs="Times New Roman" w:ascii="Times New Roman" w:hAnsi="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hence, only comparisons between genotypes of the same species are presented here.</w:t>
      </w:r>
    </w:p>
    <w:p>
      <w:pPr>
        <w:pStyle w:val="Normal"/>
        <w:spacing w:lineRule="auto" w:line="276"/>
        <w:jc w:val="both"/>
        <w:rPr>
          <w:rFonts w:ascii="Times New Roman" w:hAnsi="Times New Roman" w:cs="Times New Roman"/>
        </w:rPr>
      </w:pPr>
      <w:r>
        <w:rPr>
          <w:rFonts w:cs="Times New Roman" w:ascii="Times New Roman" w:hAnsi="Times New Roman"/>
        </w:rPr>
        <w:t xml:space="preserve">After removal of background signals based on negative controls, we detected </w:t>
      </w:r>
      <w:commentRangeStart w:id="5"/>
      <w:r>
        <w:rPr>
          <w:rFonts w:cs="Times New Roman" w:ascii="Times New Roman" w:hAnsi="Times New Roman"/>
        </w:rPr>
        <w:t xml:space="preserve">767 and 678 </w:t>
      </w:r>
      <w:r>
        <w:rPr>
          <w:rFonts w:cs="Times New Roman" w:ascii="Times New Roman" w:hAnsi="Times New Roman"/>
        </w:rPr>
      </w:r>
      <w:commentRangeEnd w:id="5"/>
      <w:r>
        <w:commentReference w:id="5"/>
      </w:r>
      <w:r>
        <w:rPr>
          <w:rFonts w:cs="Times New Roman" w:ascii="Times New Roman" w:hAnsi="Times New Roman"/>
        </w:rPr>
        <w:t xml:space="preserve">metabolic features across all genotypes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respectively. These metabolites spanned diverse chemical classes, including alkaloids, amino acids and peptides, carbohydrates, fatty acids, polyketides, shikimates and phenylpropanoids, and terpenoids (</w:t>
      </w:r>
      <w:r>
        <w:rPr>
          <w:rFonts w:cs="Times New Roman" w:ascii="Times New Roman" w:hAnsi="Times New Roman"/>
          <w:highlight w:val="cyan"/>
        </w:rPr>
        <w:t>Suppl. Fig. 5</w:t>
      </w:r>
      <w:r>
        <w:rPr>
          <w:rFonts w:cs="Times New Roman" w:ascii="Times New Roman" w:hAnsi="Times New Roman"/>
        </w:rPr>
        <w:t xml:space="preserve">). The exudate profiles of all CSSP mutants, except for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symrk</w:t>
      </w:r>
      <w:r>
        <w:rPr>
          <w:rFonts w:cs="Times New Roman" w:ascii="Times New Roman" w:hAnsi="Times New Roman"/>
        </w:rPr>
        <w:t>, displayed distinct clustering relative to their respective wild-type (</w:t>
      </w:r>
      <w:r>
        <w:rPr>
          <w:rFonts w:cs="Times New Roman" w:ascii="Times New Roman" w:hAnsi="Times New Roman"/>
          <w:highlight w:val="cyan"/>
        </w:rPr>
        <w:t>Fig. 5A</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t xml:space="preserve">In </w:t>
      </w:r>
      <w:r>
        <w:rPr>
          <w:rFonts w:cs="Times New Roman" w:ascii="Times New Roman" w:hAnsi="Times New Roman"/>
          <w:i/>
          <w:iCs/>
        </w:rPr>
        <w:t>Lotus</w:t>
      </w:r>
      <w:r>
        <w:rPr>
          <w:rFonts w:cs="Times New Roman" w:ascii="Times New Roman" w:hAnsi="Times New Roman"/>
        </w:rPr>
        <w:t xml:space="preserve">, shikimates and phenylpropanoids were significantly reduced in CSSP mutants, particularly in </w:t>
      </w:r>
      <w:r>
        <w:rPr>
          <w:rFonts w:cs="Times New Roman" w:ascii="Times New Roman" w:hAnsi="Times New Roman"/>
          <w:i/>
          <w:iCs/>
        </w:rPr>
        <w:t>nsps</w:t>
      </w:r>
      <w:r>
        <w:rPr>
          <w:rFonts w:cs="Times New Roman" w:ascii="Times New Roman" w:hAnsi="Times New Roman"/>
        </w:rPr>
        <w:t xml:space="preserve"> compared to WT (</w:t>
      </w:r>
      <w:r>
        <w:rPr>
          <w:rFonts w:cs="Times New Roman" w:ascii="Times New Roman" w:hAnsi="Times New Roman"/>
          <w:highlight w:val="cyan"/>
        </w:rPr>
        <w:t>Suppl. Fig. 5</w:t>
      </w:r>
      <w:r>
        <w:rPr>
          <w:rFonts w:cs="Times New Roman" w:ascii="Times New Roman" w:hAnsi="Times New Roman"/>
        </w:rPr>
        <w:t xml:space="preserve">). We identified between 125 and 335 metabolites with differential intensity in individual </w:t>
      </w:r>
      <w:r>
        <w:rPr>
          <w:rFonts w:cs="Times New Roman" w:ascii="Times New Roman" w:hAnsi="Times New Roman"/>
          <w:i/>
          <w:iCs/>
        </w:rPr>
        <w:t>Lotus</w:t>
      </w:r>
      <w:r>
        <w:rPr>
          <w:rFonts w:cs="Times New Roman" w:ascii="Times New Roman" w:hAnsi="Times New Roman"/>
        </w:rPr>
        <w:t xml:space="preserve"> CSSP mutants relative to the wild-type (hereafter differentially exuded metabolites, DEM), spanning multiple compound classes and indicating a broad impact of CSSP mutations (</w:t>
      </w:r>
      <w:r>
        <w:rPr>
          <w:rFonts w:cs="Times New Roman" w:ascii="Times New Roman" w:hAnsi="Times New Roman"/>
          <w:highlight w:val="cyan"/>
        </w:rPr>
        <w:t>Fig. 5B,C, Suppl. Table 4</w:t>
      </w:r>
      <w:r>
        <w:rPr>
          <w:rFonts w:cs="Times New Roman" w:ascii="Times New Roman" w:hAnsi="Times New Roman"/>
        </w:rPr>
        <w:t>). Notably, phenylpropanoids, including cinnamic acids and derivatives, isoflavonoids, and flavonoids, were strongly reduced across all mutants (</w:t>
      </w:r>
      <w:r>
        <w:rPr>
          <w:rFonts w:cs="Times New Roman" w:ascii="Times New Roman" w:hAnsi="Times New Roman"/>
          <w:highlight w:val="cyan"/>
        </w:rPr>
        <w:t>Fig. 5C</w:t>
      </w:r>
      <w:r>
        <w:rPr>
          <w:rFonts w:cs="Times New Roman" w:ascii="Times New Roman" w:hAnsi="Times New Roman"/>
        </w:rPr>
        <w:t xml:space="preserve">). Structural predictions identified several well-known components of the phenylpropanoid pathway, including Coumaric acid (Feature269), Ferulic acid (455), Vanillic acid (285), Naringenin (973), Vestitione (1053), Biochanin A (1047), Formononetin (945), Vestitol (976), Dehydroquercetin (1177), Diosmetin (1182), Wogonin (1046), and Velutin (1320), mostly reduced in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w:t>
      </w:r>
      <w:r>
        <w:rPr>
          <w:rFonts w:cs="Times New Roman" w:ascii="Times New Roman" w:hAnsi="Times New Roman"/>
          <w:highlight w:val="cyan"/>
        </w:rPr>
        <w:t>Fig. 5D</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t xml:space="preserve">In </w:t>
      </w:r>
      <w:r>
        <w:rPr>
          <w:rFonts w:cs="Times New Roman" w:ascii="Times New Roman" w:hAnsi="Times New Roman"/>
          <w:i/>
          <w:iCs/>
        </w:rPr>
        <w:t>Hordeum</w:t>
      </w:r>
      <w:r>
        <w:rPr>
          <w:rFonts w:cs="Times New Roman" w:ascii="Times New Roman" w:hAnsi="Times New Roman"/>
        </w:rPr>
        <w:t xml:space="preserve">, the wild-type and </w:t>
      </w:r>
      <w:r>
        <w:rPr>
          <w:rFonts w:cs="Times New Roman" w:ascii="Times New Roman" w:hAnsi="Times New Roman"/>
          <w:i/>
          <w:iCs/>
        </w:rPr>
        <w:t>symrk</w:t>
      </w:r>
      <w:r>
        <w:rPr>
          <w:rFonts w:cs="Times New Roman" w:ascii="Times New Roman" w:hAnsi="Times New Roman"/>
        </w:rPr>
        <w:t xml:space="preserve"> exudate profiles were similar, whereas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exhibited pronounced metabolic shifts (</w:t>
      </w:r>
      <w:r>
        <w:rPr>
          <w:rFonts w:cs="Times New Roman" w:ascii="Times New Roman" w:hAnsi="Times New Roman"/>
          <w:highlight w:val="cyan"/>
        </w:rPr>
        <w:t>Fig. 5A</w:t>
      </w:r>
      <w:r>
        <w:rPr>
          <w:rFonts w:cs="Times New Roman" w:ascii="Times New Roman" w:hAnsi="Times New Roman"/>
        </w:rPr>
        <w:t xml:space="preserve">). The number of DEM was low in </w:t>
      </w:r>
      <w:r>
        <w:rPr>
          <w:rFonts w:cs="Times New Roman" w:ascii="Times New Roman" w:hAnsi="Times New Roman"/>
          <w:i/>
          <w:iCs/>
        </w:rPr>
        <w:t>symrk</w:t>
      </w:r>
      <w:r>
        <w:rPr>
          <w:rFonts w:cs="Times New Roman" w:ascii="Times New Roman" w:hAnsi="Times New Roman"/>
        </w:rPr>
        <w:t xml:space="preserve"> mutants (12), but up to 277 DEM were detected in other mutants (</w:t>
      </w:r>
      <w:r>
        <w:rPr>
          <w:rFonts w:cs="Times New Roman" w:ascii="Times New Roman" w:hAnsi="Times New Roman"/>
          <w:highlight w:val="cyan"/>
        </w:rPr>
        <w:t>Fig. 5B</w:t>
      </w:r>
      <w:r>
        <w:rPr>
          <w:rFonts w:cs="Times New Roman" w:ascii="Times New Roman" w:hAnsi="Times New Roman"/>
        </w:rPr>
        <w:t>), spanning several compound classes (</w:t>
      </w:r>
      <w:r>
        <w:rPr>
          <w:rFonts w:cs="Times New Roman" w:ascii="Times New Roman" w:hAnsi="Times New Roman"/>
          <w:highlight w:val="cyan"/>
        </w:rPr>
        <w:t>Fig. 5C, Suppl. Table 5</w:t>
      </w:r>
      <w:r>
        <w:rPr>
          <w:rFonts w:cs="Times New Roman" w:ascii="Times New Roman" w:hAnsi="Times New Roman"/>
        </w:rPr>
        <w:t>). Well-characterised compounds included Gibberellin (2546), Abscisic acid (2889), and phenylpropanoids Esculetin (495), Paeonin C (3095), Isoorientin (3069), and Sapopharin (3288) (</w:t>
      </w:r>
      <w:r>
        <w:rPr>
          <w:rFonts w:cs="Times New Roman" w:ascii="Times New Roman" w:hAnsi="Times New Roman"/>
          <w:highlight w:val="cyan"/>
        </w:rPr>
        <w:t>Fig. 5D</w:t>
      </w:r>
      <w:r>
        <w:rPr>
          <w:rFonts w:cs="Times New Roman" w:ascii="Times New Roman" w:hAnsi="Times New Roman"/>
        </w:rPr>
        <w:t xml:space="preserve">). Most of these compounds were reduced in </w:t>
      </w:r>
      <w:r>
        <w:rPr>
          <w:rFonts w:cs="Times New Roman" w:ascii="Times New Roman" w:hAnsi="Times New Roman"/>
          <w:i/>
          <w:iCs/>
        </w:rPr>
        <w:t>ccamk</w:t>
      </w:r>
      <w:r>
        <w:rPr>
          <w:rFonts w:cs="Times New Roman" w:ascii="Times New Roman" w:hAnsi="Times New Roman"/>
        </w:rPr>
        <w:t xml:space="preserve"> and/or </w:t>
      </w:r>
      <w:r>
        <w:rPr>
          <w:rFonts w:cs="Times New Roman" w:ascii="Times New Roman" w:hAnsi="Times New Roman"/>
          <w:i/>
          <w:iCs/>
        </w:rPr>
        <w:t>nsp</w:t>
      </w:r>
      <w:r>
        <w:rPr>
          <w:rFonts w:cs="Times New Roman" w:ascii="Times New Roman" w:hAnsi="Times New Roman"/>
        </w:rPr>
        <w:t xml:space="preserve"> mutants, except for Abscisic acid, which was exuded at higher levels in </w:t>
      </w:r>
      <w:r>
        <w:rPr>
          <w:rFonts w:cs="Times New Roman" w:ascii="Times New Roman" w:hAnsi="Times New Roman"/>
          <w:i/>
          <w:iCs/>
        </w:rPr>
        <w:t>nsp</w:t>
      </w:r>
      <w:r>
        <w:rPr>
          <w:rFonts w:cs="Times New Roman" w:ascii="Times New Roman" w:hAnsi="Times New Roman"/>
        </w:rPr>
        <w:t xml:space="preserve"> mutants.</w:t>
      </w:r>
    </w:p>
    <w:p>
      <w:pPr>
        <w:pStyle w:val="Normal"/>
        <w:spacing w:lineRule="auto" w:line="276"/>
        <w:jc w:val="both"/>
        <w:rPr>
          <w:rFonts w:ascii="Times New Roman" w:hAnsi="Times New Roman" w:cs="Times New Roman"/>
        </w:rPr>
      </w:pPr>
      <w:r>
        <w:rPr>
          <w:rFonts w:cs="Times New Roman" w:ascii="Times New Roman" w:hAnsi="Times New Roman"/>
        </w:rPr>
        <w:t xml:space="preserve">Although direct comparisons between species cannot be made due to differences in plant phenology, phenylpropanoids were consistently affected in CSSP mutants of both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highlight w:val="cyan"/>
        </w:rPr>
        <w:t>Fig. 5C,D</w:t>
      </w:r>
      <w:r>
        <w:rPr>
          <w:rFonts w:cs="Times New Roman" w:ascii="Times New Roman" w:hAnsi="Times New Roman"/>
        </w:rPr>
        <w:t xml:space="preserve">), suggesting a conserved role of CSSP genes in regulating their biosynthesis. However, the specific phenylpropanoid compounds altered were host-specific. In </w:t>
      </w:r>
      <w:r>
        <w:rPr>
          <w:rFonts w:cs="Times New Roman" w:ascii="Times New Roman" w:hAnsi="Times New Roman"/>
          <w:i/>
          <w:iCs/>
        </w:rPr>
        <w:t>Lotus</w:t>
      </w:r>
      <w:r>
        <w:rPr>
          <w:rFonts w:cs="Times New Roman" w:ascii="Times New Roman" w:hAnsi="Times New Roman"/>
        </w:rPr>
        <w:t xml:space="preserve">, isoflavonoid biosynthesis was primarily affected, whereas in </w:t>
      </w:r>
      <w:r>
        <w:rPr>
          <w:rFonts w:cs="Times New Roman" w:ascii="Times New Roman" w:hAnsi="Times New Roman"/>
          <w:i/>
          <w:iCs/>
        </w:rPr>
        <w:t>Hordeum</w:t>
      </w:r>
      <w:r>
        <w:rPr>
          <w:rFonts w:cs="Times New Roman" w:ascii="Times New Roman" w:hAnsi="Times New Roman"/>
        </w:rPr>
        <w:t xml:space="preserve">, coumarins and glycosylated flavonoids showed the strongest changes. Beyond phenylpropanoids, certain metabolites such as plant hormones gibberellin and abscisic acid were modulated in </w:t>
      </w:r>
      <w:r>
        <w:rPr>
          <w:rFonts w:cs="Times New Roman" w:ascii="Times New Roman" w:hAnsi="Times New Roman"/>
          <w:i/>
          <w:iCs/>
        </w:rPr>
        <w:t>Hordeum</w:t>
      </w:r>
      <w:r>
        <w:rPr>
          <w:rFonts w:cs="Times New Roman" w:ascii="Times New Roman" w:hAnsi="Times New Roman"/>
        </w:rPr>
        <w:t xml:space="preserve">, whereas these compounds did not show significant changes in </w:t>
      </w:r>
      <w:r>
        <w:rPr>
          <w:rFonts w:cs="Times New Roman" w:ascii="Times New Roman" w:hAnsi="Times New Roman"/>
          <w:i/>
          <w:iCs/>
        </w:rPr>
        <w:t>Lotus</w:t>
      </w:r>
      <w:r>
        <w:rPr>
          <w:rFonts w:cs="Times New Roman" w:ascii="Times New Roman" w:hAnsi="Times New Roman"/>
        </w:rPr>
        <w:t xml:space="preserve"> (considering only metabolites with confidently assigned molecular formulas).</w:t>
      </w:r>
    </w:p>
    <w:p>
      <w:pPr>
        <w:pStyle w:val="Normal"/>
        <w:spacing w:lineRule="auto" w:line="276"/>
        <w:jc w:val="both"/>
        <w:rPr>
          <w:rFonts w:ascii="Times New Roman" w:hAnsi="Times New Roman" w:cs="Times New Roman"/>
          <w:kern w:val="0"/>
        </w:rPr>
      </w:pPr>
      <w:r>
        <w:rPr>
          <w:rFonts w:cs="Times New Roman" w:ascii="Times New Roman" w:hAnsi="Times New Roman"/>
        </w:rPr>
        <w:t xml:space="preserve">In summary, CSSP mutations affect hundreds of metabolites across diverse chemical classes. Some shifts are conserved across hosts (phenylpropanoids), whereas others are species-specific (isoflavonoids in </w:t>
      </w:r>
      <w:r>
        <w:rPr>
          <w:rFonts w:cs="Times New Roman" w:ascii="Times New Roman" w:hAnsi="Times New Roman"/>
          <w:i/>
          <w:iCs/>
        </w:rPr>
        <w:t>Lotus</w:t>
      </w:r>
      <w:r>
        <w:rPr>
          <w:rFonts w:cs="Times New Roman" w:ascii="Times New Roman" w:hAnsi="Times New Roman"/>
        </w:rPr>
        <w:t xml:space="preserve">; gibberellins and abscisic acid in </w:t>
      </w:r>
      <w:r>
        <w:rPr>
          <w:rFonts w:cs="Times New Roman" w:ascii="Times New Roman" w:hAnsi="Times New Roman"/>
          <w:i/>
          <w:iCs/>
        </w:rPr>
        <w:t>Hordeum</w:t>
      </w:r>
      <w:r>
        <w:rPr>
          <w:rFonts w:cs="Times New Roman" w:ascii="Times New Roman" w:hAnsi="Times New Roman"/>
        </w:rPr>
        <w:t>) and genotype-specific. These findings suggest that CSSP genes regulate not only the biosynthesis of well-characterised symbiosis-related compounds but also broader metabolic processes. The observed genotype- and species-specific differences in exudate profiles could explain the shifts in root-associated microbial communities.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Community shifts were replicated in gnotobiotic systems with synthetic bacterial communities</w:t>
      </w:r>
    </w:p>
    <w:p>
      <w:pPr>
        <w:pStyle w:val="Normal"/>
        <w:spacing w:lineRule="auto" w:line="276"/>
        <w:jc w:val="both"/>
        <w:rPr>
          <w:rFonts w:ascii="Times New Roman" w:hAnsi="Times New Roman" w:cs="Times New Roman"/>
        </w:rPr>
      </w:pPr>
      <w:r>
        <w:rPr>
          <w:rFonts w:cs="Times New Roman" w:ascii="Times New Roman" w:hAnsi="Times New Roman"/>
        </w:rPr>
        <w:t xml:space="preserve">Our findings demonstrate a significant effect of symbiosis signalling on bacterial community establishment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grown in soil, as well as on their root exudate profiles under sterile conditions. However, soil is a complex environment, making it difficult to dissect individual plant-microbe interactions and uncover possible mechanisms underlying the observed community shifts. We therefore asked whether these effects could be recapitulated under controlled experimental conditions using complex but defined bacterial communities. For this, we employed controlled growth systems (Material and methods) with reconstituted synthetic communities (SynComs) to determine whether the effects of impaired symbiosis signalling on bacterial colonisation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are directly plant-mediated, likely via altered root exudation, and independent of other soil environmental factors. We used SynComs composed of bacterial isolates derived from healthy, soil-grown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plants, representing native members of their respective core microbiota (</w:t>
      </w:r>
      <w:r>
        <w:rPr>
          <w:rFonts w:cs="Times New Roman" w:ascii="Times New Roman" w:hAnsi="Times New Roman"/>
          <w:i/>
          <w:iCs/>
        </w:rPr>
        <w:t>Lotus</w:t>
      </w:r>
      <w:r>
        <w:rPr>
          <w:rFonts w:cs="Times New Roman" w:ascii="Times New Roman" w:hAnsi="Times New Roman"/>
        </w:rPr>
        <w:t xml:space="preserve"> collection: Lj-SPHERE </w:t>
      </w:r>
      <w:r>
        <w:fldChar w:fldCharType="begin"/>
      </w:r>
      <w:r>
        <w:rPr>
          <w:rFonts w:cs="Times New Roman" w:ascii="Times New Roman" w:hAnsi="Times New Roman"/>
        </w:rPr>
        <w:instrText xml:space="preserve">ADDIN ZOTERO_ITEM CSL_CITATION {"citationID":"0hxeo0WA","properties":{"unsorted":false,"formattedCitation":"(64)","plainCitation":"(64)","noteIndex":0},"citationItems":[{"id":580,"uris":["http://zotero.org/users/16875439/items/97Y2M4HL"],"itemData":{"id":580,"type":"article-journal","abstract":"Roots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commentRangeStart w:id="6"/>
      <w:r>
        <w:rPr>
          <w:rFonts w:cs="Times New Roman" w:ascii="Times New Roman" w:hAnsi="Times New Roman"/>
          <w:i/>
          <w:iCs/>
        </w:rPr>
        <w:t>Hordeum</w:t>
      </w:r>
      <w:r>
        <w:rPr>
          <w:rFonts w:cs="Times New Roman" w:ascii="Times New Roman" w:hAnsi="Times New Roman"/>
        </w:rPr>
        <w:t xml:space="preserve"> collection: </w:t>
      </w:r>
      <w:r>
        <w:fldChar w:fldCharType="begin"/>
      </w:r>
      <w:r>
        <w:rPr>
          <w:rFonts w:cs="Times New Roman" w:ascii="Times New Roman" w:hAnsi="Times New Roman"/>
        </w:rPr>
        <w:instrText xml:space="preserve">ADDIN ZOTERO_ITEM CSL_CITATION {"citationID":"1nECalt0","properties":{"unsorted":false,"formattedCitation":"(68)","plainCitation":"(68)","noteIndex":0},"citationItems":[{"id":662,"uris":["http://zotero.org/users/16875439/items/APJU6DYA"],"itemData":{"id":662,"type":"article","abstract":"Host-associated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r>
        <w:rPr>
          <w:rFonts w:cs="Times New Roman" w:ascii="Times New Roman" w:hAnsi="Times New Roman"/>
        </w:rPr>
      </w:r>
      <w:commentRangeEnd w:id="6"/>
      <w:r>
        <w:commentReference w:id="6"/>
      </w:r>
      <w:r>
        <w:rPr>
          <w:rFonts w:cs="Times New Roman" w:ascii="Times New Roman" w:hAnsi="Times New Roman"/>
        </w:rPr>
        <w:t xml:space="preserve">Methods; </w:t>
      </w:r>
      <w:r>
        <w:rPr>
          <w:rFonts w:cs="Times New Roman" w:ascii="Times New Roman" w:hAnsi="Times New Roman"/>
          <w:highlight w:val="magenta"/>
        </w:rPr>
        <w:t>Suppl. Tables 8, 9</w:t>
      </w:r>
      <w:r>
        <w:rPr>
          <w:rFonts w:cs="Times New Roman" w:ascii="Times New Roman" w:hAnsi="Times New Roman"/>
        </w:rPr>
        <w:t>). Wild-type plants and CSSP mutants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w:t>
      </w:r>
      <w:r>
        <w:rPr>
          <w:rFonts w:cs="Times New Roman" w:ascii="Times New Roman" w:hAnsi="Times New Roman"/>
          <w:i/>
          <w:iCs/>
        </w:rPr>
        <w:t>nsp2</w:t>
      </w:r>
      <w:r>
        <w:rPr>
          <w:rFonts w:cs="Times New Roman" w:ascii="Times New Roman" w:hAnsi="Times New Roman"/>
        </w:rPr>
        <w:t xml:space="preserve">) were cultivated under sterile, low-nutrient conditions and inoculated with either the Lj-SPHERE SynCom (291 isolates) or the </w:t>
      </w:r>
      <w:r>
        <w:rPr>
          <w:rFonts w:cs="Times New Roman" w:ascii="Times New Roman" w:hAnsi="Times New Roman"/>
          <w:i/>
          <w:iCs/>
        </w:rPr>
        <w:t>Hordeum</w:t>
      </w:r>
      <w:r>
        <w:rPr>
          <w:rFonts w:cs="Times New Roman" w:ascii="Times New Roman" w:hAnsi="Times New Roman"/>
        </w:rPr>
        <w:t xml:space="preserve"> SynCom (316 isolates), respectively (</w:t>
      </w:r>
      <w:r>
        <w:rPr>
          <w:rFonts w:cs="Times New Roman" w:ascii="Times New Roman" w:hAnsi="Times New Roman"/>
          <w:highlight w:val="magenta"/>
        </w:rPr>
        <w:t>Fig. 6A</w:t>
      </w:r>
      <w:r>
        <w:rPr>
          <w:rFonts w:cs="Times New Roman" w:ascii="Times New Roman" w:hAnsi="Times New Roman"/>
        </w:rPr>
        <w:t>). Rhizosphere and root communities were analysed after three weeks using 16S rRNA (V5-V7) amplicon sequencing, alongside plant phenotypic measurements.</w:t>
      </w:r>
    </w:p>
    <w:p>
      <w:pPr>
        <w:pStyle w:val="Normal"/>
        <w:spacing w:lineRule="auto" w:line="276"/>
        <w:jc w:val="both"/>
        <w:rPr>
          <w:rStyle w:val="Annotationreference"/>
          <w:rFonts w:ascii="Times New Roman" w:hAnsi="Times New Roman" w:cs="Times New Roman"/>
          <w:sz w:val="24"/>
          <w:szCs w:val="24"/>
        </w:rPr>
      </w:pPr>
      <w:r>
        <w:rPr>
          <w:rFonts w:cs="Times New Roman" w:ascii="Times New Roman" w:hAnsi="Times New Roman"/>
        </w:rPr>
        <w:t xml:space="preserve">In </w:t>
      </w:r>
      <w:r>
        <w:rPr>
          <w:rFonts w:cs="Times New Roman" w:ascii="Times New Roman" w:hAnsi="Times New Roman"/>
          <w:i/>
          <w:iCs/>
        </w:rPr>
        <w:t>Lotus</w:t>
      </w:r>
      <w:r>
        <w:rPr>
          <w:rFonts w:cs="Times New Roman" w:ascii="Times New Roman" w:hAnsi="Times New Roman"/>
        </w:rPr>
        <w:t xml:space="preserve">, all CSSP mutants exhibited reduced growth, with the strongest effects observed in </w:t>
      </w:r>
      <w:r>
        <w:rPr>
          <w:rFonts w:cs="Times New Roman" w:ascii="Times New Roman" w:hAnsi="Times New Roman"/>
          <w:i/>
          <w:iCs/>
        </w:rPr>
        <w:t>symrk</w:t>
      </w:r>
      <w:r>
        <w:rPr>
          <w:rFonts w:cs="Times New Roman" w:ascii="Times New Roman" w:hAnsi="Times New Roman"/>
        </w:rPr>
        <w:t xml:space="preserve"> and </w:t>
      </w:r>
      <w:r>
        <w:rPr>
          <w:rFonts w:cs="Times New Roman" w:ascii="Times New Roman" w:hAnsi="Times New Roman"/>
          <w:i/>
          <w:iCs/>
        </w:rPr>
        <w:t>nsp1</w:t>
      </w:r>
      <w:r>
        <w:rPr>
          <w:rFonts w:cs="Times New Roman" w:ascii="Times New Roman" w:hAnsi="Times New Roman"/>
        </w:rPr>
        <w:t xml:space="preserve"> mutants (</w:t>
      </w:r>
      <w:r>
        <w:rPr>
          <w:rFonts w:cs="Times New Roman" w:ascii="Times New Roman" w:hAnsi="Times New Roman"/>
          <w:highlight w:val="magenta"/>
        </w:rPr>
        <w:t>Fig. 6B</w:t>
      </w:r>
      <w:r>
        <w:rPr>
          <w:rFonts w:cs="Times New Roman" w:ascii="Times New Roman" w:hAnsi="Times New Roman"/>
        </w:rPr>
        <w:t>), consistent with results obtained in depleted soil conditions (</w:t>
      </w:r>
      <w:r>
        <w:rPr>
          <w:rFonts w:cs="Times New Roman" w:ascii="Times New Roman" w:hAnsi="Times New Roman"/>
          <w:highlight w:val="magenta"/>
        </w:rPr>
        <w:t>Fig. 4B</w:t>
      </w:r>
      <w:r>
        <w:rPr>
          <w:rFonts w:cs="Times New Roman" w:ascii="Times New Roman" w:hAnsi="Times New Roman"/>
        </w:rPr>
        <w:t xml:space="preserve">). None of the mutants developed root nodules, and thus, SNF formation was exclusive to </w:t>
      </w:r>
      <w:r>
        <w:rPr>
          <w:rFonts w:cs="Times New Roman" w:ascii="Times New Roman" w:hAnsi="Times New Roman"/>
          <w:i/>
          <w:iCs/>
        </w:rPr>
        <w:t>Lotus</w:t>
      </w:r>
      <w:r>
        <w:rPr>
          <w:rFonts w:cs="Times New Roman" w:ascii="Times New Roman" w:hAnsi="Times New Roman"/>
        </w:rPr>
        <w:t xml:space="preserve"> wild-type (</w:t>
      </w:r>
      <w:r>
        <w:rPr>
          <w:rFonts w:cs="Times New Roman" w:ascii="Times New Roman" w:hAnsi="Times New Roman"/>
          <w:highlight w:val="magenta"/>
        </w:rPr>
        <w:t>Suppl. Fig. 6D</w:t>
      </w:r>
      <w:r>
        <w:rPr>
          <w:rFonts w:cs="Times New Roman" w:ascii="Times New Roman" w:hAnsi="Times New Roman"/>
        </w:rPr>
        <w:t>). Alpha diversity of bacterial communities was generally comparable between the rhizosphere and root fractions, whereas nodule diversity was reduced, consistent with previous findings (</w:t>
      </w:r>
      <w:r>
        <w:rPr>
          <w:rFonts w:cs="Times New Roman" w:ascii="Times New Roman" w:hAnsi="Times New Roman"/>
          <w:highlight w:val="magenta"/>
        </w:rPr>
        <w:t>Suppl. Fig. 6A</w:t>
      </w:r>
      <w:r>
        <w:rPr>
          <w:rFonts w:cs="Times New Roman" w:ascii="Times New Roman" w:hAnsi="Times New Roman"/>
        </w:rPr>
        <w:t xml:space="preserve">). Between </w:t>
      </w:r>
      <w:r>
        <w:rPr>
          <w:rFonts w:cs="Times New Roman" w:ascii="Times New Roman" w:hAnsi="Times New Roman"/>
          <w:i/>
          <w:iCs/>
        </w:rPr>
        <w:t>Lotus</w:t>
      </w:r>
      <w:r>
        <w:rPr>
          <w:rFonts w:cs="Times New Roman" w:ascii="Times New Roman" w:hAnsi="Times New Roman"/>
        </w:rPr>
        <w:t xml:space="preserve"> genotypes, no significant differences in alpha diversity were observed, however, beta diversity analysis revealed a clear separation between wild-type and CSSP mutants in both rhizosphere and root compartments (</w:t>
      </w:r>
      <w:r>
        <w:rPr>
          <w:rFonts w:cs="Times New Roman" w:ascii="Times New Roman" w:hAnsi="Times New Roman"/>
          <w:highlight w:val="magenta"/>
        </w:rPr>
        <w:t>Fig. 6C</w:t>
      </w:r>
      <w:r>
        <w:rPr>
          <w:rFonts w:cs="Times New Roman" w:ascii="Times New Roman" w:hAnsi="Times New Roman"/>
        </w:rPr>
        <w:t xml:space="preserve">). Additionally, rhizosphere communities of </w:t>
      </w:r>
      <w:r>
        <w:rPr>
          <w:rFonts w:cs="Times New Roman" w:ascii="Times New Roman" w:hAnsi="Times New Roman"/>
          <w:i/>
          <w:iCs/>
        </w:rPr>
        <w:t>ccamk</w:t>
      </w:r>
      <w:r>
        <w:rPr>
          <w:rFonts w:cs="Times New Roman" w:ascii="Times New Roman" w:hAnsi="Times New Roman"/>
        </w:rPr>
        <w:t xml:space="preserve"> mutants formed a distinct cluster, separate from both wild-type and other mutant genotypes. Several of the most abundant bacterial orders (</w:t>
      </w:r>
      <w:r>
        <w:rPr>
          <w:rFonts w:cs="Times New Roman" w:ascii="Times New Roman" w:hAnsi="Times New Roman"/>
          <w:highlight w:val="magenta"/>
        </w:rPr>
        <w:t>Suppl. Fig. 6C</w:t>
      </w:r>
      <w:r>
        <w:rPr>
          <w:rFonts w:cs="Times New Roman" w:ascii="Times New Roman" w:hAnsi="Times New Roman"/>
        </w:rPr>
        <w:t xml:space="preserve">), including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Flavobacteriales</w:t>
      </w:r>
      <w:r>
        <w:rPr>
          <w:rFonts w:cs="Times New Roman" w:ascii="Times New Roman" w:hAnsi="Times New Roman"/>
        </w:rPr>
        <w:t xml:space="preserve">, </w:t>
      </w:r>
      <w:r>
        <w:rPr>
          <w:rFonts w:cs="Times New Roman" w:ascii="Times New Roman" w:hAnsi="Times New Roman"/>
          <w:i/>
          <w:iCs/>
        </w:rPr>
        <w:t>Pseudomonadales</w:t>
      </w:r>
      <w:r>
        <w:rPr>
          <w:rFonts w:cs="Times New Roman" w:ascii="Times New Roman" w:hAnsi="Times New Roman"/>
        </w:rPr>
        <w:t xml:space="preserve">, and </w:t>
      </w:r>
      <w:r>
        <w:rPr>
          <w:rFonts w:cs="Times New Roman" w:ascii="Times New Roman" w:hAnsi="Times New Roman"/>
          <w:i/>
          <w:iCs/>
        </w:rPr>
        <w:t>Rhizobiales</w:t>
      </w:r>
      <w:r>
        <w:rPr>
          <w:rFonts w:cs="Times New Roman" w:ascii="Times New Roman" w:hAnsi="Times New Roman"/>
        </w:rPr>
        <w:t xml:space="preserve">, showed altered relative abundances across </w:t>
      </w:r>
      <w:r>
        <w:rPr>
          <w:rFonts w:cs="Times New Roman" w:ascii="Times New Roman" w:hAnsi="Times New Roman"/>
          <w:i/>
          <w:iCs/>
        </w:rPr>
        <w:t>Lotus</w:t>
      </w:r>
      <w:r>
        <w:rPr>
          <w:rFonts w:cs="Times New Roman" w:ascii="Times New Roman" w:hAnsi="Times New Roman"/>
        </w:rPr>
        <w:t xml:space="preserve"> genotypes (</w:t>
      </w:r>
      <w:r>
        <w:rPr>
          <w:rFonts w:cs="Times New Roman" w:ascii="Times New Roman" w:hAnsi="Times New Roman"/>
          <w:highlight w:val="magenta"/>
        </w:rPr>
        <w:t>Fig. 6D, Suppl. Fig. 6C</w:t>
      </w:r>
      <w:r>
        <w:rPr>
          <w:rFonts w:cs="Times New Roman" w:ascii="Times New Roman" w:hAnsi="Times New Roman"/>
        </w:rPr>
        <w:t xml:space="preserve">). In roots, </w:t>
      </w:r>
      <w:r>
        <w:rPr>
          <w:rFonts w:cs="Times New Roman" w:ascii="Times New Roman" w:hAnsi="Times New Roman"/>
          <w:i/>
          <w:iCs/>
        </w:rPr>
        <w:t>Rhizobiales</w:t>
      </w:r>
      <w:r>
        <w:rPr>
          <w:rFonts w:cs="Times New Roman" w:ascii="Times New Roman" w:hAnsi="Times New Roman"/>
        </w:rPr>
        <w:t xml:space="preserve"> were significantly reduced in CSSP mutants, primarily due to the decline in abundance of symbiotic </w:t>
      </w:r>
      <w:r>
        <w:rPr>
          <w:rFonts w:cs="Times New Roman" w:ascii="Times New Roman" w:hAnsi="Times New Roman"/>
          <w:i/>
          <w:iCs/>
        </w:rPr>
        <w:t>Mesorhizobium</w:t>
      </w:r>
      <w:r>
        <w:rPr>
          <w:rFonts w:cs="Times New Roman" w:ascii="Times New Roman" w:hAnsi="Times New Roman"/>
        </w:rPr>
        <w:t xml:space="preserve"> isolates, which dominated wild-type roots and nodules but were nearly absent from mutant roots (</w:t>
      </w:r>
      <w:r>
        <w:rPr>
          <w:rFonts w:cs="Times New Roman" w:ascii="Times New Roman" w:hAnsi="Times New Roman"/>
          <w:highlight w:val="magenta"/>
        </w:rPr>
        <w:t>Fig.6E</w:t>
      </w:r>
      <w:r>
        <w:rPr>
          <w:rFonts w:cs="Times New Roman" w:ascii="Times New Roman" w:hAnsi="Times New Roman"/>
        </w:rPr>
        <w:t xml:space="preserve">, </w:t>
      </w:r>
      <w:r>
        <w:rPr>
          <w:rFonts w:cs="Times New Roman" w:ascii="Times New Roman" w:hAnsi="Times New Roman"/>
          <w:highlight w:val="magenta"/>
        </w:rPr>
        <w:t>Suppl. Fig. 6E</w:t>
      </w:r>
      <w:r>
        <w:rPr>
          <w:rFonts w:cs="Times New Roman" w:ascii="Times New Roman" w:hAnsi="Times New Roman"/>
        </w:rPr>
        <w:t xml:space="preserve">). More than </w:t>
      </w:r>
      <w:commentRangeStart w:id="7"/>
      <w:r>
        <w:rPr>
          <w:rFonts w:cs="Times New Roman" w:ascii="Times New Roman" w:hAnsi="Times New Roman"/>
        </w:rPr>
        <w:t>65%</w:t>
      </w:r>
      <w:r>
        <w:rPr>
          <w:rFonts w:cs="Times New Roman" w:ascii="Times New Roman" w:hAnsi="Times New Roman"/>
        </w:rPr>
      </w:r>
      <w:commentRangeEnd w:id="7"/>
      <w:r>
        <w:commentReference w:id="7"/>
      </w:r>
      <w:r>
        <w:rPr>
          <w:rFonts w:cs="Times New Roman" w:ascii="Times New Roman" w:hAnsi="Times New Roman"/>
        </w:rPr>
        <w:t xml:space="preserve"> of detected isolates showed differential abundance in at least one CSSP mutant relative to wild-type (</w:t>
      </w:r>
      <w:r>
        <w:rPr>
          <w:rFonts w:cs="Times New Roman" w:ascii="Times New Roman" w:hAnsi="Times New Roman"/>
          <w:highlight w:val="magenta"/>
        </w:rPr>
        <w:t>Fig.6E, Suppl. Table 6</w:t>
      </w:r>
      <w:r>
        <w:rPr>
          <w:rFonts w:cs="Times New Roman" w:ascii="Times New Roman" w:hAnsi="Times New Roman"/>
        </w:rPr>
        <w:t xml:space="preserve">). These differentially abundant isolates were largely overlapping between rhizosphere and root fractions and spanned all major bacterial orders. Non-symbiotic </w:t>
      </w:r>
      <w:r>
        <w:rPr>
          <w:rFonts w:cs="Times New Roman" w:ascii="Times New Roman" w:hAnsi="Times New Roman"/>
          <w:i/>
          <w:iCs/>
        </w:rPr>
        <w:t>Rhizobiales</w:t>
      </w:r>
      <w:r>
        <w:rPr>
          <w:rFonts w:cs="Times New Roman" w:ascii="Times New Roman" w:hAnsi="Times New Roman"/>
        </w:rPr>
        <w:t xml:space="preserve"> genera increased in abundance, as well as a range of </w:t>
      </w:r>
      <w:r>
        <w:rPr>
          <w:rFonts w:cs="Times New Roman" w:ascii="Times New Roman" w:hAnsi="Times New Roman"/>
          <w:i/>
          <w:iCs/>
        </w:rPr>
        <w:t>Burkholderiales</w:t>
      </w:r>
      <w:r>
        <w:rPr>
          <w:rFonts w:cs="Times New Roman" w:ascii="Times New Roman" w:hAnsi="Times New Roman"/>
        </w:rPr>
        <w:t xml:space="preserve"> and </w:t>
      </w:r>
      <w:r>
        <w:rPr>
          <w:rFonts w:cs="Times New Roman" w:ascii="Times New Roman" w:hAnsi="Times New Roman"/>
          <w:i/>
          <w:iCs/>
        </w:rPr>
        <w:t>Pseudomonadales</w:t>
      </w:r>
      <w:r>
        <w:rPr>
          <w:rFonts w:cs="Times New Roman" w:ascii="Times New Roman" w:hAnsi="Times New Roman"/>
        </w:rPr>
        <w:t>. While some isolates showed consistent changes in abundance across all mutants, others exhibited genotype-specific effects (</w:t>
      </w:r>
      <w:r>
        <w:rPr>
          <w:rFonts w:cs="Times New Roman" w:ascii="Times New Roman" w:hAnsi="Times New Roman"/>
          <w:highlight w:val="magenta"/>
        </w:rPr>
        <w:t>Fig. 6E</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t xml:space="preserve">In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also exhibited reduced growth (</w:t>
      </w:r>
      <w:r>
        <w:rPr>
          <w:rFonts w:cs="Times New Roman" w:ascii="Times New Roman" w:hAnsi="Times New Roman"/>
          <w:highlight w:val="magenta"/>
        </w:rPr>
        <w:t>Fig. 6B</w:t>
      </w:r>
      <w:r>
        <w:rPr>
          <w:rFonts w:cs="Times New Roman" w:ascii="Times New Roman" w:hAnsi="Times New Roman"/>
        </w:rPr>
        <w:t>). As observed in soil-grown plants, this growth reduction was not due to lack of AMS, since AMS was absent in both wild-type and CSSP mutants at the harvest time point (</w:t>
      </w:r>
      <w:commentRangeStart w:id="8"/>
      <w:r>
        <w:rPr>
          <w:rFonts w:cs="Times New Roman" w:ascii="Times New Roman" w:hAnsi="Times New Roman"/>
          <w:highlight w:val="red"/>
        </w:rPr>
        <w:t>DO WE HAVE PHOTOS/DATA FOR THIS?</w:t>
      </w:r>
      <w:r>
        <w:rPr>
          <w:rFonts w:cs="Times New Roman" w:ascii="Times New Roman" w:hAnsi="Times New Roman"/>
          <w:highlight w:val="red"/>
        </w:rPr>
      </w:r>
      <w:commentRangeEnd w:id="8"/>
      <w:r>
        <w:commentReference w:id="8"/>
      </w:r>
      <w:r>
        <w:rPr>
          <w:rFonts w:cs="Times New Roman" w:ascii="Times New Roman" w:hAnsi="Times New Roman"/>
        </w:rPr>
        <w:t>). Alpha diversity did not differ significantly between compartments or genotypes (</w:t>
      </w:r>
      <w:r>
        <w:rPr>
          <w:rFonts w:cs="Times New Roman" w:ascii="Times New Roman" w:hAnsi="Times New Roman"/>
          <w:highlight w:val="magenta"/>
        </w:rPr>
        <w:t>Suppl. Fig. 6A</w:t>
      </w:r>
      <w:r>
        <w:rPr>
          <w:rFonts w:cs="Times New Roman" w:ascii="Times New Roman" w:hAnsi="Times New Roman"/>
        </w:rPr>
        <w:t xml:space="preserve">), whereas beta diversity analysis revealed that wild-type assembled communities distinct from those of CSSP mutants, particularly in </w:t>
      </w:r>
      <w:r>
        <w:rPr>
          <w:rFonts w:cs="Times New Roman" w:ascii="Times New Roman" w:hAnsi="Times New Roman"/>
          <w:i/>
          <w:iCs/>
        </w:rPr>
        <w:t>ccamk</w:t>
      </w:r>
      <w:r>
        <w:rPr>
          <w:rFonts w:cs="Times New Roman" w:ascii="Times New Roman" w:hAnsi="Times New Roman"/>
        </w:rPr>
        <w:t xml:space="preserve"> and </w:t>
      </w:r>
      <w:r>
        <w:rPr>
          <w:rFonts w:cs="Times New Roman" w:ascii="Times New Roman" w:hAnsi="Times New Roman"/>
          <w:i/>
          <w:iCs/>
        </w:rPr>
        <w:t>nsp</w:t>
      </w:r>
      <w:r>
        <w:rPr>
          <w:rFonts w:cs="Times New Roman" w:ascii="Times New Roman" w:hAnsi="Times New Roman"/>
        </w:rPr>
        <w:t xml:space="preserve"> mutants (</w:t>
      </w:r>
      <w:r>
        <w:rPr>
          <w:rFonts w:cs="Times New Roman" w:ascii="Times New Roman" w:hAnsi="Times New Roman"/>
          <w:highlight w:val="magenta"/>
        </w:rPr>
        <w:t>Fig. 6C</w:t>
      </w:r>
      <w:r>
        <w:rPr>
          <w:rFonts w:cs="Times New Roman" w:ascii="Times New Roman" w:hAnsi="Times New Roman"/>
        </w:rPr>
        <w:t>). Among the most abundant bacterial orders (</w:t>
      </w:r>
      <w:r>
        <w:rPr>
          <w:rFonts w:cs="Times New Roman" w:ascii="Times New Roman" w:hAnsi="Times New Roman"/>
          <w:highlight w:val="magenta"/>
        </w:rPr>
        <w:t>Suppl. Fig. 6C</w:t>
      </w:r>
      <w:r>
        <w:rPr>
          <w:rFonts w:cs="Times New Roman" w:ascii="Times New Roman" w:hAnsi="Times New Roman"/>
        </w:rPr>
        <w:t xml:space="preserve">), </w:t>
      </w:r>
      <w:r>
        <w:rPr>
          <w:rFonts w:cs="Times New Roman" w:ascii="Times New Roman" w:hAnsi="Times New Roman"/>
          <w:i/>
          <w:iCs/>
        </w:rPr>
        <w:t>Burkholderiales</w:t>
      </w:r>
      <w:r>
        <w:rPr>
          <w:rFonts w:cs="Times New Roman" w:ascii="Times New Roman" w:hAnsi="Times New Roman"/>
        </w:rPr>
        <w:t xml:space="preserve">, </w:t>
      </w:r>
      <w:r>
        <w:rPr>
          <w:rFonts w:cs="Times New Roman" w:ascii="Times New Roman" w:hAnsi="Times New Roman"/>
          <w:i/>
          <w:iCs/>
        </w:rPr>
        <w:t>Pseudomonadales</w:t>
      </w:r>
      <w:r>
        <w:rPr>
          <w:rFonts w:cs="Times New Roman" w:ascii="Times New Roman" w:hAnsi="Times New Roman"/>
        </w:rPr>
        <w:t xml:space="preserve">, </w:t>
      </w:r>
      <w:r>
        <w:rPr>
          <w:rFonts w:cs="Times New Roman" w:ascii="Times New Roman" w:hAnsi="Times New Roman"/>
          <w:i/>
          <w:iCs/>
        </w:rPr>
        <w:t>Sphingomonadales</w:t>
      </w:r>
      <w:r>
        <w:rPr>
          <w:rFonts w:cs="Times New Roman" w:ascii="Times New Roman" w:hAnsi="Times New Roman"/>
        </w:rPr>
        <w:t xml:space="preserve">, and </w:t>
      </w:r>
      <w:r>
        <w:rPr>
          <w:rFonts w:cs="Times New Roman" w:ascii="Times New Roman" w:hAnsi="Times New Roman"/>
          <w:i/>
          <w:iCs/>
        </w:rPr>
        <w:t>Xanthomonadales</w:t>
      </w:r>
      <w:r>
        <w:rPr>
          <w:rFonts w:cs="Times New Roman" w:ascii="Times New Roman" w:hAnsi="Times New Roman"/>
        </w:rPr>
        <w:t xml:space="preserve"> were differently represented when the CSSP was impaired (</w:t>
      </w:r>
      <w:r>
        <w:rPr>
          <w:rFonts w:cs="Times New Roman" w:ascii="Times New Roman" w:hAnsi="Times New Roman"/>
          <w:highlight w:val="magenta"/>
        </w:rPr>
        <w:t>Fig. 6D</w:t>
      </w:r>
      <w:r>
        <w:rPr>
          <w:rFonts w:cs="Times New Roman" w:ascii="Times New Roman" w:hAnsi="Times New Roman"/>
        </w:rPr>
        <w:t>). At the isolate level, a substantial proportion of the detected community (</w:t>
      </w:r>
      <w:commentRangeStart w:id="9"/>
      <w:r>
        <w:rPr>
          <w:rFonts w:cs="Times New Roman" w:ascii="Times New Roman" w:hAnsi="Times New Roman"/>
          <w:highlight w:val="red"/>
        </w:rPr>
        <w:t>PERCENTAGE</w:t>
      </w:r>
      <w:r>
        <w:rPr>
          <w:rFonts w:cs="Times New Roman" w:ascii="Times New Roman" w:hAnsi="Times New Roman"/>
          <w:highlight w:val="red"/>
        </w:rPr>
      </w:r>
      <w:commentRangeEnd w:id="9"/>
      <w:r>
        <w:commentReference w:id="9"/>
      </w:r>
      <w:r>
        <w:rPr>
          <w:rFonts w:cs="Times New Roman" w:ascii="Times New Roman" w:hAnsi="Times New Roman"/>
        </w:rPr>
        <w:t>), spanning a diverse taxonomic range, exhibited genotype-dependent colonisation patterns (</w:t>
      </w:r>
      <w:r>
        <w:rPr>
          <w:rFonts w:cs="Times New Roman" w:ascii="Times New Roman" w:hAnsi="Times New Roman"/>
          <w:highlight w:val="magenta"/>
        </w:rPr>
        <w:t>Fig. 6E, Suppl. Table 7</w:t>
      </w:r>
      <w:r>
        <w:rPr>
          <w:rFonts w:cs="Times New Roman" w:ascii="Times New Roman" w:hAnsi="Times New Roman"/>
        </w:rPr>
        <w:t>), highlighting both shared and host-specific responses.</w:t>
      </w:r>
    </w:p>
    <w:p>
      <w:pPr>
        <w:pStyle w:val="Normal"/>
        <w:spacing w:lineRule="auto" w:line="276"/>
        <w:jc w:val="both"/>
        <w:rPr>
          <w:rFonts w:ascii="Times New Roman" w:hAnsi="Times New Roman" w:cs="Times New Roman"/>
        </w:rPr>
      </w:pPr>
      <w:r>
        <w:rPr>
          <w:rFonts w:cs="Times New Roman" w:ascii="Times New Roman" w:hAnsi="Times New Roman"/>
        </w:rPr>
        <w:t xml:space="preserve">In summary, the observed effects of impaired symbiosis signalling on plant performance, root exudation, and root-associated microbiota were recapitulated in reconstitution experiments using defined complex SynComs. These results confirm that CSSP genes influence not only symbiotic interactions but also the assembly of commensal root microbiota, with pronounced effects on plant growth. Although members of </w:t>
      </w:r>
      <w:r>
        <w:rPr>
          <w:rFonts w:cs="Times New Roman" w:ascii="Times New Roman" w:hAnsi="Times New Roman"/>
          <w:i/>
          <w:iCs/>
        </w:rPr>
        <w:t>Rhizobiales</w:t>
      </w:r>
      <w:r>
        <w:rPr>
          <w:rFonts w:cs="Times New Roman" w:ascii="Times New Roman" w:hAnsi="Times New Roman"/>
        </w:rPr>
        <w:t xml:space="preserve"> and </w:t>
      </w:r>
      <w:r>
        <w:rPr>
          <w:rFonts w:cs="Times New Roman" w:ascii="Times New Roman" w:hAnsi="Times New Roman"/>
          <w:i/>
          <w:iCs/>
        </w:rPr>
        <w:t>Burkholderiales</w:t>
      </w:r>
      <w:r>
        <w:rPr>
          <w:rFonts w:cs="Times New Roman" w:ascii="Times New Roman" w:hAnsi="Times New Roman"/>
        </w:rPr>
        <w:t xml:space="preserve"> were most strongly affected in both hosts, the specific bacterial taxa responding to CSSP impairment differed across mutants and plant species, underscoring broader and host-specific roles of symbiosis signalling pathways in structuring root-associated bacterial communities.</w:t>
      </w:r>
    </w:p>
    <w:p>
      <w:pPr>
        <w:pStyle w:val="Normal"/>
        <w:spacing w:lineRule="auto" w:line="276"/>
        <w:jc w:val="both"/>
        <w:rPr>
          <w:rFonts w:ascii="Times New Roman" w:hAnsi="Times New Roman" w:cs="Times New Roman"/>
          <w:b/>
          <w:b/>
          <w:bCs/>
          <w:highlight w:val="green"/>
        </w:rPr>
      </w:pPr>
      <w:r>
        <w:rPr>
          <w:rFonts w:cs="Times New Roman" w:ascii="Times New Roman" w:hAnsi="Times New Roman"/>
          <w:b/>
          <w:bCs/>
          <w:highlight w:val="green"/>
        </w:rPr>
      </w:r>
    </w:p>
    <w:p>
      <w:pPr>
        <w:pStyle w:val="Normal"/>
        <w:spacing w:lineRule="auto" w:line="276"/>
        <w:jc w:val="both"/>
        <w:rPr>
          <w:rFonts w:ascii="Times New Roman" w:hAnsi="Times New Roman" w:cs="Times New Roman"/>
          <w:b/>
          <w:b/>
          <w:bCs/>
        </w:rPr>
      </w:pPr>
      <w:r>
        <w:rPr>
          <w:rFonts w:cs="Times New Roman" w:ascii="Times New Roman" w:hAnsi="Times New Roman"/>
          <w:b/>
          <w:bCs/>
        </w:rPr>
        <w:t>Discussion</w:t>
      </w:r>
    </w:p>
    <w:p>
      <w:pPr>
        <w:pStyle w:val="Normal"/>
        <w:spacing w:lineRule="auto" w:line="276"/>
        <w:jc w:val="both"/>
        <w:rPr>
          <w:rFonts w:ascii="Times New Roman" w:hAnsi="Times New Roman" w:cs="Times New Roman"/>
        </w:rPr>
      </w:pPr>
      <w:r>
        <w:rPr>
          <w:rFonts w:cs="Times New Roman" w:ascii="Times New Roman" w:hAnsi="Times New Roman"/>
        </w:rPr>
        <w:t xml:space="preserve">Plants integrate environmental and genetic cues to shape root-associated microbiomes, yet the mechanisms linking host signalling pathways to microbial recruitment remain poorly understood. Here, we show that the CSSP regulates root microbiota composition, plant growth, and exudate profiles in both the legume </w:t>
      </w:r>
      <w:r>
        <w:rPr>
          <w:rFonts w:cs="Times New Roman" w:ascii="Times New Roman" w:hAnsi="Times New Roman"/>
          <w:i/>
          <w:iCs/>
        </w:rPr>
        <w:t>Lotus japonicus</w:t>
      </w:r>
      <w:r>
        <w:rPr>
          <w:rFonts w:cs="Times New Roman" w:ascii="Times New Roman" w:hAnsi="Times New Roman"/>
        </w:rPr>
        <w:t xml:space="preserve"> and the cereal </w:t>
      </w:r>
      <w:r>
        <w:rPr>
          <w:rFonts w:cs="Times New Roman" w:ascii="Times New Roman" w:hAnsi="Times New Roman"/>
          <w:i/>
          <w:iCs/>
        </w:rPr>
        <w:t>Hordeum vulgare</w:t>
      </w:r>
      <w:r>
        <w:rPr>
          <w:rFonts w:cs="Times New Roman" w:ascii="Times New Roman" w:hAnsi="Times New Roman"/>
        </w:rPr>
        <w:t>. Soil- and SynCom-grown plants reveal that host species and genotype shape microbial communities, with CSSP-dependent changes in root exudates driving key shifts in microbiome assembly. These findings highlight a central role for symbiosis signalling beyond classical symbioses in shaping plant-microbe interactions.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color w:val="000000" w:themeColor="text1"/>
        </w:rPr>
      </w:pPr>
      <w:r>
        <w:rPr>
          <w:rFonts w:cs="Times New Roman" w:ascii="Times New Roman" w:hAnsi="Times New Roman"/>
        </w:rPr>
        <w:t xml:space="preserve">Long-term soil fertilisation leaves persistent imprints on microbial communities, known as soil microbial memory or legacy effects </w:t>
      </w:r>
      <w:r>
        <w:fldChar w:fldCharType="begin"/>
      </w:r>
      <w:r>
        <w:rPr>
          <w:rFonts w:cs="Times New Roman" w:ascii="Times New Roman" w:hAnsi="Times New Roman"/>
        </w:rPr>
        <w:instrText xml:space="preserve">ADDIN ZOTERO_ITEM CSL_CITATION {"citationID":"dudcPCTM","properties":{"unsorted":false,"formattedCitation":"(69, 70)","plainCitation":"(69, 70)","noteIndex":0},"citationItems":[{"id":582,"uris":["http://zotero.org/users/16875439/items/PCNJQEHI"],"itemData":{"id":582,"type":"article-journal","abstract":"Drought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(69, 70)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NPK, PK, and UF regimes generated distinct soil microbiota, with strong beta-diversity shifts while alpha diversity remained largely stable. This indicates that nutrient inputs reorganise community composition without changing overall bacterial richness, likely reflecting functional redundancy and niche construction within the soil microbiome </w:t>
      </w:r>
      <w:r>
        <w:fldChar w:fldCharType="begin"/>
      </w:r>
      <w:r>
        <w:rPr>
          <w:rFonts w:cs="Times New Roman" w:ascii="Times New Roman" w:hAnsi="Times New Roman"/>
        </w:rPr>
        <w:instrText xml:space="preserve">ADDIN ZOTERO_ITEM CSL_CITATION {"citationID":"V9yC2Epc","properties":{"unsorted":false,"formattedCitation":"(71\\uc0\\u8211{}74)","plainCitation":"(71–74)","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r>
      <w:r>
        <w:rPr>
          <w:rFonts w:cs="Times New Roman" w:ascii="Times New Roman" w:hAnsi="Times New Roman"/>
          <w:kern w:val="0"/>
        </w:rPr>
        <w:t>(71–74)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r>
        <w:rPr>
          <w:rFonts w:cs="Times New Roman" w:ascii="Times New Roman" w:hAnsi="Times New Roman"/>
          <w:color w:val="000000" w:themeColor="text1"/>
        </w:rPr>
        <w:t xml:space="preserve">Microbiota composition proved to be a robust predictor of plant nutrient status, with predictive ASVs differing between </w:t>
      </w:r>
      <w:r>
        <w:rPr>
          <w:rFonts w:cs="Times New Roman" w:ascii="Times New Roman" w:hAnsi="Times New Roman"/>
          <w:i/>
          <w:iCs/>
          <w:color w:val="000000" w:themeColor="text1"/>
        </w:rPr>
        <w:t>Lotus</w:t>
      </w:r>
      <w:r>
        <w:rPr>
          <w:rFonts w:cs="Times New Roman" w:ascii="Times New Roman" w:hAnsi="Times New Roman"/>
          <w:color w:val="000000" w:themeColor="text1"/>
        </w:rPr>
        <w:t xml:space="preserve"> and </w:t>
      </w:r>
      <w:r>
        <w:rPr>
          <w:rFonts w:cs="Times New Roman" w:ascii="Times New Roman" w:hAnsi="Times New Roman"/>
          <w:i/>
          <w:iCs/>
          <w:color w:val="000000" w:themeColor="text1"/>
        </w:rPr>
        <w:t>Hordeum</w:t>
      </w:r>
      <w:r>
        <w:rPr>
          <w:rFonts w:cs="Times New Roman" w:ascii="Times New Roman" w:hAnsi="Times New Roman"/>
          <w:color w:val="000000" w:themeColor="text1"/>
        </w:rPr>
        <w:t xml:space="preserve">, highlighting </w:t>
      </w:r>
      <w:r>
        <w:rPr>
          <w:rFonts w:cs="Times New Roman" w:ascii="Times New Roman" w:hAnsi="Times New Roman"/>
        </w:rPr>
        <w:t xml:space="preserve">species-specific recruitment under </w:t>
      </w:r>
      <w:r>
        <w:rPr>
          <w:rFonts w:cs="Times New Roman" w:ascii="Times New Roman" w:hAnsi="Times New Roman"/>
          <w:color w:val="000000" w:themeColor="text1"/>
        </w:rPr>
        <w:t xml:space="preserve">contrasting soils. These results support the emerging concept that plant-associated microbiomes can provide diagnostic and predictive information on host nutritional state </w:t>
      </w:r>
      <w:r>
        <w:fldChar w:fldCharType="begin"/>
      </w:r>
      <w:r>
        <w:rPr>
          <w:rFonts w:cs="Times New Roman" w:ascii="Times New Roman" w:hAnsi="Times New Roman"/>
          <w:color w:val="000000"/>
        </w:rPr>
        <w:instrText xml:space="preserve">ADDIN ZOTERO_ITEM CSL_CITATION {"citationID":"PrERH22g","properties":{"unsorted":false,"formattedCitation":"(55, 75\\uc0\\u8211{}77)","plainCitation":"(55, 75–77)","noteIndex":0},"citationItems":[{"id":577,"uris":["http://zotero.org/users/16875439/items/4YKUMNYH"],"itemData":{"id":577,"type":"article-journal","abstract":"Symbiosis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w:instrText>
      </w:r>
      <w:r>
        <w:rPr>
          <w:rFonts w:cs="Times New Roman" w:ascii="Times New Roman" w:hAnsi="Times New Roman"/>
          <w:color w:val="000000" w:themeColor="text1"/>
        </w:rPr>
      </w:r>
      <w:r>
        <w:rPr>
          <w:rFonts w:cs="Times New Roman" w:ascii="Times New Roman" w:hAnsi="Times New Roman"/>
          <w:color w:val="000000"/>
        </w:rPr>
        <w:fldChar w:fldCharType="separate"/>
      </w:r>
      <w:r>
        <w:rPr>
          <w:rFonts w:cs="Times New Roman" w:ascii="Times New Roman" w:hAnsi="Times New Roman"/>
          <w:color w:val="000000" w:themeColor="text1"/>
        </w:rPr>
      </w:r>
      <w:r>
        <w:rPr>
          <w:rFonts w:cs="Times New Roman" w:ascii="Times New Roman" w:hAnsi="Times New Roman"/>
          <w:color w:val="000000"/>
          <w:kern w:val="0"/>
        </w:rPr>
        <w:t>(55, 75–77)</w:t>
      </w:r>
      <w:r>
        <w:rPr>
          <w:rFonts w:cs="Times New Roman" w:ascii="Times New Roman" w:hAnsi="Times New Roman"/>
          <w:color w:val="000000" w:themeColor="text1"/>
        </w:rPr>
      </w:r>
      <w:r>
        <w:rPr>
          <w:rFonts w:cs="Times New Roman" w:ascii="Times New Roman" w:hAnsi="Times New Roman"/>
          <w:color w:val="000000"/>
        </w:rPr>
        <w:fldChar w:fldCharType="end"/>
      </w:r>
      <w:r>
        <w:rPr>
          <w:rFonts w:cs="Times New Roman" w:ascii="Times New Roman" w:hAnsi="Times New Roman"/>
          <w:color w:val="000000" w:themeColor="text1"/>
        </w:rPr>
        <w:t>. While extending this approach to other soils will require testing across different environments and microbial communities, our findings demonstrate the power of integrating soil legacy with host-microbiome interactions to monitor and potentially guide plant nutrition and precision nutrient management.</w:t>
      </w:r>
    </w:p>
    <w:p>
      <w:pPr>
        <w:pStyle w:val="Normal"/>
        <w:spacing w:lineRule="auto" w:line="276"/>
        <w:jc w:val="both"/>
        <w:rPr>
          <w:rFonts w:ascii="Times New Roman" w:hAnsi="Times New Roman" w:cs="Times New Roman"/>
          <w:color w:val="FFE599" w:themeColor="accent4" w:themeTint="66"/>
        </w:rPr>
      </w:pPr>
      <w:r>
        <w:rPr>
          <w:rFonts w:cs="Times New Roman" w:ascii="Times New Roman" w:hAnsi="Times New Roman"/>
          <w:color w:val="FFE599" w:themeColor="accent4" w:themeTint="66"/>
        </w:rPr>
      </w:r>
    </w:p>
    <w:p>
      <w:pPr>
        <w:pStyle w:val="Normal"/>
        <w:spacing w:lineRule="auto" w:line="276"/>
        <w:jc w:val="both"/>
        <w:rPr>
          <w:rFonts w:ascii="Times New Roman" w:hAnsi="Times New Roman" w:cs="Times New Roman"/>
        </w:rPr>
      </w:pPr>
      <w:r>
        <w:rPr>
          <w:rFonts w:cs="Times New Roman" w:ascii="Times New Roman" w:hAnsi="Times New Roman"/>
          <w:color w:val="000000" w:themeColor="text1"/>
        </w:rPr>
        <w:t xml:space="preserve">Beyond soil-driven effects, our results reveal that the CSSP exerts broad, host-specific influence over root-associated microbial communities, extending well beyond its canonical roles in rhizobial and mycorrhizal interactions. Host-specific microbial assembly represents a first layer of community differentiation, as previously established. On top of this, we uncover a second, CSSP-dependent layer, in which plants actively shape microbiota composition, likely through modulation of root exudates. In </w:t>
      </w:r>
      <w:r>
        <w:rPr>
          <w:rFonts w:cs="Times New Roman" w:ascii="Times New Roman" w:hAnsi="Times New Roman"/>
          <w:i/>
          <w:iCs/>
          <w:color w:val="000000" w:themeColor="text1"/>
        </w:rPr>
        <w:t>Lotus</w:t>
      </w:r>
      <w:r>
        <w:rPr>
          <w:rFonts w:cs="Times New Roman" w:ascii="Times New Roman" w:hAnsi="Times New Roman"/>
          <w:color w:val="000000" w:themeColor="text1"/>
        </w:rPr>
        <w:t xml:space="preserve">, disruption of nodule formation and rhizobial communication allowed commensal enrichment and niche replacement. In </w:t>
      </w:r>
      <w:r>
        <w:rPr>
          <w:rFonts w:cs="Times New Roman" w:ascii="Times New Roman" w:hAnsi="Times New Roman"/>
          <w:i/>
          <w:iCs/>
          <w:color w:val="000000" w:themeColor="text1"/>
        </w:rPr>
        <w:t>Hordeum</w:t>
      </w:r>
      <w:r>
        <w:rPr>
          <w:rFonts w:cs="Times New Roman" w:ascii="Times New Roman" w:hAnsi="Times New Roman"/>
          <w:color w:val="000000" w:themeColor="text1"/>
        </w:rPr>
        <w:t xml:space="preserve">, CSSP mutants exhibited extensive microbial shifts despite the absence of AMS, demonstrating conserved effects across hosts. Prior work in legumes documented similar community shifts upon SNF disruption </w:t>
      </w:r>
      <w:r>
        <w:fldChar w:fldCharType="begin"/>
      </w:r>
      <w:r>
        <w:rPr>
          <w:rFonts w:cs="Times New Roman" w:ascii="Times New Roman" w:hAnsi="Times New Roman"/>
          <w:color w:val="000000"/>
        </w:rPr>
        <w:instrText xml:space="preserve">ADDIN ZOTERO_ITEM CSL_CITATION {"citationID":"t3JKNVK3","properties":{"unsorted":false,"formattedCitation":"(56\\uc0\\u8211{}58)","plainCitation":"(56–58)","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w:instrText>
      </w:r>
      <w:r>
        <w:rPr>
          <w:rFonts w:cs="Times New Roman" w:ascii="Times New Roman" w:hAnsi="Times New Roman"/>
          <w:color w:val="000000" w:themeColor="text1"/>
        </w:rPr>
      </w:r>
      <w:r>
        <w:rPr>
          <w:rFonts w:cs="Times New Roman" w:ascii="Times New Roman" w:hAnsi="Times New Roman"/>
          <w:color w:val="000000"/>
        </w:rPr>
        <w:fldChar w:fldCharType="separate"/>
      </w:r>
      <w:r>
        <w:rPr>
          <w:rFonts w:cs="Times New Roman" w:ascii="Times New Roman" w:hAnsi="Times New Roman"/>
          <w:color w:val="000000" w:themeColor="text1"/>
        </w:rPr>
      </w:r>
      <w:r>
        <w:rPr>
          <w:rFonts w:cs="Times New Roman" w:ascii="Times New Roman" w:hAnsi="Times New Roman"/>
          <w:color w:val="000000"/>
          <w:kern w:val="0"/>
        </w:rPr>
        <w:t>(56–58)</w:t>
      </w:r>
      <w:r>
        <w:rPr>
          <w:rFonts w:cs="Times New Roman" w:ascii="Times New Roman" w:hAnsi="Times New Roman"/>
          <w:color w:val="000000" w:themeColor="text1"/>
        </w:rPr>
      </w:r>
      <w:r>
        <w:rPr>
          <w:rFonts w:cs="Times New Roman" w:ascii="Times New Roman" w:hAnsi="Times New Roman"/>
          <w:color w:val="000000"/>
        </w:rPr>
        <w:fldChar w:fldCharType="end"/>
      </w:r>
      <w:r>
        <w:rPr>
          <w:rFonts w:cs="Times New Roman" w:ascii="Times New Roman" w:hAnsi="Times New Roman"/>
          <w:color w:val="000000" w:themeColor="text1"/>
        </w:rPr>
        <w:t xml:space="preserve">, and rhizobial Nod-factor production has been linked to microbial connectivity </w:t>
      </w:r>
      <w:r>
        <w:fldChar w:fldCharType="begin"/>
      </w:r>
      <w:r>
        <w:rPr>
          <w:rFonts w:cs="Times New Roman" w:ascii="Times New Roman" w:hAnsi="Times New Roman"/>
          <w:color w:val="000000"/>
        </w:rPr>
        <w:instrText xml:space="preserve">ADDIN ZOTERO_ITEM CSL_CITATION {"citationID":"9EvwSLes","properties":{"unsorted":false,"formattedCitation":"(55)","plainCitation":"(55)","noteIndex":0},"citationItems":[{"id":577,"uris":["http://zotero.org/users/16875439/items/4YKUMNYH"],"itemData":{"id":577,"type":"article-journal","abstract":"Symbiosis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w:instrText>
      </w:r>
      <w:r>
        <w:rPr>
          <w:rFonts w:cs="Times New Roman" w:ascii="Times New Roman" w:hAnsi="Times New Roman"/>
          <w:color w:val="000000" w:themeColor="text1"/>
        </w:rPr>
      </w:r>
      <w:r>
        <w:rPr>
          <w:rFonts w:cs="Times New Roman" w:ascii="Times New Roman" w:hAnsi="Times New Roman"/>
          <w:color w:val="000000"/>
        </w:rPr>
        <w:fldChar w:fldCharType="separate"/>
      </w:r>
      <w:r>
        <w:rPr>
          <w:rFonts w:cs="Times New Roman" w:ascii="Times New Roman" w:hAnsi="Times New Roman"/>
          <w:color w:val="000000" w:themeColor="text1"/>
        </w:rPr>
        <w:t>(55)</w:t>
      </w:r>
      <w:r>
        <w:rPr>
          <w:rFonts w:cs="Times New Roman" w:ascii="Times New Roman" w:hAnsi="Times New Roman"/>
          <w:color w:val="000000" w:themeColor="text1"/>
        </w:rPr>
      </w:r>
      <w:r>
        <w:rPr>
          <w:rFonts w:cs="Times New Roman" w:ascii="Times New Roman" w:hAnsi="Times New Roman"/>
          <w:color w:val="000000"/>
        </w:rPr>
        <w:fldChar w:fldCharType="end"/>
      </w:r>
      <w:r>
        <w:rPr>
          <w:rFonts w:cs="Times New Roman" w:ascii="Times New Roman" w:hAnsi="Times New Roman"/>
          <w:color w:val="000000" w:themeColor="text1"/>
        </w:rPr>
        <w:t xml:space="preserve">. SynCom experiments confirmed these effects are plant-intrinsic, with CSSP genes modulating bacterial recruitment in a gene-specific manner, likely via altered signalling and nutrient allocation. Root </w:t>
      </w:r>
      <w:r>
        <w:rPr>
          <w:rFonts w:cs="Times New Roman" w:ascii="Times New Roman" w:hAnsi="Times New Roman"/>
        </w:rPr>
        <w:t>exudate profiling revealed extensive metabolic reprogramming in CSSP mutants, with diversity patterns closely mirroring microbial shifts, indicating strong linkage between metabolic outputs and microbial assembly. Conserved effects on phenylpropanoid metabolism (cinnamic acids, flavonoids, coumarins) were observed in both hosts, consistent with mechanistic links between CCaMK-dependent Ca</w:t>
      </w:r>
      <w:r>
        <w:rPr>
          <w:rFonts w:cs="Times New Roman" w:ascii="Times New Roman" w:hAnsi="Times New Roman"/>
          <w:vertAlign w:val="superscript"/>
        </w:rPr>
        <w:t>2+</w:t>
      </w:r>
      <w:r>
        <w:rPr>
          <w:rFonts w:cs="Times New Roman" w:ascii="Times New Roman" w:hAnsi="Times New Roman"/>
        </w:rPr>
        <w:t xml:space="preserve"> signalling and secondary metabolite production </w:t>
      </w:r>
      <w:r>
        <w:fldChar w:fldCharType="begin"/>
      </w:r>
      <w:r>
        <w:rPr>
          <w:rFonts w:cs="Times New Roman" w:ascii="Times New Roman" w:hAnsi="Times New Roman"/>
        </w:rPr>
        <w:instrText xml:space="preserve">ADDIN ZOTERO_ITEM CSL_CITATION {"citationID":"MwntmYJB","properties":{"unsorted":false,"formattedCitation":"(43)","plainCitation":"(43)","noteIndex":0},"citationItems":[{"id":609,"uris":["http://zotero.org/users/16875439/items/3DR3LB7T"],"itemData":{"id":609,"type":"article-journal","abstract":"Nutrient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(43)</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commentRangeStart w:id="10"/>
      <w:r>
        <w:rPr>
          <w:rFonts w:cs="Times New Roman" w:ascii="Times New Roman" w:hAnsi="Times New Roman"/>
        </w:rPr>
        <w:t xml:space="preserve">Recent work identified an NSP2-MYB transcriptional module that directly activates flavonoid biosynthesis during nodulation, providing mechanistic evidence that symbiosis signalling pathways actively regulate specialised metabolism to shape microbial interactions </w:t>
      </w:r>
      <w:r>
        <w:fldChar w:fldCharType="begin"/>
      </w:r>
      <w:r>
        <w:rPr>
          <w:rFonts w:cs="Times New Roman" w:ascii="Times New Roman" w:hAnsi="Times New Roman"/>
        </w:rPr>
        <w:instrText xml:space="preserve">ADDIN ZOTERO_ITEM CSL_CITATION {"citationID":"D9zKC13s","properties":{"unsorted":false,"formattedCitation":"(78)","plainCitation":"(78)","noteIndex":0},"citationItems":[{"id":767,"uris":["http://zotero.org/users/16875439/items/CJF6W4Y4"],"itemData":{"id":767,"type":"article-journal","abstract":"&lt;h2&gt;Summary&lt;/h2&gt;&lt;p&gt;Flavonoids, produced by the plant under nutrient stress, are required to initiate the legume-rhizobia symbiosis through the activation of rhizobial &lt;i&gt;nod&lt;/i&gt; genes. Notwithstanding the central role of flavonoids in nodulation, their transcriptional regulation remains poorly understood. Here, we show that the &lt;i&gt;nodulation signaling pathway 2&lt;/i&gt; (&lt;i&gt;NSP2&lt;/i&gt;) is required for transcriptional activation of flavonoid biosynthesis genes during nodulation in &lt;i&gt;Medicago truncatula&lt;/i&gt;. Furthermore, MYB40, a legume-specific MYB transcription factor, is induced by rhizobia in the root epidermis. MYB40 directly binds to flavonoid biosynthetic gene promoters and is required for normal levels of nodulation. Biochemical and genetic evidence reveal that NSP2, not NSP1, interacts with MYB40 during rhizobial infection to strongly upregulate the symbiotic gene &lt;i&gt;chalcone O-methyltransferase 1&lt;/i&gt; in a manner dependent on MYB40 binding sites. Moreover, the overexpression of &lt;i&gt;MYB40&lt;/i&gt; and a microRNA-resistant &lt;i&gt;NSP2&lt;/i&gt; variant enhances nodulation under suboptimal rhizobial availability, suggesting this module fine-tunes symbiosis efficiency. Additionally, flavonoid regulation by NSP2 and MYB40 appears to facilitate arbuscular mycorrhizal colonization under nutrient starvation. Together, our findings establish an NSP2-MYB40 module that integrates symbiotic signaling with metabolic reprogramming, representing an evolutionary innovation for optimizing nitrogen acquisition in dynamic environments.&lt;/p&gt;","container-title":"Current Biology","DOI":"10.1016/j.cub.2026.01.013","ISSN":"0960-9822","issue":"0","journalAbbreviation":"Current Biology","language":"English","PMID":"41643674","publisher":"Elsevier","source":"www.cell.com","title":"An NSP2-MYB module orchestrates flavonoid biosynthesis and nodule symbiosis","URL":"https://www.cell.com/current-biology/abstract/S0960-9822(26)00013-8","volume":"0","author":[{"family":"Gao","given":"Jin-Peng"},{"family":"Xia","given":"Chongjing"},{"family":"Chiu","given":"Chai Hao"},{"family":"Chen","given":"Qingchao"},{"family":"Jiang","given":"Suyu"},{"family":"Wu","given":"Xiaotian"},{"family":"Liang","given":"Wenjie"},{"family":"Sun","given":"Jongho"},{"family":"Jhu","given":"Min-Yao"},{"family":"Wen","given":"Jiangqi"},{"family":"Wang","given":"Ertao"},{"family":"Murray","given":"Jeremy D."},{"family":"Oldroyd","given":"Giles E. D."}],"accessed":{"date-parts":[["2026",2,17]]},"issued":{"date-parts":[["2026",2,4]]}}}],"schema":"https://github.com/citation-style-language/schema/raw/master/csl-citation.json"}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(78)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w:t>
      </w:r>
      <w:r>
        <w:rPr>
          <w:rFonts w:cs="Times New Roman" w:ascii="Times New Roman" w:hAnsi="Times New Roman"/>
        </w:rPr>
      </w:r>
      <w:commentRangeEnd w:id="10"/>
      <w:r>
        <w:commentReference w:id="10"/>
      </w:r>
      <w:r>
        <w:rPr>
          <w:rFonts w:cs="Times New Roman" w:ascii="Times New Roman" w:hAnsi="Times New Roman"/>
        </w:rPr>
        <w:t xml:space="preserve"> At the same time, host-specific changes were evident. </w:t>
      </w:r>
      <w:r>
        <w:rPr>
          <w:rFonts w:cs="Times New Roman" w:ascii="Times New Roman" w:hAnsi="Times New Roman"/>
          <w:i/>
          <w:iCs/>
        </w:rPr>
        <w:t>Lotus</w:t>
      </w:r>
      <w:r>
        <w:rPr>
          <w:rFonts w:cs="Times New Roman" w:ascii="Times New Roman" w:hAnsi="Times New Roman"/>
        </w:rPr>
        <w:t xml:space="preserve"> mutants showed reduced isoflavonoids, aligning with their established role in rhizobial signalling </w:t>
      </w:r>
      <w:r>
        <w:fldChar w:fldCharType="begin"/>
      </w:r>
      <w:r>
        <w:rPr>
          <w:rFonts w:cs="Times New Roman" w:ascii="Times New Roman" w:hAnsi="Times New Roman"/>
        </w:rPr>
        <w:instrText xml:space="preserve">ADDIN ZOTERO_ITEM CSL_CITATION {"citationID":"GZTlSgXg","properties":{"unsorted":false,"formattedCitation":"(24)","plainCitation":"(24)","noteIndex":0},"citationItems":[{"id":611,"uris":["http://zotero.org/users/16875439/items/FH53YT7M"],"itemData":{"id":611,"type":"article-journal","abstract":"Flavonoids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(24)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whereas </w:t>
      </w:r>
      <w:r>
        <w:rPr>
          <w:rFonts w:cs="Times New Roman" w:ascii="Times New Roman" w:hAnsi="Times New Roman"/>
          <w:i/>
          <w:iCs/>
        </w:rPr>
        <w:t>Hordeum</w:t>
      </w:r>
      <w:r>
        <w:rPr>
          <w:rFonts w:cs="Times New Roman" w:ascii="Times New Roman" w:hAnsi="Times New Roman"/>
        </w:rPr>
        <w:t xml:space="preserve"> mutants displayed differential exudation of gibberellin and abscisic acid, known modulators of AMS signalling, phosphate-dependent symbiosis suppression, and stress responses </w:t>
      </w:r>
      <w:r>
        <w:fldChar w:fldCharType="begin"/>
      </w:r>
      <w:r>
        <w:rPr>
          <w:rFonts w:cs="Times New Roman" w:ascii="Times New Roman" w:hAnsi="Times New Roman"/>
        </w:rPr>
        <w:instrText xml:space="preserve">ADDIN ZOTERO_ITEM CSL_CITATION {"citationID":"70TFRDQ1","properties":{"unsorted":false,"formattedCitation":"(79\\uc0\\u8211{}84)","plainCitation":"(79–84)","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r>
      <w:r>
        <w:rPr>
          <w:rFonts w:cs="Times New Roman" w:ascii="Times New Roman" w:hAnsi="Times New Roman"/>
          <w:kern w:val="0"/>
        </w:rPr>
        <w:t>(79–84)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Together, these findings support a model in which CSSP genes coordinate metabolic flux through signalling and defence pathways, fine-tuning chemical outputs that govern microbial recruitment and activity. Divergent metabolic wiring in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underscores that CSSP regulation of metabolism is host-specific and shaped by evolutionary adaptation.</w:t>
      </w:r>
    </w:p>
    <w:p>
      <w:pPr>
        <w:pStyle w:val="Normal"/>
        <w:spacing w:lineRule="auto" w:line="276"/>
        <w:jc w:val="both"/>
        <w:rPr>
          <w:rFonts w:ascii="Times New Roman" w:hAnsi="Times New Roman" w:cs="Times New Roman"/>
          <w:color w:val="000000" w:themeColor="text1"/>
        </w:rPr>
      </w:pPr>
      <w:r>
        <w:rPr>
          <w:rFonts w:cs="Times New Roman" w:ascii="Times New Roman" w:hAnsi="Times New Roman"/>
          <w:color w:val="000000" w:themeColor="text1"/>
        </w:rPr>
      </w:r>
    </w:p>
    <w:p>
      <w:pPr>
        <w:pStyle w:val="Normal"/>
        <w:spacing w:lineRule="auto" w:line="276"/>
        <w:jc w:val="both"/>
        <w:rPr>
          <w:rFonts w:ascii="Times New Roman" w:hAnsi="Times New Roman" w:cs="Times New Roman"/>
        </w:rPr>
      </w:pPr>
      <w:r>
        <w:rPr>
          <w:rFonts w:cs="Times New Roman" w:ascii="Times New Roman" w:hAnsi="Times New Roman"/>
        </w:rPr>
        <w:t xml:space="preserve">Among CSSP components, CCaMK emerged as a central hub linking symbiosis signalling to broader microbial regulation. CCaMK impairment led to pronounced shifts in root-associated bacterial communities, forming genotype-specific clusters and altering the abundance of specific ASVs. In </w:t>
      </w:r>
      <w:r>
        <w:rPr>
          <w:rFonts w:cs="Times New Roman" w:ascii="Times New Roman" w:hAnsi="Times New Roman"/>
          <w:i/>
          <w:iCs/>
        </w:rPr>
        <w:t>Hordeum</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mutants showed reduced growth in soil and SynCom conditions but grew comparably to wild-type plants under axenic conditions, indicating that CCaMK mediates plant responses to microbial colonisation rather than intrinsic growth. Similar microbe-dependent growth penalties have been observed in AM-defective maize under field conditions </w:t>
      </w:r>
      <w:r>
        <w:fldChar w:fldCharType="begin"/>
      </w:r>
      <w:r>
        <w:rPr>
          <w:rFonts w:cs="Times New Roman" w:ascii="Times New Roman" w:hAnsi="Times New Roman"/>
        </w:rPr>
        <w:instrText xml:space="preserve">ADDIN ZOTERO_ITEM CSL_CITATION {"citationID":"YaCTrSq6","properties":{"unsorted":false,"formattedCitation":"(85)","plainCitation":"(85)","noteIndex":0},"citationItems":[{"id":627,"uris":["http://zotero.org/users/16875439/items/EBSXKHEE"],"itemData":{"id":627,"type":"article-journal","abstract":"Contents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(85)</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These results suggest that CCaMK integrates Ca</w:t>
      </w:r>
      <w:r>
        <w:rPr>
          <w:rFonts w:cs="Times New Roman" w:ascii="Times New Roman" w:hAnsi="Times New Roman"/>
          <w:vertAlign w:val="superscript"/>
        </w:rPr>
        <w:t>2+</w:t>
      </w:r>
      <w:r>
        <w:rPr>
          <w:rFonts w:cs="Times New Roman" w:ascii="Times New Roman" w:hAnsi="Times New Roman"/>
        </w:rPr>
        <w:t xml:space="preserve"> signalling with downstream metabolic outputs to modulate microbial community assembly, balancing colonisation by beneficial microbes while constraining maladaptive interactions. Emerging evidence also links CCaMK to immunity and stress responses, further positioning it as a central regulator of plant-microbe co-regulation </w:t>
      </w:r>
      <w:r>
        <w:fldChar w:fldCharType="begin"/>
      </w:r>
      <w:r>
        <w:rPr>
          <w:rFonts w:cs="Times New Roman" w:ascii="Times New Roman" w:hAnsi="Times New Roman"/>
        </w:rPr>
        <w:instrText xml:space="preserve">ADDIN ZOTERO_ITEM CSL_CITATION {"citationID":"tucpdMrw","properties":{"unsorted":false,"formattedCitation":"(43, 86)","plainCitation":"(43, 86)","noteIndex":0},"citationItems":[{"id":609,"uris":["http://zotero.org/users/16875439/items/3DR3LB7T"],"itemData":{"id":609,"type":"article-journal","abstract":"Nutrient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(43, 86)</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t>Collectively, our findings demonstrate that CSSP genes orchestrate plant growth, root exudation, and microbial community assembly even under complex soil conditions. Beyond mutant studies, natural variation in CSSP genes offers a promising avenue to exploit plant-microbe interactions for agricultural benefit. By understanding how host genetics shape microbial recruitment and nutrient acquisition, it may be possible to select or engineer crops that efficiently harness beneficial microbiomes, even in non-symbiotic contexts. These results highlight that ancient symbiotic signalling pathways modulate broader microbial networks, offering opportunities to improve plant performance, nutrient use efficiency, and resilience through microbiome-informed breeding and management strategies.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Material and Methods</w:t>
      </w:r>
    </w:p>
    <w:p>
      <w:pPr>
        <w:pStyle w:val="Normal"/>
        <w:spacing w:lineRule="auto" w:line="276"/>
        <w:jc w:val="both"/>
        <w:rPr>
          <w:rFonts w:ascii="Times New Roman" w:hAnsi="Times New Roman" w:cs="Times New Roman"/>
          <w:b/>
          <w:b/>
          <w:bCs/>
        </w:rPr>
      </w:pPr>
      <w:r>
        <w:rPr>
          <w:rFonts w:cs="Times New Roman" w:ascii="Times New Roman" w:hAnsi="Times New Roman"/>
          <w:b/>
          <w:bCs/>
        </w:rPr>
        <w:t>Plant material, seed sterilisation and germination</w:t>
      </w:r>
    </w:p>
    <w:p>
      <w:pPr>
        <w:pStyle w:val="Normal"/>
        <w:spacing w:lineRule="auto" w:line="276"/>
        <w:jc w:val="both"/>
        <w:rPr>
          <w:rFonts w:ascii="Times New Roman" w:hAnsi="Times New Roman" w:cs="Times New Roman"/>
        </w:rPr>
      </w:pPr>
      <w:r>
        <w:rPr>
          <w:rFonts w:cs="Times New Roman" w:ascii="Times New Roman" w:hAnsi="Times New Roman"/>
          <w:i/>
          <w:iCs/>
        </w:rPr>
        <w:t>Lotus japonicus</w:t>
      </w:r>
      <w:r>
        <w:rPr>
          <w:rFonts w:cs="Times New Roman" w:ascii="Times New Roman" w:hAnsi="Times New Roman"/>
        </w:rPr>
        <w:t xml:space="preserve"> ecotype Gifu-B129 and </w:t>
      </w:r>
      <w:r>
        <w:rPr>
          <w:rFonts w:cs="Times New Roman" w:ascii="Times New Roman" w:hAnsi="Times New Roman"/>
          <w:i/>
          <w:iCs/>
        </w:rPr>
        <w:t>Hordeum vulgare</w:t>
      </w:r>
      <w:r>
        <w:rPr>
          <w:rFonts w:cs="Times New Roman" w:ascii="Times New Roman" w:hAnsi="Times New Roman"/>
        </w:rPr>
        <w:t xml:space="preserve"> var. Golden Promise were used as wild-type genotypes. Common Symbiosis Signalling Pathway (CSSP) mutants </w:t>
      </w:r>
      <w:r>
        <w:rPr>
          <w:rFonts w:cs="Times New Roman" w:ascii="Times New Roman" w:hAnsi="Times New Roman"/>
          <w:i/>
          <w:iCs/>
        </w:rPr>
        <w:t>symrk-3</w:t>
      </w:r>
      <w:r>
        <w:rPr>
          <w:rFonts w:cs="Times New Roman" w:ascii="Times New Roman" w:hAnsi="Times New Roman"/>
        </w:rPr>
        <w:t xml:space="preserve">, </w:t>
      </w:r>
      <w:r>
        <w:rPr>
          <w:rFonts w:cs="Times New Roman" w:ascii="Times New Roman" w:hAnsi="Times New Roman"/>
          <w:i/>
          <w:iCs/>
        </w:rPr>
        <w:t>ccamk-13</w:t>
      </w:r>
      <w:r>
        <w:rPr>
          <w:rFonts w:cs="Times New Roman" w:ascii="Times New Roman" w:hAnsi="Times New Roman"/>
        </w:rPr>
        <w:t xml:space="preserve">, </w:t>
      </w:r>
      <w:r>
        <w:rPr>
          <w:rFonts w:cs="Times New Roman" w:ascii="Times New Roman" w:hAnsi="Times New Roman"/>
          <w:i/>
          <w:iCs/>
        </w:rPr>
        <w:t>nsp1-1</w:t>
      </w:r>
      <w:r>
        <w:rPr>
          <w:rFonts w:cs="Times New Roman" w:ascii="Times New Roman" w:hAnsi="Times New Roman"/>
        </w:rPr>
        <w:t xml:space="preserve">, and </w:t>
      </w:r>
      <w:r>
        <w:rPr>
          <w:rFonts w:cs="Times New Roman" w:ascii="Times New Roman" w:hAnsi="Times New Roman"/>
          <w:i/>
          <w:iCs/>
        </w:rPr>
        <w:t>nsp2-3</w:t>
      </w:r>
      <w:r>
        <w:rPr>
          <w:rFonts w:cs="Times New Roman" w:ascii="Times New Roman" w:hAnsi="Times New Roman"/>
        </w:rPr>
        <w:t xml:space="preserve"> were used for </w:t>
      </w:r>
      <w:r>
        <w:rPr>
          <w:rFonts w:cs="Times New Roman" w:ascii="Times New Roman" w:hAnsi="Times New Roman"/>
          <w:i/>
          <w:iCs/>
        </w:rPr>
        <w:t>Lotus</w:t>
      </w:r>
      <w:r>
        <w:rPr>
          <w:rFonts w:cs="Times New Roman" w:ascii="Times New Roman" w:hAnsi="Times New Roman"/>
        </w:rPr>
        <w:t xml:space="preserve"> (Aarhus University LORE1 insertion mutant collection in the Gifu-B129 background </w:t>
      </w:r>
      <w:r>
        <w:fldChar w:fldCharType="begin"/>
      </w:r>
      <w:r>
        <w:rPr>
          <w:rFonts w:cs="Times New Roman" w:ascii="Times New Roman" w:hAnsi="Times New Roman"/>
        </w:rPr>
        <w:instrText xml:space="preserve">ADDIN ZOTERO_ITEM CSL_CITATION {"citationID":"sjT24Ti9","properties":{"unsorted":false,"formattedCitation":"(87)","plainCitation":"(87)","noteIndex":0},"citationItems":[{"id":514,"uris":["http://zotero.org/users/16875439/items/H2CTBIHK"],"itemData":{"id":514,"type":"article-journal","abstract":"Long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while CRISPR/Cas9 mutants </w:t>
      </w:r>
      <w:r>
        <w:rPr>
          <w:rFonts w:cs="Times New Roman" w:ascii="Times New Roman" w:hAnsi="Times New Roman"/>
          <w:i/>
          <w:iCs/>
        </w:rPr>
        <w:t>symrk-1</w:t>
      </w:r>
      <w:r>
        <w:rPr>
          <w:rFonts w:cs="Times New Roman" w:ascii="Times New Roman" w:hAnsi="Times New Roman"/>
        </w:rPr>
        <w:t xml:space="preserve">, </w:t>
      </w:r>
      <w:r>
        <w:rPr>
          <w:rFonts w:cs="Times New Roman" w:ascii="Times New Roman" w:hAnsi="Times New Roman"/>
          <w:i/>
          <w:iCs/>
        </w:rPr>
        <w:t>ccamk-1</w:t>
      </w:r>
      <w:r>
        <w:rPr>
          <w:rFonts w:cs="Times New Roman" w:ascii="Times New Roman" w:hAnsi="Times New Roman"/>
        </w:rPr>
        <w:t xml:space="preserve">, </w:t>
      </w:r>
      <w:r>
        <w:rPr>
          <w:rFonts w:cs="Times New Roman" w:ascii="Times New Roman" w:hAnsi="Times New Roman"/>
          <w:i/>
          <w:iCs/>
        </w:rPr>
        <w:t>nsp1-1</w:t>
      </w:r>
      <w:r>
        <w:rPr>
          <w:rFonts w:cs="Times New Roman" w:ascii="Times New Roman" w:hAnsi="Times New Roman"/>
        </w:rPr>
        <w:t xml:space="preserve">, and </w:t>
      </w:r>
      <w:r>
        <w:rPr>
          <w:rFonts w:cs="Times New Roman" w:ascii="Times New Roman" w:hAnsi="Times New Roman"/>
          <w:i/>
          <w:iCs/>
        </w:rPr>
        <w:t>nsp2-1</w:t>
      </w:r>
      <w:r>
        <w:rPr>
          <w:rFonts w:cs="Times New Roman" w:ascii="Times New Roman" w:hAnsi="Times New Roman"/>
        </w:rPr>
        <w:t xml:space="preserve"> were used for </w:t>
      </w:r>
      <w:r>
        <w:rPr>
          <w:rFonts w:cs="Times New Roman" w:ascii="Times New Roman" w:hAnsi="Times New Roman"/>
          <w:i/>
          <w:iCs/>
        </w:rPr>
        <w:t xml:space="preserve">Hordeum </w:t>
      </w:r>
      <w:r>
        <w:fldChar w:fldCharType="begin"/>
      </w:r>
      <w:r>
        <w:rPr>
          <w:i/>
          <w:iCs/>
          <w:rFonts w:cs="Times New Roman" w:ascii="Times New Roman" w:hAnsi="Times New Roman"/>
        </w:rPr>
        <w:instrText xml:space="preserve">ADDIN ZOTERO_ITEM CSL_CITATION {"citationID":"Gc1wWL3s","properties":{"unsorted":false,"formattedCitation":"(50)","plainCitation":"(50)","noteIndex":0},"citationItems":[{"id":509,"uris":["http://zotero.org/users/16875439/items/EMRWXF56"],"itemData":{"id":509,"type":"article-journal","abstract":"Many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w:instrText>
      </w:r>
      <w:r>
        <w:rPr>
          <w:rFonts w:cs="Times New Roman" w:ascii="Times New Roman" w:hAnsi="Times New Roman"/>
          <w:i/>
          <w:iCs/>
        </w:rPr>
      </w:r>
      <w:r>
        <w:rPr>
          <w:i/>
          <w:iCs/>
          <w:rFonts w:cs="Times New Roman" w:ascii="Times New Roman" w:hAnsi="Times New Roman"/>
        </w:rPr>
        <w:fldChar w:fldCharType="separate"/>
      </w:r>
      <w:r>
        <w:rPr>
          <w:rFonts w:cs="Times New Roman" w:ascii="Times New Roman" w:hAnsi="Times New Roman"/>
          <w:i/>
          <w:iCs/>
        </w:rPr>
      </w:r>
      <w:r>
        <w:rPr>
          <w:rFonts w:cs="Times New Roman" w:ascii="Times New Roman" w:hAnsi="Times New Roman"/>
        </w:rPr>
        <w:t>(50)</w:t>
      </w:r>
      <w:r>
        <w:rPr>
          <w:rFonts w:cs="Times New Roman" w:ascii="Times New Roman" w:hAnsi="Times New Roman"/>
          <w:i/>
          <w:iCs/>
        </w:rPr>
      </w:r>
      <w:r>
        <w:rPr>
          <w:i/>
          <w:iCs/>
          <w:rFonts w:cs="Times New Roman" w:ascii="Times New Roman" w:hAnsi="Times New Roman"/>
        </w:rPr>
        <w:fldChar w:fldCharType="end"/>
      </w:r>
      <w:r>
        <w:rPr>
          <w:rFonts w:cs="Times New Roman" w:ascii="Times New Roman" w:hAnsi="Times New Roman"/>
        </w:rPr>
        <w:t xml:space="preserve">. Seeds were surface-sterilised in 4% (v/v) bleach for 5min, followed by five washes with sterile milliQ water. </w:t>
      </w:r>
      <w:r>
        <w:rPr>
          <w:rFonts w:cs="Times New Roman" w:ascii="Times New Roman" w:hAnsi="Times New Roman"/>
          <w:i/>
          <w:iCs/>
        </w:rPr>
        <w:t>Lotus</w:t>
      </w:r>
      <w:r>
        <w:rPr>
          <w:rFonts w:cs="Times New Roman" w:ascii="Times New Roman" w:hAnsi="Times New Roman"/>
        </w:rPr>
        <w:t xml:space="preserve"> seeds were additionally scarified with sandpaper prior to sterilisation and incubated overnight at 4°C with gentle shaking in sterile milliQ. Seeds were germinated on moist filter paper in sterile square Petri dishes for five days (21°C; 14/10h day/night cycle).</w:t>
      </w:r>
    </w:p>
    <w:p>
      <w:pPr>
        <w:pStyle w:val="Normal"/>
        <w:spacing w:lineRule="auto" w:line="276"/>
        <w:jc w:val="both"/>
        <w:rPr>
          <w:rFonts w:ascii="Times New Roman" w:hAnsi="Times New Roman" w:cs="Times New Roman"/>
          <w:highlight w:val="green"/>
        </w:rPr>
      </w:pPr>
      <w:r>
        <w:rPr>
          <w:rFonts w:cs="Times New Roman" w:ascii="Times New Roman" w:hAnsi="Times New Roman"/>
          <w:highlight w:val="green"/>
        </w:rPr>
      </w:r>
    </w:p>
    <w:p>
      <w:pPr>
        <w:pStyle w:val="Normal"/>
        <w:spacing w:lineRule="auto" w:line="276"/>
        <w:jc w:val="both"/>
        <w:rPr>
          <w:rFonts w:ascii="Times New Roman" w:hAnsi="Times New Roman" w:cs="Times New Roman"/>
          <w:b/>
          <w:b/>
          <w:bCs/>
        </w:rPr>
      </w:pPr>
      <w:r>
        <w:rPr>
          <w:rFonts w:cs="Times New Roman" w:ascii="Times New Roman" w:hAnsi="Times New Roman"/>
          <w:b/>
          <w:bCs/>
        </w:rPr>
        <w:t xml:space="preserve">Plant cultivation in Askov soils with different fertilisation regimes </w:t>
      </w:r>
    </w:p>
    <w:p>
      <w:pPr>
        <w:pStyle w:val="Normal"/>
        <w:spacing w:lineRule="auto" w:line="276"/>
        <w:jc w:val="both"/>
        <w:rPr>
          <w:rFonts w:ascii="Times New Roman" w:hAnsi="Times New Roman" w:cs="Times New Roman"/>
        </w:rPr>
      </w:pPr>
      <w:r>
        <w:rPr>
          <w:rFonts w:cs="Times New Roman" w:ascii="Times New Roman" w:hAnsi="Times New Roman"/>
        </w:rPr>
        <w:t xml:space="preserve">Germinated seedlings were transplanted into sterile 4x4x9cm pots containing a bottom layer of autoclaved LECA (2-4mm; 120°C for 20min; 50ml), an upper layer of soil (80ml), and a 1cm top layer of autoclaved fine vermiculite. Three soils from the long-term Askov field study in Denmark were used, collected in 2019 from fields that have received defined fertilisation regimes for 125 years </w:t>
      </w:r>
      <w:r>
        <w:fldChar w:fldCharType="begin"/>
      </w:r>
      <w:r>
        <w:rPr>
          <w:rFonts w:cs="Times New Roman" w:ascii="Times New Roman" w:hAnsi="Times New Roman"/>
        </w:rPr>
        <w:instrText xml:space="preserve">ADDIN ZOTERO_ITEM CSL_CITATION {"citationID":"GZtfSbxN","properties":{"unsorted":false,"formattedCitation":"(60)","plainCitation":"(60)","noteIndex":0},"citationItems":[{"id":511,"uris":["http://zotero.org/users/16875439/items/HBBTIG79"],"itemData":{"id":511,"type":"article-journal","abstract":"Long-term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(60)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These included highly fertilised soil with NPK supplementation (NPK), a nitrogen-deficient soil with PK fertilisation (PK), and an unfertilised soil (UF). Six biological replicates were included per condition. Each replicate consisted of three pots containing one plant per pot for </w:t>
      </w:r>
      <w:r>
        <w:rPr>
          <w:rFonts w:cs="Times New Roman" w:ascii="Times New Roman" w:hAnsi="Times New Roman"/>
          <w:i/>
          <w:iCs/>
        </w:rPr>
        <w:t>Hordeum</w:t>
      </w:r>
      <w:r>
        <w:rPr>
          <w:rFonts w:cs="Times New Roman" w:ascii="Times New Roman" w:hAnsi="Times New Roman"/>
        </w:rPr>
        <w:t xml:space="preserve"> (total n=18) and 10 plants per pot for </w:t>
      </w:r>
      <w:r>
        <w:rPr>
          <w:rFonts w:cs="Times New Roman" w:ascii="Times New Roman" w:hAnsi="Times New Roman"/>
          <w:i/>
          <w:iCs/>
        </w:rPr>
        <w:t xml:space="preserve">Lotus </w:t>
      </w:r>
      <w:r>
        <w:rPr>
          <w:rFonts w:cs="Times New Roman" w:ascii="Times New Roman" w:hAnsi="Times New Roman"/>
        </w:rPr>
        <w:t xml:space="preserve">(total n=60), except for </w:t>
      </w:r>
      <w:r>
        <w:rPr>
          <w:rFonts w:cs="Times New Roman" w:ascii="Times New Roman" w:hAnsi="Times New Roman"/>
          <w:i/>
        </w:rPr>
        <w:t>Lotus</w:t>
      </w:r>
      <w:r>
        <w:rPr>
          <w:rFonts w:cs="Times New Roman" w:ascii="Times New Roman" w:hAnsi="Times New Roman"/>
        </w:rPr>
        <w:t xml:space="preserve"> </w:t>
      </w:r>
      <w:r>
        <w:rPr>
          <w:rFonts w:cs="Times New Roman" w:ascii="Times New Roman" w:hAnsi="Times New Roman"/>
          <w:i/>
        </w:rPr>
        <w:t>symrk-3</w:t>
      </w:r>
      <w:r>
        <w:rPr>
          <w:rFonts w:cs="Times New Roman" w:ascii="Times New Roman" w:hAnsi="Times New Roman"/>
        </w:rPr>
        <w:t xml:space="preserve"> mutants, which contained six plants per pot due to reduced germination rates. Plants were watered with sterile milliQ water and cultivated in growth chambers with </w:t>
      </w:r>
      <w:r>
        <w:rPr>
          <w:rFonts w:cs="Times New Roman" w:ascii="Times New Roman" w:hAnsi="Times New Roman"/>
          <w:i/>
          <w:iCs/>
        </w:rPr>
        <w:t xml:space="preserve">Lotus </w:t>
      </w:r>
      <w:r>
        <w:rPr>
          <w:rFonts w:cs="Times New Roman" w:ascii="Times New Roman" w:hAnsi="Times New Roman"/>
        </w:rPr>
        <w:t>(16/8 day/night hours, 75/75% room humidity day/night, 22/18°C day/night temperature, 200/0μmol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or </w:t>
      </w:r>
      <w:r>
        <w:rPr>
          <w:rFonts w:cs="Times New Roman" w:ascii="Times New Roman" w:hAnsi="Times New Roman"/>
          <w:i/>
          <w:iCs/>
        </w:rPr>
        <w:t>Hordeum</w:t>
      </w:r>
      <w:r>
        <w:rPr>
          <w:rFonts w:cs="Times New Roman" w:ascii="Times New Roman" w:hAnsi="Times New Roman"/>
        </w:rPr>
        <w:t xml:space="preserve"> settings (16/8 day/night hours, 75/80% room humidity day/night, 18/16°C day/night temperatures, 200/0 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for three weeks.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Sample collection and 16S rRNA amplicon sequencing of plants grown in Askov soils</w:t>
      </w:r>
    </w:p>
    <w:p>
      <w:pPr>
        <w:pStyle w:val="Normal"/>
        <w:spacing w:lineRule="auto" w:line="276"/>
        <w:jc w:val="both"/>
        <w:rPr>
          <w:rFonts w:ascii="Times New Roman" w:hAnsi="Times New Roman" w:cs="Times New Roman"/>
        </w:rPr>
      </w:pPr>
      <w:r>
        <w:rPr>
          <w:rFonts w:cs="Times New Roman" w:ascii="Times New Roman" w:hAnsi="Times New Roman"/>
        </w:rPr>
        <w:t xml:space="preserve">The soil block containing plant roots was removed from the pots, and loosely adhering soil was manually removed. Shoots and roots were separated, and shoot fresh weight was recorded. Roots from plants belonging to one biological replicate were pooled and washed five times in sterile milliQ water by vigorous manual shaking for 30sec. ‘Rhizosphere’ samples were obtained from pellets collected after centrifugation of the first wash solution (15min at 4,000 x </w:t>
      </w:r>
      <w:r>
        <w:rPr>
          <w:rFonts w:cs="Times New Roman" w:ascii="Times New Roman" w:hAnsi="Times New Roman"/>
          <w:i/>
          <w:iCs/>
        </w:rPr>
        <w:t>g</w:t>
      </w:r>
      <w:r>
        <w:rPr>
          <w:rFonts w:cs="Times New Roman" w:ascii="Times New Roman" w:hAnsi="Times New Roman"/>
        </w:rPr>
        <w:t xml:space="preserve">). For </w:t>
      </w:r>
      <w:r>
        <w:rPr>
          <w:rFonts w:cs="Times New Roman" w:ascii="Times New Roman" w:hAnsi="Times New Roman"/>
          <w:i/>
          <w:iCs/>
        </w:rPr>
        <w:t xml:space="preserve">Lotus </w:t>
      </w:r>
      <w:r>
        <w:rPr>
          <w:rFonts w:cs="Times New Roman" w:ascii="Times New Roman" w:hAnsi="Times New Roman"/>
        </w:rPr>
        <w:t xml:space="preserve">wild-type plants, nodules were excised using scalpels and collected as separate ‘nodule’ fraction. Roots were blotted dry using sterile filter paper, cut into 1cm pieces, and collected as the ‘root’ fraction. Bulk soil samples were obtained from unplanted pots. </w:t>
      </w:r>
      <w:r>
        <w:rPr>
          <w:rFonts w:cs="Times New Roman" w:ascii="Times New Roman" w:hAnsi="Times New Roman"/>
          <w:i/>
          <w:iCs/>
        </w:rPr>
        <w:t xml:space="preserve">Lotus </w:t>
      </w:r>
      <w:r>
        <w:rPr>
          <w:rFonts w:cs="Times New Roman" w:ascii="Times New Roman" w:hAnsi="Times New Roman"/>
        </w:rPr>
        <w:t xml:space="preserve">root samples were stored in sterile 15ml tubes and </w:t>
      </w:r>
      <w:r>
        <w:rPr>
          <w:rFonts w:cs="Times New Roman" w:ascii="Times New Roman" w:hAnsi="Times New Roman"/>
          <w:i/>
          <w:iCs/>
        </w:rPr>
        <w:t>Hordeum</w:t>
      </w:r>
      <w:r>
        <w:rPr>
          <w:rFonts w:cs="Times New Roman" w:ascii="Times New Roman" w:hAnsi="Times New Roman"/>
        </w:rPr>
        <w:t xml:space="preserve"> root samples in 15ml Precellys tubes containing a single 1x1cm ceramic bead. Rhizosphere and bulk soil samples were transferred to tubes of of the Fast DNA Spin Kit for Soil (MP Biomedicals), snap-frozen in liquid nitrogen, and stored at -70°C until further processing. </w:t>
      </w:r>
    </w:p>
    <w:p>
      <w:pPr>
        <w:pStyle w:val="Normal"/>
        <w:spacing w:lineRule="auto" w:line="276"/>
        <w:jc w:val="both"/>
        <w:rPr>
          <w:rFonts w:ascii="Times New Roman" w:hAnsi="Times New Roman" w:cs="Times New Roman"/>
        </w:rPr>
      </w:pPr>
      <w:r>
        <w:rPr>
          <w:rFonts w:cs="Times New Roman" w:ascii="Times New Roman" w:hAnsi="Times New Roman"/>
          <w:i/>
          <w:iCs/>
        </w:rPr>
        <w:t xml:space="preserve">Lotus </w:t>
      </w:r>
      <w:r>
        <w:rPr>
          <w:rFonts w:cs="Times New Roman" w:ascii="Times New Roman" w:hAnsi="Times New Roman"/>
        </w:rPr>
        <w:t xml:space="preserve">root samples were homogenised by vortexing until a fine powder was obtained. </w:t>
      </w:r>
      <w:r>
        <w:rPr>
          <w:rFonts w:cs="Times New Roman" w:ascii="Times New Roman" w:hAnsi="Times New Roman"/>
          <w:i/>
          <w:iCs/>
        </w:rPr>
        <w:t>Hordeum</w:t>
      </w:r>
      <w:r>
        <w:rPr>
          <w:rFonts w:cs="Times New Roman" w:ascii="Times New Roman" w:hAnsi="Times New Roman"/>
        </w:rPr>
        <w:t xml:space="preserve"> roots were homogenised using a Precellys Homogeniser (Bertin Technologies) for 30sec at 6200rpm, repeated if necessary. A subset of homogenised root material was transferred to Fast DNA Spin Kit for Soil tubes (MP Biomedicals), and DNA was extracted according to the manufacturer’s protocol. DNA concentrations were determined using Quant-iT PicoGreen dsDNA assay kit (Life Technologies) and adjusted to 3.5ng/μl. Library preparation and sequencing were performed separately for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Hordeum</w:t>
      </w:r>
      <w:r>
        <w:rPr>
          <w:rFonts w:cs="Times New Roman" w:ascii="Times New Roman" w:hAnsi="Times New Roman"/>
        </w:rPr>
        <w:t xml:space="preserve"> samples. Primers targeting the V5</w:t>
      </w:r>
      <w:r>
        <w:rPr>
          <w:rFonts w:cs="Times New Roman" w:ascii="Times New Roman" w:hAnsi="Times New Roman"/>
          <w:b/>
          <w:bCs/>
        </w:rPr>
        <w:t>-</w:t>
      </w:r>
      <w:r>
        <w:rPr>
          <w:rFonts w:cs="Times New Roman" w:ascii="Times New Roman" w:hAnsi="Times New Roman"/>
        </w:rPr>
        <w:t>V7 region of the bacterial 16S rRNA gene (</w:t>
      </w:r>
      <w:r>
        <w:rPr>
          <w:rFonts w:cs="Times New Roman" w:ascii="Times New Roman" w:hAnsi="Times New Roman"/>
          <w:i/>
          <w:iCs/>
        </w:rPr>
        <w:t>Lotus</w:t>
      </w:r>
      <w:r>
        <w:rPr>
          <w:rFonts w:cs="Times New Roman" w:ascii="Times New Roman" w:hAnsi="Times New Roman"/>
        </w:rPr>
        <w:t xml:space="preserve"> library: 799F AACMGGATTAGATACCCKG, 1192R ACGTCATCCCCACCTTCC; </w:t>
      </w:r>
      <w:r>
        <w:rPr>
          <w:rFonts w:cs="Times New Roman" w:ascii="Times New Roman" w:hAnsi="Times New Roman"/>
          <w:i/>
          <w:iCs/>
        </w:rPr>
        <w:t>Hordeum</w:t>
      </w:r>
      <w:r>
        <w:rPr>
          <w:rFonts w:cs="Times New Roman" w:ascii="Times New Roman" w:hAnsi="Times New Roman"/>
        </w:rPr>
        <w:t xml:space="preserve"> library: </w:t>
      </w:r>
      <w:r>
        <w:rPr>
          <w:rFonts w:cs="Times New Roman" w:ascii="Times New Roman" w:hAnsi="Times New Roman"/>
          <w:color w:val="000000" w:themeColor="text1"/>
        </w:rPr>
        <w:t xml:space="preserve">799F TCGTCGGCAGCGTCAGATGTGTATAAGAGACAGAACMGGATTAGATACCCKG, 1192R </w:t>
      </w:r>
      <w:r>
        <w:rPr>
          <w:rFonts w:cs="Times New Roman" w:ascii="Times New Roman" w:hAnsi="Times New Roman"/>
        </w:rPr>
        <w:t>GTCTCGTGGGCTCGGAGATG-TGTATAAGAGACAGACGTCATCCCCACCTTCC</w:t>
      </w:r>
      <w:r>
        <w:rPr>
          <w:rFonts w:cs="Times New Roman" w:ascii="Times New Roman" w:hAnsi="Times New Roman"/>
          <w:color w:val="000000" w:themeColor="text1"/>
        </w:rPr>
        <w:t xml:space="preserve">) were used in </w:t>
      </w:r>
      <w:r>
        <w:rPr>
          <w:rFonts w:cs="Times New Roman" w:ascii="Times New Roman" w:hAnsi="Times New Roman"/>
        </w:rPr>
        <w:t>an initial PCR followed by a second PCR using unique barcoded primers with Illumina MiSeq (</w:t>
      </w:r>
      <w:r>
        <w:rPr>
          <w:rFonts w:cs="Times New Roman" w:ascii="Times New Roman" w:hAnsi="Times New Roman"/>
          <w:i/>
          <w:iCs/>
        </w:rPr>
        <w:t>Lotus</w:t>
      </w:r>
      <w:r>
        <w:rPr>
          <w:rFonts w:cs="Times New Roman" w:ascii="Times New Roman" w:hAnsi="Times New Roman"/>
        </w:rPr>
        <w:t>) or NovaSeq (</w:t>
      </w:r>
      <w:r>
        <w:rPr>
          <w:rFonts w:cs="Times New Roman" w:ascii="Times New Roman" w:hAnsi="Times New Roman"/>
          <w:i/>
          <w:iCs/>
        </w:rPr>
        <w:t>Hordeum</w:t>
      </w:r>
      <w:r>
        <w:rPr>
          <w:rFonts w:cs="Times New Roman" w:ascii="Times New Roman" w:hAnsi="Times New Roman"/>
        </w:rPr>
        <w:t xml:space="preserve">) adapters for individual samples. For </w:t>
      </w:r>
      <w:r>
        <w:rPr>
          <w:rFonts w:cs="Times New Roman" w:ascii="Times New Roman" w:hAnsi="Times New Roman"/>
          <w:i/>
          <w:iCs/>
        </w:rPr>
        <w:t xml:space="preserve">Lotus </w:t>
      </w:r>
      <w:r>
        <w:rPr>
          <w:rFonts w:cs="Times New Roman" w:ascii="Times New Roman" w:hAnsi="Times New Roman"/>
        </w:rPr>
        <w:t xml:space="preserve">samples, synthetic spike-in DNA (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 copies) was included in PCR1, but excluded from downstream analyses. Amplicons were purified, pooled, size-selected by gel electrophoresis, and extracted using the Nucleospin Gel and PCR Clean-up Kit (Macherey-Nagel). Libraries were concentrated using AMPure XP beads (Beckman Coulter), quantified using Qubit dsDNA HS and BR Assay Kit (Thermo Fisher Scientific), and sequenced on Illumina MiSeq (Genewiz) for </w:t>
      </w:r>
      <w:r>
        <w:rPr>
          <w:rFonts w:cs="Times New Roman" w:ascii="Times New Roman" w:hAnsi="Times New Roman"/>
          <w:i/>
          <w:iCs/>
        </w:rPr>
        <w:t xml:space="preserve">Lotus </w:t>
      </w:r>
      <w:r>
        <w:rPr>
          <w:rFonts w:cs="Times New Roman" w:ascii="Times New Roman" w:hAnsi="Times New Roman"/>
        </w:rPr>
        <w:t xml:space="preserve">or NovaSeq (Novogene) platforms for </w:t>
      </w:r>
      <w:r>
        <w:rPr>
          <w:rFonts w:cs="Times New Roman" w:ascii="Times New Roman" w:hAnsi="Times New Roman"/>
          <w:i/>
          <w:iCs/>
        </w:rPr>
        <w:t>Hordeum</w:t>
      </w:r>
      <w:r>
        <w:rPr>
          <w:rFonts w:cs="Times New Roman" w:ascii="Times New Roman" w:hAnsi="Times New Roman"/>
        </w:rPr>
        <w:t xml:space="preserve"> samples.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highlight w:val="green"/>
        </w:rPr>
      </w:pPr>
      <w:r>
        <w:rPr>
          <w:rFonts w:cs="Times New Roman" w:ascii="Times New Roman" w:hAnsi="Times New Roman"/>
          <w:b/>
          <w:bCs/>
        </w:rPr>
        <w:t xml:space="preserve">Plant cultivation in gnotobiotic systems supplied with synthetic bacterial communities </w:t>
      </w:r>
      <w:r>
        <w:rPr>
          <w:rFonts w:cs="Times New Roman" w:ascii="Times New Roman" w:hAnsi="Times New Roman"/>
        </w:rPr>
        <w:t xml:space="preserve">Two independent gnotobiotic reconstitution experiments were performed. </w:t>
      </w:r>
      <w:r>
        <w:rPr>
          <w:rFonts w:cs="Times New Roman" w:ascii="Times New Roman" w:hAnsi="Times New Roman"/>
          <w:i/>
          <w:iCs/>
          <w:color w:val="000000" w:themeColor="text1"/>
        </w:rPr>
        <w:t>Lotus</w:t>
      </w:r>
      <w:r>
        <w:rPr>
          <w:rFonts w:cs="Times New Roman" w:ascii="Times New Roman" w:hAnsi="Times New Roman"/>
          <w:color w:val="000000" w:themeColor="text1"/>
        </w:rPr>
        <w:t xml:space="preserve"> seedlings were cultivated in a closed system of autoclaved magenta boxes filled with a sterile 5:2 mixture of autoclaved LECA and baked sand (overnight at 200°C), topped with a 1cm layer of autoclaved fine vermiculite. For each genotype, four biological replicates were included, each consisting of 25 seedlings per box (total n=100). Plants were supplied with low-nitrogen, low-phosphorus Long Ashton medium (0.75mM MgSO</w:t>
      </w:r>
      <w:r>
        <w:rPr>
          <w:rFonts w:cs="Times New Roman" w:ascii="Times New Roman" w:hAnsi="Times New Roman"/>
          <w:color w:val="000000" w:themeColor="text1"/>
          <w:position w:val="-2"/>
        </w:rPr>
        <w:t>4</w:t>
      </w:r>
      <w:r>
        <w:rPr>
          <w:rFonts w:cs="Times New Roman" w:ascii="Times New Roman" w:hAnsi="Times New Roman"/>
          <w:color w:val="000000" w:themeColor="text1"/>
        </w:rPr>
        <w:t>x7H</w:t>
      </w:r>
      <w:r>
        <w:rPr>
          <w:rFonts w:cs="Times New Roman" w:ascii="Times New Roman" w:hAnsi="Times New Roman"/>
          <w:color w:val="000000" w:themeColor="text1"/>
          <w:position w:val="-2"/>
        </w:rPr>
        <w:t>2</w:t>
      </w:r>
      <w:r>
        <w:rPr>
          <w:rFonts w:cs="Times New Roman" w:ascii="Times New Roman" w:hAnsi="Times New Roman"/>
          <w:color w:val="000000" w:themeColor="text1"/>
        </w:rPr>
        <w:t>0, 1mM NaNO</w:t>
      </w:r>
      <w:r>
        <w:rPr>
          <w:rFonts w:cs="Times New Roman" w:ascii="Times New Roman" w:hAnsi="Times New Roman"/>
          <w:color w:val="000000" w:themeColor="text1"/>
          <w:position w:val="-2"/>
        </w:rPr>
        <w:t>3</w:t>
      </w:r>
      <w:r>
        <w:rPr>
          <w:rFonts w:cs="Times New Roman" w:ascii="Times New Roman" w:hAnsi="Times New Roman"/>
          <w:color w:val="000000" w:themeColor="text1"/>
        </w:rPr>
        <w:t>, 1mM K</w:t>
      </w:r>
      <w:r>
        <w:rPr>
          <w:rFonts w:cs="Times New Roman" w:ascii="Times New Roman" w:hAnsi="Times New Roman"/>
          <w:color w:val="000000" w:themeColor="text1"/>
          <w:position w:val="-2"/>
        </w:rPr>
        <w:t>2</w:t>
      </w:r>
      <w:r>
        <w:rPr>
          <w:rFonts w:cs="Times New Roman" w:ascii="Times New Roman" w:hAnsi="Times New Roman"/>
          <w:color w:val="000000" w:themeColor="text1"/>
        </w:rPr>
        <w:t>SO</w:t>
      </w:r>
      <w:r>
        <w:rPr>
          <w:rFonts w:cs="Times New Roman" w:ascii="Times New Roman" w:hAnsi="Times New Roman"/>
          <w:color w:val="000000" w:themeColor="text1"/>
          <w:position w:val="-2"/>
        </w:rPr>
        <w:t>4</w:t>
      </w:r>
      <w:r>
        <w:rPr>
          <w:rFonts w:cs="Times New Roman" w:ascii="Times New Roman" w:hAnsi="Times New Roman"/>
          <w:color w:val="000000" w:themeColor="text1"/>
        </w:rPr>
        <w:t>, 2mM CaCl</w:t>
      </w:r>
      <w:r>
        <w:rPr>
          <w:rFonts w:cs="Times New Roman" w:ascii="Times New Roman" w:hAnsi="Times New Roman"/>
          <w:color w:val="000000" w:themeColor="text1"/>
          <w:position w:val="-2"/>
        </w:rPr>
        <w:t>2</w:t>
      </w:r>
      <w:r>
        <w:rPr>
          <w:rFonts w:cs="Times New Roman" w:ascii="Times New Roman" w:hAnsi="Times New Roman"/>
          <w:color w:val="000000" w:themeColor="text1"/>
        </w:rPr>
        <w:t>x2H</w:t>
      </w:r>
      <w:r>
        <w:rPr>
          <w:rFonts w:cs="Times New Roman" w:ascii="Times New Roman" w:hAnsi="Times New Roman"/>
          <w:color w:val="000000" w:themeColor="text1"/>
          <w:position w:val="-2"/>
        </w:rPr>
        <w:t>2</w:t>
      </w:r>
      <w:r>
        <w:rPr>
          <w:rFonts w:cs="Times New Roman" w:ascii="Times New Roman" w:hAnsi="Times New Roman"/>
          <w:color w:val="000000" w:themeColor="text1"/>
        </w:rPr>
        <w:t>O, 0.0032mM Na</w:t>
      </w:r>
      <w:r>
        <w:rPr>
          <w:rFonts w:cs="Times New Roman" w:ascii="Times New Roman" w:hAnsi="Times New Roman"/>
          <w:color w:val="000000" w:themeColor="text1"/>
          <w:position w:val="-2"/>
        </w:rPr>
        <w:t>2</w:t>
      </w:r>
      <w:r>
        <w:rPr>
          <w:rFonts w:cs="Times New Roman" w:ascii="Times New Roman" w:hAnsi="Times New Roman"/>
          <w:color w:val="000000" w:themeColor="text1"/>
        </w:rPr>
        <w:t>HPO</w:t>
      </w:r>
      <w:r>
        <w:rPr>
          <w:rFonts w:cs="Times New Roman" w:ascii="Times New Roman" w:hAnsi="Times New Roman"/>
          <w:color w:val="000000" w:themeColor="text1"/>
          <w:position w:val="-2"/>
        </w:rPr>
        <w:t>4</w:t>
      </w:r>
      <w:r>
        <w:rPr>
          <w:rFonts w:cs="Times New Roman" w:ascii="Times New Roman" w:hAnsi="Times New Roman"/>
          <w:color w:val="000000" w:themeColor="text1"/>
        </w:rPr>
        <w:t>, 5μM MnSO</w:t>
      </w:r>
      <w:r>
        <w:rPr>
          <w:rFonts w:cs="Times New Roman" w:ascii="Times New Roman" w:hAnsi="Times New Roman"/>
          <w:color w:val="000000" w:themeColor="text1"/>
          <w:position w:val="-2"/>
        </w:rPr>
        <w:t>4</w:t>
      </w:r>
      <w:r>
        <w:rPr>
          <w:rFonts w:cs="Times New Roman" w:ascii="Times New Roman" w:hAnsi="Times New Roman"/>
          <w:color w:val="000000" w:themeColor="text1"/>
        </w:rPr>
        <w:t>, 0.25μM CuSO</w:t>
      </w:r>
      <w:r>
        <w:rPr>
          <w:rFonts w:cs="Times New Roman" w:ascii="Times New Roman" w:hAnsi="Times New Roman"/>
          <w:color w:val="000000" w:themeColor="text1"/>
          <w:position w:val="-2"/>
        </w:rPr>
        <w:t>4</w:t>
      </w:r>
      <w:r>
        <w:rPr>
          <w:rFonts w:cs="Times New Roman" w:ascii="Times New Roman" w:hAnsi="Times New Roman"/>
          <w:color w:val="000000" w:themeColor="text1"/>
        </w:rPr>
        <w:t>x5H</w:t>
      </w:r>
      <w:r>
        <w:rPr>
          <w:rFonts w:cs="Times New Roman" w:ascii="Times New Roman" w:hAnsi="Times New Roman"/>
          <w:color w:val="000000" w:themeColor="text1"/>
          <w:position w:val="-2"/>
        </w:rPr>
        <w:t>2</w:t>
      </w:r>
      <w:r>
        <w:rPr>
          <w:rFonts w:cs="Times New Roman" w:ascii="Times New Roman" w:hAnsi="Times New Roman"/>
          <w:color w:val="000000" w:themeColor="text1"/>
        </w:rPr>
        <w:t>O, 0.5μM ZnSO</w:t>
      </w:r>
      <w:r>
        <w:rPr>
          <w:rFonts w:cs="Times New Roman" w:ascii="Times New Roman" w:hAnsi="Times New Roman"/>
          <w:color w:val="000000" w:themeColor="text1"/>
          <w:position w:val="-2"/>
        </w:rPr>
        <w:t>4</w:t>
      </w:r>
      <w:r>
        <w:rPr>
          <w:rFonts w:cs="Times New Roman" w:ascii="Times New Roman" w:hAnsi="Times New Roman"/>
          <w:color w:val="000000" w:themeColor="text1"/>
        </w:rPr>
        <w:t>x7H</w:t>
      </w:r>
      <w:r>
        <w:rPr>
          <w:rFonts w:cs="Times New Roman" w:ascii="Times New Roman" w:hAnsi="Times New Roman"/>
          <w:color w:val="000000" w:themeColor="text1"/>
          <w:position w:val="-2"/>
        </w:rPr>
        <w:t>2</w:t>
      </w:r>
      <w:r>
        <w:rPr>
          <w:rFonts w:cs="Times New Roman" w:ascii="Times New Roman" w:hAnsi="Times New Roman"/>
          <w:color w:val="000000" w:themeColor="text1"/>
        </w:rPr>
        <w:t>O, 25μM H</w:t>
      </w:r>
      <w:r>
        <w:rPr>
          <w:rFonts w:cs="Times New Roman" w:ascii="Times New Roman" w:hAnsi="Times New Roman"/>
          <w:color w:val="000000" w:themeColor="text1"/>
          <w:position w:val="-2"/>
        </w:rPr>
        <w:t>3</w:t>
      </w:r>
      <w:r>
        <w:rPr>
          <w:rFonts w:cs="Times New Roman" w:ascii="Times New Roman" w:hAnsi="Times New Roman"/>
          <w:color w:val="000000" w:themeColor="text1"/>
        </w:rPr>
        <w:t>BO</w:t>
      </w:r>
      <w:r>
        <w:rPr>
          <w:rFonts w:cs="Times New Roman" w:ascii="Times New Roman" w:hAnsi="Times New Roman"/>
          <w:color w:val="000000" w:themeColor="text1"/>
          <w:position w:val="-2"/>
        </w:rPr>
        <w:t>3</w:t>
      </w:r>
      <w:r>
        <w:rPr>
          <w:rFonts w:cs="Times New Roman" w:ascii="Times New Roman" w:hAnsi="Times New Roman"/>
          <w:color w:val="000000" w:themeColor="text1"/>
        </w:rPr>
        <w:t>, 0.1μM Na</w:t>
      </w:r>
      <w:r>
        <w:rPr>
          <w:rFonts w:cs="Times New Roman" w:ascii="Times New Roman" w:hAnsi="Times New Roman"/>
          <w:color w:val="000000" w:themeColor="text1"/>
          <w:position w:val="-2"/>
        </w:rPr>
        <w:t>2</w:t>
      </w:r>
      <w:r>
        <w:rPr>
          <w:rFonts w:cs="Times New Roman" w:ascii="Times New Roman" w:hAnsi="Times New Roman"/>
          <w:color w:val="000000" w:themeColor="text1"/>
        </w:rPr>
        <w:t>MoO</w:t>
      </w:r>
      <w:r>
        <w:rPr>
          <w:rFonts w:cs="Times New Roman" w:ascii="Times New Roman" w:hAnsi="Times New Roman"/>
          <w:color w:val="000000" w:themeColor="text1"/>
          <w:position w:val="-2"/>
        </w:rPr>
        <w:t>4</w:t>
      </w:r>
      <w:r>
        <w:rPr>
          <w:rFonts w:cs="Times New Roman" w:ascii="Times New Roman" w:hAnsi="Times New Roman"/>
          <w:color w:val="000000" w:themeColor="text1"/>
        </w:rPr>
        <w:t>x2H</w:t>
      </w:r>
      <w:r>
        <w:rPr>
          <w:rFonts w:cs="Times New Roman" w:ascii="Times New Roman" w:hAnsi="Times New Roman"/>
          <w:color w:val="000000" w:themeColor="text1"/>
          <w:position w:val="-2"/>
        </w:rPr>
        <w:t>2</w:t>
      </w:r>
      <w:r>
        <w:rPr>
          <w:rFonts w:cs="Times New Roman" w:ascii="Times New Roman" w:hAnsi="Times New Roman"/>
          <w:color w:val="000000" w:themeColor="text1"/>
        </w:rPr>
        <w:t xml:space="preserve">O, 25μM Fe-EDTA, pH 6.8) and cultivated for four weeks at </w:t>
      </w:r>
      <w:r>
        <w:rPr>
          <w:rFonts w:cs="Times New Roman" w:ascii="Times New Roman" w:hAnsi="Times New Roman"/>
        </w:rPr>
        <w:t>21°C, 16/8 day/night hours, 100/0 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One day after planting, plants were inoculated with the Lj-SPHERE bacterial culture collection </w:t>
      </w:r>
      <w:r>
        <w:fldChar w:fldCharType="begin"/>
      </w:r>
      <w:r>
        <w:rPr>
          <w:rFonts w:cs="Times New Roman" w:ascii="Times New Roman" w:hAnsi="Times New Roman"/>
        </w:rPr>
        <w:instrText xml:space="preserve">ADDIN ZOTERO_ITEM CSL_CITATION {"citationID":"iauNtTuE","properties":{"unsorted":false,"formattedCitation":"(88)","plainCitation":"(88)","noteIndex":0},"citationItems":[{"id":517,"uris":["http://zotero.org/users/16875439/items/PE2SFT8E"],"itemData":{"id":517,"type":"article-journal","abstract":"Roots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t>
      </w:r>
      <w:r>
        <w:rPr>
          <w:rFonts w:cs="Times New Roman" w:ascii="Times New Roman" w:hAnsi="Times New Roman"/>
          <w:highlight w:val="magenta"/>
        </w:rPr>
        <w:t>Suppl. Table 8</w:t>
      </w:r>
      <w:r>
        <w:rPr>
          <w:rFonts w:cs="Times New Roman" w:ascii="Times New Roman" w:hAnsi="Times New Roman"/>
        </w:rPr>
        <w:t>). Individual cultures were pooled in equal proportions based on OD</w:t>
      </w:r>
      <w:r>
        <w:rPr>
          <w:rFonts w:cs="Times New Roman" w:ascii="Times New Roman" w:hAnsi="Times New Roman"/>
          <w:vertAlign w:val="subscript"/>
        </w:rPr>
        <w:t>600</w:t>
      </w:r>
      <w:r>
        <w:rPr>
          <w:rFonts w:cs="Times New Roman" w:ascii="Times New Roman" w:hAnsi="Times New Roman"/>
        </w:rPr>
        <w:t xml:space="preserve"> measurements, diluted to a final OD</w:t>
      </w:r>
      <w:r>
        <w:rPr>
          <w:rFonts w:cs="Times New Roman" w:ascii="Times New Roman" w:hAnsi="Times New Roman"/>
          <w:vertAlign w:val="subscript"/>
        </w:rPr>
        <w:t>600</w:t>
      </w:r>
      <w:r>
        <w:rPr>
          <w:rFonts w:cs="Times New Roman" w:ascii="Times New Roman" w:hAnsi="Times New Roman"/>
        </w:rPr>
        <w:t xml:space="preserve"> 0.02, and 3ml of inoculum were added per box.</w:t>
      </w:r>
      <w:r>
        <w:rPr>
          <w:rFonts w:cs="Times New Roman" w:ascii="Times New Roman" w:hAnsi="Times New Roman"/>
          <w:b/>
          <w:bCs/>
        </w:rPr>
        <w:t xml:space="preserve"> </w:t>
      </w:r>
      <w:r>
        <w:rPr>
          <w:rFonts w:cs="Times New Roman" w:ascii="Times New Roman" w:hAnsi="Times New Roman"/>
        </w:rPr>
        <w:t xml:space="preserve">For </w:t>
      </w:r>
      <w:r>
        <w:rPr>
          <w:rFonts w:cs="Times New Roman" w:ascii="Times New Roman" w:hAnsi="Times New Roman"/>
          <w:i/>
          <w:iCs/>
        </w:rPr>
        <w:t>Hordeum</w:t>
      </w:r>
      <w:r>
        <w:rPr>
          <w:rFonts w:cs="Times New Roman" w:ascii="Times New Roman" w:hAnsi="Times New Roman"/>
        </w:rPr>
        <w:t>, seedlings were planted in sterile 4x4x9cm pots containing a sterile 5:2 LECA/sand mixture and a top layer of autoclaved vermiculite. Six biological replicates were included per genotype, each consisting of three pots with one plant per pot (total n=18). Plants were supplied with Long Ashton medium and cultivated for three weeks in growth chambers with 16/8 day/night hours, 75/80% room humidity day/night, 22/18°C day/night temperatures, and 200/0μmol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rPr>
        <w:t xml:space="preserve"> light density day/night settings. </w:t>
      </w:r>
      <w:commentRangeStart w:id="11"/>
      <w:r>
        <w:rPr>
          <w:rFonts w:cs="Times New Roman" w:ascii="Times New Roman" w:hAnsi="Times New Roman"/>
        </w:rPr>
        <w:t xml:space="preserve">One day after planting, a </w:t>
      </w:r>
      <w:r>
        <w:rPr>
          <w:rFonts w:cs="Times New Roman" w:ascii="Times New Roman" w:hAnsi="Times New Roman"/>
          <w:i/>
          <w:iCs/>
        </w:rPr>
        <w:t>Hordeum</w:t>
      </w:r>
      <w:r>
        <w:rPr>
          <w:rFonts w:cs="Times New Roman" w:ascii="Times New Roman" w:hAnsi="Times New Roman"/>
        </w:rPr>
        <w:t xml:space="preserve">-derived bacterial culture collection (Plant Molecular Biology Group, Aarhus University, DK, unpublished, </w:t>
      </w:r>
      <w:r>
        <w:rPr>
          <w:rFonts w:cs="Times New Roman" w:ascii="Times New Roman" w:hAnsi="Times New Roman"/>
          <w:highlight w:val="magenta"/>
        </w:rPr>
        <w:t>Suppl. Table 9</w:t>
      </w:r>
      <w:r>
        <w:rPr>
          <w:rFonts w:cs="Times New Roman" w:ascii="Times New Roman" w:hAnsi="Times New Roman"/>
        </w:rPr>
        <w:t>)</w:t>
      </w:r>
      <w:r>
        <w:rPr>
          <w:rFonts w:cs="Times New Roman" w:ascii="Times New Roman" w:hAnsi="Times New Roman"/>
        </w:rPr>
      </w:r>
      <w:commentRangeEnd w:id="11"/>
      <w:r>
        <w:commentReference w:id="11"/>
      </w:r>
      <w:r>
        <w:rPr>
          <w:rFonts w:cs="Times New Roman" w:ascii="Times New Roman" w:hAnsi="Times New Roman"/>
        </w:rPr>
        <w:t xml:space="preserve"> was applied as inoculum (final OD</w:t>
      </w:r>
      <w:r>
        <w:rPr>
          <w:rFonts w:cs="Times New Roman" w:ascii="Times New Roman" w:hAnsi="Times New Roman"/>
          <w:vertAlign w:val="subscript"/>
        </w:rPr>
        <w:t>600</w:t>
      </w:r>
      <w:r>
        <w:rPr>
          <w:rFonts w:cs="Times New Roman" w:ascii="Times New Roman" w:hAnsi="Times New Roman"/>
        </w:rPr>
        <w:t xml:space="preserve">=0.01; 3ml per pot). In addition, plants were incoulated with AM fungi on the day of planting by applying 1ml of </w:t>
      </w:r>
      <w:r>
        <w:rPr>
          <w:rFonts w:cs="Times New Roman" w:ascii="Times New Roman" w:hAnsi="Times New Roman"/>
          <w:i/>
          <w:iCs/>
        </w:rPr>
        <w:t xml:space="preserve">Rhizophagus irregularis </w:t>
      </w:r>
      <w:r>
        <w:rPr>
          <w:rFonts w:cs="Times New Roman" w:ascii="Times New Roman" w:hAnsi="Times New Roman"/>
        </w:rPr>
        <w:t>spores (400 spores per ml, washed twice with Long Ashton medium; Agro Nutrition) 1cm below the soil surface near the roots.</w:t>
      </w:r>
    </w:p>
    <w:p>
      <w:pPr>
        <w:pStyle w:val="Normal"/>
        <w:spacing w:lineRule="auto" w:line="276"/>
        <w:jc w:val="both"/>
        <w:rPr>
          <w:rFonts w:ascii="Times New Roman" w:hAnsi="Times New Roman" w:cs="Times New Roman"/>
          <w:highlight w:val="green"/>
        </w:rPr>
      </w:pPr>
      <w:r>
        <w:rPr>
          <w:rFonts w:cs="Times New Roman" w:ascii="Times New Roman" w:hAnsi="Times New Roman"/>
          <w:highlight w:val="green"/>
        </w:rPr>
      </w:r>
    </w:p>
    <w:p>
      <w:pPr>
        <w:pStyle w:val="NormalWeb"/>
        <w:spacing w:lineRule="auto" w:line="276" w:beforeAutospacing="0" w:before="0" w:afterAutospacing="0" w:after="0"/>
        <w:jc w:val="both"/>
        <w:rPr/>
      </w:pPr>
      <w:r>
        <w:rPr>
          <w:b/>
          <w:bCs/>
          <w:i/>
          <w:iCs/>
        </w:rPr>
        <w:t>Hordeum</w:t>
      </w:r>
      <w:r>
        <w:rPr>
          <w:b/>
          <w:bCs/>
        </w:rPr>
        <w:t xml:space="preserve"> growth test in microbe-free condition</w:t>
      </w:r>
    </w:p>
    <w:p>
      <w:pPr>
        <w:pStyle w:val="NormalWeb"/>
        <w:spacing w:lineRule="auto" w:line="276" w:beforeAutospacing="0" w:before="0" w:afterAutospacing="0" w:after="0"/>
        <w:jc w:val="both"/>
        <w:rPr/>
      </w:pPr>
      <w:r>
        <w:rPr/>
        <w:t xml:space="preserve">To assess for potential growth defects associated with CSSP mutations in </w:t>
      </w:r>
      <w:r>
        <w:rPr>
          <w:i/>
          <w:iCs/>
        </w:rPr>
        <w:t>Hordeum</w:t>
      </w:r>
      <w:r>
        <w:rPr/>
        <w:t>, a microbe-free control experiment was conducted in parallel to the gnotobiotic setup. All genotypes were cultivated in sterile substrate and supplied with Long Ashton medium containing elevated nitrogen and phosphorus concentrations (2.5mM NaNO</w:t>
      </w:r>
      <w:r>
        <w:rPr>
          <w:position w:val="-2"/>
          <w:sz w:val="16"/>
          <w:szCs w:val="16"/>
        </w:rPr>
        <w:t xml:space="preserve">3 </w:t>
      </w:r>
      <w:r>
        <w:rPr/>
        <w:t>and 1mM Na</w:t>
      </w:r>
      <w:r>
        <w:rPr>
          <w:position w:val="-2"/>
          <w:sz w:val="16"/>
          <w:szCs w:val="16"/>
        </w:rPr>
        <w:t>2</w:t>
      </w:r>
      <w:r>
        <w:rPr/>
        <w:t>HPO</w:t>
      </w:r>
      <w:r>
        <w:rPr>
          <w:position w:val="-2"/>
          <w:sz w:val="16"/>
          <w:szCs w:val="16"/>
        </w:rPr>
        <w:t>4</w:t>
      </w:r>
      <w:r>
        <w:rPr/>
        <w:t>), without microbial inoculation. Ten  biological replicates were included per genotype, each consisting of one pot with one plant. Shoot fresh weight was recorded after three weeks of growth.</w:t>
      </w:r>
    </w:p>
    <w:p>
      <w:pPr>
        <w:pStyle w:val="NormalWeb"/>
        <w:spacing w:lineRule="auto" w:line="276" w:beforeAutospacing="0" w:before="0" w:afterAutospacing="0" w:after="0"/>
        <w:jc w:val="both"/>
        <w:rPr/>
      </w:pPr>
      <w:r>
        <w:rPr/>
      </w:r>
    </w:p>
    <w:p>
      <w:pPr>
        <w:pStyle w:val="Normal"/>
        <w:spacing w:lineRule="auto" w:line="276"/>
        <w:jc w:val="both"/>
        <w:rPr>
          <w:rFonts w:ascii="Times New Roman" w:hAnsi="Times New Roman" w:cs="Times New Roman"/>
          <w:b/>
          <w:b/>
          <w:bCs/>
        </w:rPr>
      </w:pPr>
      <w:r>
        <w:rPr>
          <w:rFonts w:cs="Times New Roman" w:ascii="Times New Roman" w:hAnsi="Times New Roman"/>
          <w:b/>
          <w:bCs/>
        </w:rPr>
        <w:t>Sample collection and 16S rRNA amplicon sequencing of plants grown in gnotobiotic systems</w:t>
      </w:r>
    </w:p>
    <w:p>
      <w:pPr>
        <w:pStyle w:val="Normal"/>
        <w:spacing w:lineRule="auto" w:line="276"/>
        <w:jc w:val="both"/>
        <w:rPr>
          <w:rFonts w:ascii="Times New Roman" w:hAnsi="Times New Roman" w:cs="Times New Roman"/>
        </w:rPr>
      </w:pPr>
      <w:r>
        <w:rPr>
          <w:rFonts w:cs="Times New Roman" w:ascii="Times New Roman" w:hAnsi="Times New Roman"/>
        </w:rPr>
        <w:t xml:space="preserve">Details on harvest and sample collection are similar to those described for the soil experiment, with minor modifications. In the gnotobiotic studies, leca and sand were removed manually. For </w:t>
      </w:r>
      <w:r>
        <w:rPr>
          <w:rFonts w:cs="Times New Roman" w:ascii="Times New Roman" w:hAnsi="Times New Roman"/>
          <w:i/>
          <w:iCs/>
        </w:rPr>
        <w:t>Lotus</w:t>
      </w:r>
      <w:r>
        <w:rPr>
          <w:rFonts w:cs="Times New Roman" w:ascii="Times New Roman" w:hAnsi="Times New Roman"/>
        </w:rPr>
        <w:t xml:space="preserve">, plants from a single magenta box system were pooled for the collection of ‘rhizosphere’ and ‘root’ samples. Roots were ground using a mortar and pestle under liquid nitrogen, and a subset of the ground root material was transferred to tubes of the Fast DNA Spin Kit for Soil (MP Biomedicals) for DNA extraction. For </w:t>
      </w:r>
      <w:r>
        <w:rPr>
          <w:rFonts w:cs="Times New Roman" w:ascii="Times New Roman" w:hAnsi="Times New Roman"/>
          <w:i/>
          <w:iCs/>
        </w:rPr>
        <w:t>Hordeum</w:t>
      </w:r>
      <w:r>
        <w:rPr>
          <w:rFonts w:cs="Times New Roman" w:ascii="Times New Roman" w:hAnsi="Times New Roman"/>
        </w:rPr>
        <w:t xml:space="preserve">, roots from each biological replicate were cut into 1-cm pieces, mixed thoroughly, and a subset was used for downstream processing. 16S rRNA V5-V7 amplicon libraries were prepared as described previously and sequenced using Illumina MiSeq (Genewiz) for </w:t>
      </w:r>
      <w:r>
        <w:rPr>
          <w:rFonts w:cs="Times New Roman" w:ascii="Times New Roman" w:hAnsi="Times New Roman"/>
          <w:i/>
          <w:iCs/>
        </w:rPr>
        <w:t>Lotus</w:t>
      </w:r>
      <w:r>
        <w:rPr>
          <w:rFonts w:cs="Times New Roman" w:ascii="Times New Roman" w:hAnsi="Times New Roman"/>
        </w:rPr>
        <w:t xml:space="preserve"> samples and NovaSeq (Novogene) for </w:t>
      </w:r>
      <w:r>
        <w:rPr>
          <w:rFonts w:cs="Times New Roman" w:ascii="Times New Roman" w:hAnsi="Times New Roman"/>
          <w:i/>
          <w:iCs/>
        </w:rPr>
        <w:t>Hordeum</w:t>
      </w:r>
      <w:r>
        <w:rPr>
          <w:rFonts w:cs="Times New Roman" w:ascii="Times New Roman" w:hAnsi="Times New Roman"/>
        </w:rPr>
        <w:t xml:space="preserve"> samples. For </w:t>
      </w:r>
      <w:r>
        <w:rPr>
          <w:rFonts w:cs="Times New Roman" w:ascii="Times New Roman" w:hAnsi="Times New Roman"/>
          <w:i/>
          <w:iCs/>
        </w:rPr>
        <w:t>Lotus</w:t>
      </w:r>
      <w:r>
        <w:rPr>
          <w:rFonts w:cs="Times New Roman" w:ascii="Times New Roman" w:hAnsi="Times New Roman"/>
        </w:rPr>
        <w:t>, spike-in DNA (10^4 copies) was included in PCR1 but was not used for downstream analysis.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Pre-processing of amplicon sequencing data</w:t>
      </w:r>
    </w:p>
    <w:p>
      <w:pPr>
        <w:pStyle w:val="Normal"/>
        <w:spacing w:lineRule="auto" w:line="276"/>
        <w:jc w:val="both"/>
        <w:rPr>
          <w:rFonts w:ascii="Times New Roman" w:hAnsi="Times New Roman" w:cs="Times New Roman"/>
        </w:rPr>
      </w:pPr>
      <w:r>
        <w:rPr>
          <w:rFonts w:cs="Times New Roman" w:ascii="Times New Roman" w:hAnsi="Times New Roman"/>
        </w:rPr>
        <w:t xml:space="preserve">Amplicon reads from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Hordeum</w:t>
      </w:r>
      <w:r>
        <w:rPr>
          <w:rFonts w:cs="Times New Roman" w:ascii="Times New Roman" w:hAnsi="Times New Roman"/>
        </w:rPr>
        <w:t xml:space="preserve"> libraries were processed separately using the QIIME2 pipeline (version 2021.4) </w:t>
      </w:r>
      <w:r>
        <w:fldChar w:fldCharType="begin"/>
      </w:r>
      <w:r>
        <w:rPr>
          <w:rFonts w:cs="Times New Roman" w:ascii="Times New Roman" w:hAnsi="Times New Roman"/>
        </w:rPr>
        <w:instrText xml:space="preserve">ADDIN ZOTERO_ITEM CSL_CITATION {"citationID":"T78cbRpN","properties":{"unsorted":false,"formattedCitation":"(89)","plainCitation":"(89)","noteIndex":0},"citationItems":[{"id":507,"uris":["http://zotero.org/users/16875439/items/Z9FNLH48"],"itemData":{"id":507,"type":"article-journal","container-title":"Nature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(89)</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Quality control and denoising of demultiplexed reads were performed using the DADA2 plugin, generating representative amplicon sequence variants (ASVs) </w:t>
      </w:r>
      <w:r>
        <w:fldChar w:fldCharType="begin"/>
      </w:r>
      <w:r>
        <w:rPr>
          <w:rFonts w:cs="Times New Roman" w:ascii="Times New Roman" w:hAnsi="Times New Roman"/>
        </w:rPr>
        <w:instrText xml:space="preserve">ADDIN ZOTERO_ITEM CSL_CITATION {"citationID":"kkDIe1Dr","properties":{"unsorted":false,"formattedCitation":"(90)","plainCitation":"(90)","noteIndex":0},"citationItems":[{"id":519,"uris":["http://zotero.org/users/16875439/items/XTDDFL36"],"itemData":{"id":519,"type":"article-journal","abstract":"DADA2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ASVs were filtered to retain those with at least 10 reads in at least four samples. Taxonomic classification of representative sequences was performed using QIIME2’s naïve-Bayes classifier implemented in the scikit-learn-based q2-feature-classifier </w:t>
      </w:r>
      <w:r>
        <w:fldChar w:fldCharType="begin"/>
      </w:r>
      <w:r>
        <w:rPr>
          <w:rFonts w:cs="Times New Roman" w:ascii="Times New Roman" w:hAnsi="Times New Roman"/>
        </w:rPr>
        <w:instrText xml:space="preserve">ADDIN ZOTERO_ITEM CSL_CITATION {"citationID":"pEoyi3oH","properties":{"unsorted":false,"formattedCitation":"(91)","plainCitation":"(91)","noteIndex":0},"citationItems":[{"id":521,"uris":["http://zotero.org/users/16875439/items/C8ZME69W"],"itemData":{"id":521,"type":"article-journal","abstract":"BACKGROUND: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(91)</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with reference to the SILVA database (version 138</w:t>
      </w:r>
      <w:r>
        <w:rPr>
          <w:rFonts w:cs="Times New Roman" w:ascii="Times New Roman" w:hAnsi="Times New Roman"/>
          <w:color w:val="000000" w:themeColor="text1"/>
        </w:rPr>
        <w:t>_</w:t>
      </w:r>
      <w:r>
        <w:rPr>
          <w:rFonts w:cs="Times New Roman" w:ascii="Times New Roman" w:hAnsi="Times New Roman"/>
        </w:rPr>
        <w:t xml:space="preserve">99) </w:t>
      </w:r>
      <w:r>
        <w:fldChar w:fldCharType="begin"/>
      </w:r>
      <w:r>
        <w:rPr>
          <w:rFonts w:cs="Times New Roman" w:ascii="Times New Roman" w:hAnsi="Times New Roman"/>
        </w:rPr>
        <w:instrText xml:space="preserve">ADDIN ZOTERO_ITEM CSL_CITATION {"citationID":"MI5z9Atk","properties":{"unsorted":false,"formattedCitation":"(92)","plainCitation":"(92)","noteIndex":0},"citationItems":[{"id":527,"uris":["http://zotero.org/users/16875439/items/SSICNICU"],"itemData":{"id":527,"type":"article-journal","abstract":"Since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For data obtained from gnotobiotic systems, pre-processing was likewise performed using QIIME2 and the DADA2 plugin for quality control and demultiplexing </w:t>
      </w:r>
      <w:r>
        <w:fldChar w:fldCharType="begin"/>
      </w:r>
      <w:r>
        <w:rPr>
          <w:rFonts w:cs="Times New Roman" w:ascii="Times New Roman" w:hAnsi="Times New Roman"/>
        </w:rPr>
        <w:instrText xml:space="preserve">ADDIN ZOTERO_ITEM CSL_CITATION {"citationID":"Rvib7znp","properties":{"unsorted":false,"formattedCitation":"(89, 90)","plainCitation":"(89, 90)","noteIndex":0},"citationItems":[{"id":507,"uris":["http://zotero.org/users/16875439/items/Z9FNLH48"],"itemData":{"id":507,"type":"article-journal","container-title":"Nature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(89, 90)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No abundance filtering was applied, as defined sets of isolates with known sequence information were used. Taxonomic assignment of detected ASVs was performed using VSEARCH with a 99% identity threshold </w:t>
      </w:r>
      <w:r>
        <w:fldChar w:fldCharType="begin"/>
      </w:r>
      <w:r>
        <w:rPr>
          <w:rFonts w:cs="Times New Roman" w:ascii="Times New Roman" w:hAnsi="Times New Roman"/>
        </w:rPr>
        <w:instrText xml:space="preserve">ADDIN ZOTERO_ITEM CSL_CITATION {"citationID":"2N08gx97","properties":{"unsorted":false,"formattedCitation":"(93)","plainCitation":"(93)","noteIndex":0},"citationItems":[{"id":529,"uris":["http://zotero.org/users/16875439/items/F9SF8FDV"],"itemData":{"id":529,"type":"article-journal","abstract":"BACKGROUND: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(93)</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Reference sequences consisted of 16S rRNA V5-V7 regions extracted from whole-genome sequences of strains included in the inoculum (</w:t>
      </w:r>
      <w:r>
        <w:rPr>
          <w:rFonts w:cs="Times New Roman" w:ascii="Times New Roman" w:hAnsi="Times New Roman"/>
          <w:highlight w:val="magenta"/>
        </w:rPr>
        <w:t>Suppl. Tables 8, 9</w:t>
      </w:r>
      <w:r>
        <w:rPr>
          <w:rFonts w:cs="Times New Roman" w:ascii="Times New Roman" w:hAnsi="Times New Roman"/>
        </w:rPr>
        <w:t>). Isolates with identical V5-V7 regions were grouped together. ASVs not matching any member of the SynCom reference set were removed prior to downstream analysis.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Data analysis, statistics and data visualisation</w:t>
      </w:r>
    </w:p>
    <w:p>
      <w:pPr>
        <w:pStyle w:val="Normal"/>
        <w:spacing w:lineRule="auto" w:line="276"/>
        <w:jc w:val="both"/>
        <w:rPr>
          <w:rFonts w:ascii="Times New Roman" w:hAnsi="Times New Roman" w:cs="Times New Roman"/>
        </w:rPr>
      </w:pPr>
      <w:r>
        <w:rPr>
          <w:rFonts w:cs="Times New Roman" w:ascii="Times New Roman" w:hAnsi="Times New Roman"/>
        </w:rPr>
        <w:t xml:space="preserve">All analyses were performed in R (version 4.5.0). For </w:t>
      </w:r>
      <w:r>
        <w:rPr>
          <w:rFonts w:cs="Times New Roman" w:ascii="Times New Roman" w:hAnsi="Times New Roman"/>
          <w:i/>
          <w:iCs/>
        </w:rPr>
        <w:t>Lotus</w:t>
      </w:r>
      <w:r>
        <w:rPr>
          <w:rFonts w:cs="Times New Roman" w:ascii="Times New Roman" w:hAnsi="Times New Roman"/>
        </w:rPr>
        <w:t xml:space="preserve"> soil and SynCom datasets, spike-in DNA was removed from the ASV table prior to analysis. For alpha-diversity analyses, samples with fewer than 1000 reads were excluded, and read counts were rarefied to the minimum sequencing depth using phyloseq (version 1.52.0) </w:t>
      </w:r>
      <w:r>
        <w:fldChar w:fldCharType="begin"/>
      </w:r>
      <w:r>
        <w:rPr>
          <w:rFonts w:cs="Times New Roman" w:ascii="Times New Roman" w:hAnsi="Times New Roman"/>
        </w:rPr>
        <w:instrText xml:space="preserve">ADDIN ZOTERO_ITEM CSL_CITATION {"citationID":"oqFl502u","properties":{"unsorted":false,"formattedCitation":"(94)","plainCitation":"(94)","noteIndex":0},"citationItems":[{"id":532,"uris":["http://zotero.org/users/16875439/items/YV72PP7B"],"itemData":{"id":532,"type":"article-journal","abstract":"BACKGROUND: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(94)</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Alpha diversity was quantified using Chao1 index as computed in QIIME2. For beta-diversity analyses, principal coordinate analysis (PCoA) </w:t>
      </w:r>
      <w:r>
        <w:fldChar w:fldCharType="begin"/>
      </w:r>
      <w:r>
        <w:rPr>
          <w:rFonts w:cs="Times New Roman" w:ascii="Times New Roman" w:hAnsi="Times New Roman"/>
        </w:rPr>
        <w:instrText xml:space="preserve">ADDIN ZOTERO_ITEM CSL_CITATION {"citationID":"8ABCZum9","properties":{"unsorted":false,"formattedCitation":"(95)","plainCitation":"(95)","noteIndex":0},"citationItems":[{"id":537,"uris":["http://zotero.org/users/16875439/items/UAVK2EP2"],"itemData":{"id":537,"type":"article-journal","abstract":"This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(95)</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based on Bray-Curtis dissimilarities </w:t>
      </w:r>
      <w:r>
        <w:fldChar w:fldCharType="begin"/>
      </w:r>
      <w:r>
        <w:rPr>
          <w:rFonts w:cs="Times New Roman" w:ascii="Times New Roman" w:hAnsi="Times New Roman"/>
        </w:rPr>
        <w:instrText xml:space="preserve">ADDIN ZOTERO_ITEM CSL_CITATION {"citationID":"UiE57QB9","properties":{"unsorted":false,"formattedCitation":"(96)","plainCitation":"(96)","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(96)</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was performed separately for each genotype. Constrained analysis of principal cooridnates (CPCoA </w:t>
      </w:r>
      <w:r>
        <w:fldChar w:fldCharType="begin"/>
      </w:r>
      <w:r>
        <w:rPr>
          <w:rFonts w:cs="Times New Roman" w:ascii="Times New Roman" w:hAnsi="Times New Roman"/>
        </w:rPr>
        <w:instrText xml:space="preserve">ADDIN ZOTERO_ITEM CSL_CITATION {"citationID":"MnhIeSQ2","properties":{"unsorted":false,"formattedCitation":"(97)","plainCitation":"(97)","noteIndex":0},"citationItems":[{"id":539,"uris":["http://zotero.org/users/16875439/items/RVX6Y2N6"],"itemData":{"id":539,"type":"article-journal","abstract":"We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(97)</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capscale function in the vegan package in R </w:t>
      </w:r>
      <w:r>
        <w:fldChar w:fldCharType="begin"/>
      </w:r>
      <w:r>
        <w:rPr>
          <w:rFonts w:cs="Times New Roman" w:ascii="Times New Roman" w:hAnsi="Times New Roman"/>
        </w:rPr>
        <w:instrText xml:space="preserve">ADDIN ZOTERO_ITEM CSL_CITATION {"citationID":"CLqAy9PM","properties":{"unsorted":false,"formattedCitation":"(98)","plainCitation":"(98)","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(98)</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using Bray-Curtis dissmiliarities was conducted with genotype and soil type as constraining variables. Permutation tests were used to assess the effects of the constrained variables on bacterial community composition. Relative ASV abundances were calculated using total sum scaling (TSS). Differential abundance analysis of individual ASVs was performed using MaAsLin2 </w:t>
      </w:r>
      <w:r>
        <w:fldChar w:fldCharType="begin"/>
      </w:r>
      <w:r>
        <w:rPr>
          <w:rFonts w:cs="Times New Roman" w:ascii="Times New Roman" w:hAnsi="Times New Roman"/>
        </w:rPr>
        <w:instrText xml:space="preserve">ADDIN ZOTERO_ITEM CSL_CITATION {"citationID":"Y7F0UuxN","properties":{"unsorted":false,"formattedCitation":"(99)","plainCitation":"(99)","noteIndex":0},"citationItems":[{"id":546,"uris":["http://zotero.org/users/16875439/items/VRPS7UMR"],"itemData":{"id":546,"type":"article-journal","abstract":"It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(99)</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with an additional structural-zero filtering step as proposed by Kaul </w:t>
      </w:r>
      <w:r>
        <w:rPr>
          <w:rFonts w:cs="Times New Roman" w:ascii="Times New Roman" w:hAnsi="Times New Roman"/>
          <w:i/>
          <w:iCs/>
        </w:rPr>
        <w:t>et al</w:t>
      </w:r>
      <w:r>
        <w:rPr>
          <w:rFonts w:cs="Times New Roman" w:ascii="Times New Roman" w:hAnsi="Times New Roman"/>
        </w:rPr>
        <w:t xml:space="preserve">. </w:t>
      </w:r>
      <w:r>
        <w:fldChar w:fldCharType="begin"/>
      </w:r>
      <w:r>
        <w:rPr>
          <w:rFonts w:cs="Times New Roman" w:ascii="Times New Roman" w:hAnsi="Times New Roman"/>
        </w:rPr>
        <w:instrText xml:space="preserve">ADDIN ZOTERO_ITEM CSL_CITATION {"citationID":"WGNJYL88","properties":{"unsorted":false,"formattedCitation":"(100)","plainCitation":"(100)","noteIndex":0},"citationItems":[{"id":548,"uris":["http://zotero.org/users/16875439/items/IWLTEMRU"],"itemData":{"id":548,"type":"article-journal","abstract":"Motivation: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(100)</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requiring that the non-structural-zero group contained at least 20 reads across at least three samples. P-values were adjusted for multiple testing using the Benjamini-Hochberg (BH) procedure </w:t>
      </w:r>
      <w:r>
        <w:fldChar w:fldCharType="begin"/>
      </w:r>
      <w:r>
        <w:rPr>
          <w:rFonts w:cs="Times New Roman" w:ascii="Times New Roman" w:hAnsi="Times New Roman"/>
        </w:rPr>
        <w:instrText xml:space="preserve">ADDIN ZOTERO_ITEM CSL_CITATION {"citationID":"wEKQNzfM","properties":{"unsorted":false,"formattedCitation":"(101)","plainCitation":"(101)","noteIndex":0},"citationItems":[{"id":551,"uris":["http://zotero.org/users/16875439/items/THH8FXXS"],"itemData":{"id":551,"type":"article-journal","abstract":"The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(101)</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with a false discovery rate (FDR) of 5%. Pairwise significance testing was performed using ANOVA and Tukey post-hoc test. </w:t>
      </w:r>
      <w:commentRangeStart w:id="12"/>
      <w:r>
        <w:rPr>
          <w:rFonts w:cs="Times New Roman" w:ascii="Times New Roman" w:hAnsi="Times New Roman"/>
        </w:rPr>
        <w:t xml:space="preserve">Data visualisation was carried out in R using packages ggplot2 </w:t>
      </w:r>
      <w:r>
        <w:fldChar w:fldCharType="begin"/>
      </w:r>
      <w:r>
        <w:rPr>
          <w:rFonts w:cs="Times New Roman" w:ascii="Times New Roman" w:hAnsi="Times New Roman"/>
        </w:rPr>
        <w:instrText xml:space="preserve">ADDIN ZOTERO_ITEM CSL_CITATION {"citationID":"OFXyIOtF","properties":{"unsorted":false,"formattedCitation":"(102)","plainCitation":"(102)","noteIndex":0},"citationItems":[{"id":554,"uris":["http://zotero.org/users/16875439/items/WNIKNA7Y"],"itemData":{"id":554,"type":"book","collection-title":"Use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(102)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ggh4x, ggVenndiagram, patchwork, cowplot, multcompView, scales, ggtext, ggforce, ggalluvial, grid, ggpubr, Gmisc, gridExtra, and gridtext [</w:t>
      </w:r>
      <w:r>
        <w:rPr>
          <w:rFonts w:cs="Times New Roman" w:ascii="Times New Roman" w:hAnsi="Times New Roman"/>
          <w:highlight w:val="red"/>
        </w:rPr>
        <w:t>REF</w:t>
      </w:r>
      <w:r>
        <w:rPr>
          <w:rFonts w:cs="Times New Roman" w:ascii="Times New Roman" w:hAnsi="Times New Roman"/>
        </w:rPr>
        <w:t>]. Data manipulation was performed using dplyr, tidyr, tibble, stringr, data.table, and magrittr [</w:t>
      </w:r>
      <w:r>
        <w:rPr>
          <w:rFonts w:cs="Times New Roman" w:ascii="Times New Roman" w:hAnsi="Times New Roman"/>
          <w:highlight w:val="red"/>
        </w:rPr>
        <w:t>REF</w:t>
      </w:r>
      <w:r>
        <w:rPr>
          <w:rFonts w:cs="Times New Roman" w:ascii="Times New Roman" w:hAnsi="Times New Roman"/>
        </w:rPr>
        <w:t xml:space="preserve">]. </w:t>
      </w:r>
      <w:commentRangeEnd w:id="12"/>
      <w:r>
        <w:commentReference w:id="12"/>
      </w:r>
      <w:r>
        <w:rPr>
          <w:rFonts w:cs="Times New Roman" w:ascii="Times New Roman" w:hAnsi="Times New Roman"/>
        </w:rPr>
      </w:r>
    </w:p>
    <w:p>
      <w:pPr>
        <w:pStyle w:val="Normal"/>
        <w:spacing w:lineRule="auto" w:line="276"/>
        <w:jc w:val="both"/>
        <w:rPr>
          <w:rFonts w:ascii="Times New Roman" w:hAnsi="Times New Roman" w:cs="Times New Roman"/>
          <w:color w:val="333333"/>
        </w:rPr>
      </w:pPr>
      <w:r>
        <w:rPr>
          <w:rFonts w:cs="Times New Roman" w:ascii="Times New Roman" w:hAnsi="Times New Roman"/>
          <w:color w:val="333333"/>
        </w:rPr>
      </w:r>
    </w:p>
    <w:p>
      <w:pPr>
        <w:pStyle w:val="Normal"/>
        <w:spacing w:lineRule="auto" w:line="276"/>
        <w:jc w:val="both"/>
        <w:rPr>
          <w:rFonts w:ascii="Times New Roman" w:hAnsi="Times New Roman" w:cs="Times New Roman"/>
          <w:b/>
          <w:b/>
          <w:bCs/>
          <w:color w:val="333333"/>
        </w:rPr>
      </w:pPr>
      <w:r>
        <w:rPr>
          <w:rFonts w:cs="Times New Roman" w:ascii="Times New Roman" w:hAnsi="Times New Roman"/>
          <w:b/>
          <w:bCs/>
          <w:color w:val="333333"/>
        </w:rPr>
        <w:t>Nutrient prediction analysis of plants cultivated in Askov soils</w:t>
      </w:r>
    </w:p>
    <w:p>
      <w:pPr>
        <w:pStyle w:val="Normal"/>
        <w:spacing w:lineRule="auto" w:line="276"/>
        <w:jc w:val="both"/>
        <w:rPr/>
      </w:pPr>
      <w:r>
        <w:rPr>
          <w:rFonts w:cs="Times New Roman" w:ascii="Times New Roman" w:hAnsi="Times New Roman"/>
          <w:bCs/>
          <w:color w:val="333333"/>
        </w:rPr>
        <w:t xml:space="preserve">Prediction of soil type was performed using Compositional Data via Continuos Relaxations (codacore) </w:t>
      </w:r>
      <w:r>
        <w:fldChar w:fldCharType="begin"/>
      </w:r>
      <w:r>
        <w:rPr>
          <w:bCs/>
          <w:rFonts w:cs="Times New Roman" w:ascii="Times New Roman" w:hAnsi="Times New Roman"/>
          <w:color w:val="333333"/>
        </w:rPr>
        <w:instrText xml:space="preserve">ADDIN ZOTERO_ITEM CSL_CITATION {"citationID":"O3gRovQp","properties":{"unsorted":false,"formattedCitation":"(103)","plainCitation":"(103)","noteIndex":0},"citationItems":[{"id":555,"uris":["http://zotero.org/users/16875439/items/L4IWU368"],"itemData":{"id":555,"type":"article-journal","abstract":"The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w:instrText>
      </w:r>
      <w:r>
        <w:rPr>
          <w:rFonts w:cs="Times New Roman" w:ascii="Times New Roman" w:hAnsi="Times New Roman"/>
          <w:bCs/>
          <w:color w:val="333333"/>
        </w:rPr>
      </w:r>
      <w:r>
        <w:rPr>
          <w:bCs/>
          <w:rFonts w:cs="Times New Roman" w:ascii="Times New Roman" w:hAnsi="Times New Roman"/>
          <w:color w:val="333333"/>
        </w:rPr>
        <w:fldChar w:fldCharType="separate"/>
      </w:r>
      <w:r>
        <w:rPr>
          <w:rFonts w:cs="Times New Roman" w:ascii="Times New Roman" w:hAnsi="Times New Roman"/>
          <w:bCs/>
          <w:color w:val="333333"/>
        </w:rPr>
        <w:t>(103)</w:t>
      </w:r>
      <w:r>
        <w:rPr>
          <w:rFonts w:cs="Times New Roman" w:ascii="Times New Roman" w:hAnsi="Times New Roman"/>
          <w:bCs/>
          <w:color w:val="333333"/>
        </w:rPr>
      </w:r>
      <w:r>
        <w:rPr>
          <w:bCs/>
          <w:rFonts w:cs="Times New Roman" w:ascii="Times New Roman" w:hAnsi="Times New Roman"/>
          <w:color w:val="333333"/>
        </w:rPr>
        <w:fldChar w:fldCharType="end"/>
      </w:r>
      <w:r>
        <w:rPr>
          <w:rFonts w:cs="Times New Roman" w:ascii="Times New Roman" w:hAnsi="Times New Roman"/>
          <w:bCs/>
          <w:color w:val="333333"/>
        </w:rPr>
        <w:t xml:space="preserve">. Because codacore supports only binary categorical variables, a nested modelling scheme was applied to predict the trinary soil type variable (NPK, PK, UF). Two models were fitted: one distinguishing NPK from non-NPK soils, and a second distinguishing PK from UF soils. The first model was trained on data from all three soils, whereas the second was trained only on PK and UF samples. As illustrated in </w:t>
      </w:r>
      <w:r>
        <w:rPr>
          <w:rFonts w:cs="Times New Roman" w:ascii="Times New Roman" w:hAnsi="Times New Roman"/>
          <w:bCs/>
          <w:color w:val="333333"/>
          <w:highlight w:val="magenta"/>
        </w:rPr>
        <w:t>Figure 3A</w:t>
      </w:r>
      <w:r>
        <w:rPr>
          <w:rFonts w:cs="Times New Roman" w:ascii="Times New Roman" w:hAnsi="Times New Roman"/>
          <w:bCs/>
          <w:color w:val="333333"/>
        </w:rPr>
        <w:t xml:space="preserve">, the first model predicts whether a sample originates from NPK soil; if not, the second model predicts whether it originates from PK or UF soil. Two-thirds of the data were used for model training and one-third was used for testing and to assess prediction accuracy. The split was performed randomly while ensuring equal representation of all three soils and all five genotypes in both training and test sets. Separate nested models were trained for </w:t>
      </w:r>
      <w:r>
        <w:rPr>
          <w:rFonts w:cs="Times New Roman" w:ascii="Times New Roman" w:hAnsi="Times New Roman"/>
          <w:bCs/>
          <w:i/>
          <w:iCs/>
          <w:color w:val="333333"/>
        </w:rPr>
        <w:t>Lotus</w:t>
      </w:r>
      <w:r>
        <w:rPr>
          <w:rFonts w:cs="Times New Roman" w:ascii="Times New Roman" w:hAnsi="Times New Roman"/>
          <w:bCs/>
          <w:color w:val="333333"/>
        </w:rPr>
        <w:t xml:space="preserve"> and </w:t>
      </w:r>
      <w:r>
        <w:rPr>
          <w:rFonts w:cs="Times New Roman" w:ascii="Times New Roman" w:hAnsi="Times New Roman"/>
          <w:bCs/>
          <w:i/>
          <w:iCs/>
          <w:color w:val="333333"/>
        </w:rPr>
        <w:t>Hordeum</w:t>
      </w:r>
      <w:r>
        <w:rPr>
          <w:rFonts w:cs="Times New Roman" w:ascii="Times New Roman" w:hAnsi="Times New Roman"/>
          <w:bCs/>
          <w:color w:val="333333"/>
        </w:rPr>
        <w:t xml:space="preserve"> datasets. Analysis only included bacterial ASVs.</w:t>
      </w:r>
    </w:p>
    <w:p>
      <w:pPr>
        <w:pStyle w:val="Normal"/>
        <w:spacing w:lineRule="auto" w:line="276"/>
        <w:jc w:val="both"/>
        <w:rPr>
          <w:rFonts w:ascii="Times New Roman" w:hAnsi="Times New Roman" w:cs="Times New Roman"/>
          <w:b/>
          <w:b/>
          <w:bCs/>
          <w:color w:val="333333"/>
        </w:rPr>
      </w:pPr>
      <w:r>
        <w:rPr>
          <w:rFonts w:cs="Times New Roman" w:ascii="Times New Roman" w:hAnsi="Times New Roman"/>
          <w:b/>
          <w:bCs/>
          <w:color w:val="333333"/>
        </w:rPr>
      </w:r>
    </w:p>
    <w:p>
      <w:pPr>
        <w:pStyle w:val="Normal"/>
        <w:spacing w:lineRule="auto" w:line="276"/>
        <w:jc w:val="both"/>
        <w:rPr>
          <w:rFonts w:ascii="Times New Roman" w:hAnsi="Times New Roman" w:cs="Times New Roman"/>
          <w:b/>
          <w:b/>
          <w:bCs/>
          <w:color w:val="333333"/>
        </w:rPr>
      </w:pPr>
      <w:r>
        <w:rPr>
          <w:rFonts w:cs="Times New Roman" w:ascii="Times New Roman" w:hAnsi="Times New Roman"/>
          <w:b/>
          <w:bCs/>
          <w:color w:val="333333"/>
        </w:rPr>
        <w:t>Root exudate experimental setups</w:t>
      </w:r>
    </w:p>
    <w:p>
      <w:pPr>
        <w:pStyle w:val="Normal"/>
        <w:spacing w:lineRule="auto" w:line="276"/>
        <w:jc w:val="both"/>
        <w:rPr>
          <w:rFonts w:ascii="Times New Roman" w:hAnsi="Times New Roman" w:cs="Times New Roman"/>
          <w:color w:val="333333"/>
        </w:rPr>
      </w:pPr>
      <w:r>
        <w:rPr>
          <w:rFonts w:cs="Times New Roman" w:ascii="Times New Roman" w:hAnsi="Times New Roman"/>
          <w:color w:val="333333"/>
        </w:rPr>
        <w:t xml:space="preserve">For </w:t>
      </w:r>
      <w:r>
        <w:rPr>
          <w:rFonts w:cs="Times New Roman" w:ascii="Times New Roman" w:hAnsi="Times New Roman"/>
          <w:i/>
          <w:iCs/>
          <w:color w:val="333333"/>
        </w:rPr>
        <w:t>Lotus</w:t>
      </w:r>
      <w:r>
        <w:rPr>
          <w:rFonts w:cs="Times New Roman" w:ascii="Times New Roman" w:hAnsi="Times New Roman"/>
          <w:color w:val="333333"/>
        </w:rPr>
        <w:t xml:space="preserve">, sterile-germinated wild-type and CSSP mutant seedlings were transferred to sterile square Petri dishes half-filled with solid quarter-strength B&amp;D medium without nitrogen (1.4% Agar Noble, Difco) </w:t>
      </w:r>
      <w:r>
        <w:fldChar w:fldCharType="begin"/>
      </w:r>
      <w:r>
        <w:rPr>
          <w:rFonts w:cs="Times New Roman" w:ascii="Times New Roman" w:hAnsi="Times New Roman"/>
          <w:color w:val="333333"/>
        </w:rPr>
        <w:instrText xml:space="preserve">ADDIN ZOTERO_ITEM CSL_CITATION {"citationID":"4rShtgfv","properties":{"unsorted":false,"formattedCitation":"(104)","plainCitation":"(104)","noteIndex":0},"citationItems":[{"id":557,"uris":["http://zotero.org/users/16875439/items/JFE5NCHM"],"itemData":{"id":557,"type":"article-journal","abstract":"1.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w:instrText>
      </w:r>
      <w:r>
        <w:rPr>
          <w:rFonts w:cs="Times New Roman" w:ascii="Times New Roman" w:hAnsi="Times New Roman"/>
          <w:color w:val="333333"/>
        </w:rPr>
      </w:r>
      <w:r>
        <w:rPr>
          <w:rFonts w:cs="Times New Roman" w:ascii="Times New Roman" w:hAnsi="Times New Roman"/>
          <w:color w:val="333333"/>
        </w:rPr>
        <w:fldChar w:fldCharType="separate"/>
      </w:r>
      <w:r>
        <w:rPr>
          <w:rFonts w:cs="Times New Roman" w:ascii="Times New Roman" w:hAnsi="Times New Roman"/>
          <w:color w:val="333333"/>
        </w:rPr>
        <w:t>(104)</w:t>
      </w:r>
      <w:r>
        <w:rPr>
          <w:rFonts w:cs="Times New Roman" w:ascii="Times New Roman" w:hAnsi="Times New Roman"/>
          <w:color w:val="333333"/>
        </w:rPr>
      </w:r>
      <w:r>
        <w:rPr>
          <w:rFonts w:cs="Times New Roman" w:ascii="Times New Roman" w:hAnsi="Times New Roman"/>
          <w:color w:val="333333"/>
        </w:rPr>
        <w:fldChar w:fldCharType="end"/>
      </w:r>
      <w:r>
        <w:rPr>
          <w:rFonts w:cs="Times New Roman" w:ascii="Times New Roman" w:hAnsi="Times New Roman"/>
          <w:color w:val="333333"/>
        </w:rPr>
        <w:t>. For each genotype, six biological replicates were prepared, with 12 plants per plate. A sterile filter paper was placed between the roots and the medium, and plants were fixed using an autoclaved aluminium foil grid. Plates maintained vertically in custom plastic racks covering the lower half of the plates to keep roots in darkness. Plants were cultivated at 21°C, 16/8 day/night hours, 100/0</w:t>
      </w:r>
      <w:r>
        <w:rPr>
          <w:rFonts w:cs="Times New Roman" w:ascii="Times New Roman" w:hAnsi="Times New Roman"/>
        </w:rPr>
        <w:t xml:space="preserve"> μmol m</w:t>
      </w:r>
      <w:r>
        <w:rPr>
          <w:rFonts w:cs="Times New Roman" w:ascii="Times New Roman" w:hAnsi="Times New Roman"/>
          <w:vertAlign w:val="superscript"/>
        </w:rPr>
        <w:t>-2</w:t>
      </w:r>
      <w:r>
        <w:rPr>
          <w:rFonts w:cs="Times New Roman" w:ascii="Times New Roman" w:hAnsi="Times New Roman"/>
        </w:rPr>
        <w:t xml:space="preserve"> s</w:t>
      </w:r>
      <w:r>
        <w:rPr>
          <w:rFonts w:cs="Times New Roman" w:ascii="Times New Roman" w:hAnsi="Times New Roman"/>
          <w:vertAlign w:val="superscript"/>
        </w:rPr>
        <w:t>-1</w:t>
      </w:r>
      <w:r>
        <w:rPr>
          <w:rFonts w:cs="Times New Roman" w:ascii="Times New Roman" w:hAnsi="Times New Roman"/>
          <w:color w:val="333333"/>
        </w:rPr>
        <w:t xml:space="preserve"> white light day/night for two weeks.  </w:t>
      </w:r>
    </w:p>
    <w:p>
      <w:pPr>
        <w:pStyle w:val="Normal"/>
        <w:spacing w:lineRule="auto" w:line="276"/>
        <w:jc w:val="both"/>
        <w:rPr>
          <w:rFonts w:ascii="Times New Roman" w:hAnsi="Times New Roman" w:cs="Times New Roman"/>
          <w:color w:val="333333"/>
        </w:rPr>
      </w:pPr>
      <w:r>
        <w:rPr>
          <w:rFonts w:cs="Times New Roman" w:ascii="Times New Roman" w:hAnsi="Times New Roman"/>
          <w:color w:val="333333"/>
        </w:rPr>
        <w:t xml:space="preserve">For </w:t>
      </w:r>
      <w:r>
        <w:rPr>
          <w:rFonts w:cs="Times New Roman" w:ascii="Times New Roman" w:hAnsi="Times New Roman"/>
          <w:i/>
          <w:iCs/>
          <w:color w:val="333333"/>
        </w:rPr>
        <w:t>Hordeum</w:t>
      </w:r>
      <w:r>
        <w:rPr>
          <w:rFonts w:cs="Times New Roman" w:ascii="Times New Roman" w:hAnsi="Times New Roman"/>
          <w:color w:val="333333"/>
        </w:rPr>
        <w:t xml:space="preserve">, sterile-germinated wild-type and CSSP mutant seedlings were cultivated in autoclaved Duran borosilicate glass tubes containing 50ml sterile VWR sand (CAS 14808-60-7, washed with sterile milliQ and baked for 4h at 200°C), and supplemented with 15ml of low-nitrogen, low-phosphorus Long Ashton medium (as used for the </w:t>
      </w:r>
      <w:r>
        <w:rPr>
          <w:rFonts w:cs="Times New Roman" w:ascii="Times New Roman" w:hAnsi="Times New Roman"/>
          <w:i/>
          <w:iCs/>
          <w:color w:val="333333"/>
        </w:rPr>
        <w:t>Hordeum</w:t>
      </w:r>
      <w:r>
        <w:rPr>
          <w:rFonts w:cs="Times New Roman" w:ascii="Times New Roman" w:hAnsi="Times New Roman"/>
          <w:color w:val="333333"/>
        </w:rPr>
        <w:t xml:space="preserve"> gnotobiotic experiment). One seedling was added per tube, which was closed with autoclaved foam plug. Unplanted sand-only controls were included. Plants were cultivated under the same conditions as </w:t>
      </w:r>
      <w:r>
        <w:rPr>
          <w:rFonts w:cs="Times New Roman" w:ascii="Times New Roman" w:hAnsi="Times New Roman"/>
          <w:i/>
          <w:color w:val="333333"/>
        </w:rPr>
        <w:t>Lotus</w:t>
      </w:r>
      <w:r>
        <w:rPr>
          <w:rFonts w:cs="Times New Roman" w:ascii="Times New Roman" w:hAnsi="Times New Roman"/>
          <w:color w:val="333333"/>
        </w:rPr>
        <w:t xml:space="preserve"> for three weeks.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Root exudate harvest, sample preparation and LC-MS/MS</w:t>
      </w:r>
    </w:p>
    <w:p>
      <w:pPr>
        <w:pStyle w:val="Normal"/>
        <w:spacing w:lineRule="auto" w:line="276"/>
        <w:jc w:val="both"/>
        <w:rPr>
          <w:rFonts w:ascii="Times New Roman" w:hAnsi="Times New Roman" w:cs="Times New Roman"/>
          <w:kern w:val="0"/>
        </w:rPr>
      </w:pPr>
      <w:r>
        <w:rPr>
          <w:rFonts w:cs="Times New Roman" w:ascii="Times New Roman" w:hAnsi="Times New Roman"/>
          <w:bCs/>
        </w:rPr>
        <w:t xml:space="preserve">For </w:t>
      </w:r>
      <w:r>
        <w:rPr>
          <w:rFonts w:cs="Times New Roman" w:ascii="Times New Roman" w:hAnsi="Times New Roman"/>
          <w:bCs/>
          <w:i/>
        </w:rPr>
        <w:t>Lotus</w:t>
      </w:r>
      <w:r>
        <w:rPr>
          <w:rFonts w:cs="Times New Roman" w:ascii="Times New Roman" w:hAnsi="Times New Roman"/>
          <w:bCs/>
        </w:rPr>
        <w:t xml:space="preserve">, plants from a single Petri dish were pooled and transferred to a sterile glass vial containing 20ml sterile milliQ. After 3h, plants were removed and the solution was filter-sterilised using 0.4µm cell strainers. For </w:t>
      </w:r>
      <w:r>
        <w:rPr>
          <w:rFonts w:cs="Times New Roman" w:ascii="Times New Roman" w:hAnsi="Times New Roman"/>
          <w:bCs/>
          <w:i/>
          <w:iCs/>
        </w:rPr>
        <w:t>Hordeum</w:t>
      </w:r>
      <w:r>
        <w:rPr>
          <w:rFonts w:cs="Times New Roman" w:ascii="Times New Roman" w:hAnsi="Times New Roman"/>
          <w:bCs/>
        </w:rPr>
        <w:t>, plants were gently removed with sterile tweezers. Thirty millilitres of sterile milliQ were added to the sand, tubes were sealed with Parafilm and vortexed for 30s, and the suspension was allowed to settle. The supernatant was collected into fresh tubes and filtered through 0.4µm cell strainers. All samples were stored at -70</w:t>
      </w:r>
      <w:r>
        <w:rPr>
          <w:rFonts w:cs="Times New Roman" w:ascii="Times New Roman" w:hAnsi="Times New Roman"/>
          <w:color w:val="333333"/>
        </w:rPr>
        <w:t>°C</w:t>
      </w:r>
      <w:r>
        <w:rPr>
          <w:rFonts w:cs="Times New Roman" w:ascii="Times New Roman" w:hAnsi="Times New Roman"/>
          <w:bCs/>
        </w:rPr>
        <w:t xml:space="preserve"> and subsequently freeze-dried in a lyophiliser (CD52-I, HETOSIC, Heto Lab Equipment) for 1-2 days. </w:t>
      </w:r>
      <w:r>
        <w:rPr>
          <w:rFonts w:cs="Times New Roman" w:ascii="Times New Roman" w:hAnsi="Times New Roman"/>
          <w:kern w:val="0"/>
        </w:rPr>
        <w:t>Freeze-dried samples were spiked with 20μl 10μg/ml</w:t>
      </w:r>
      <w:r>
        <w:rPr>
          <w:rFonts w:cs="Times New Roman" w:ascii="Times New Roman" w:hAnsi="Times New Roman"/>
          <w:bCs/>
        </w:rPr>
        <w:t xml:space="preserve"> </w:t>
      </w:r>
      <w:r>
        <w:rPr>
          <w:rFonts w:cs="Times New Roman" w:ascii="Times New Roman" w:hAnsi="Times New Roman"/>
          <w:kern w:val="0"/>
        </w:rPr>
        <w:t>ketopinic acid in methanol and dried under a gentle nitrogen</w:t>
      </w:r>
      <w:r>
        <w:rPr>
          <w:rFonts w:cs="Times New Roman" w:ascii="Times New Roman" w:hAnsi="Times New Roman"/>
          <w:kern w:val="0"/>
          <w:sz w:val="16"/>
          <w:szCs w:val="16"/>
        </w:rPr>
        <w:t xml:space="preserve"> </w:t>
      </w:r>
      <w:r>
        <w:rPr>
          <w:rFonts w:cs="Times New Roman" w:ascii="Times New Roman" w:hAnsi="Times New Roman"/>
          <w:kern w:val="0"/>
        </w:rPr>
        <w:t>flow. Samples were reconstituted in 3ml 100% methanol, sonicated for 10min, and filtered using hydrophobic PTFE syringe filters (0.22μm pore size, 25mm). After drying under nitrogen, samples were reconstituted in 300μl of 80:20 (v/v) methanol:milliQ containing 1μg/ml camphoric acid and transferred to vials for analysis. Analyses were performed using ultra-high-performance liquid chromatography (UHPLC; Dionex ultimate 3000, Thermo Fisher) coupled to a quadrupole time-of-flight mass spectrometer (qToF-MS; Bruker Compact) with electrospray ionisation in negative mode. Separation was achieved using an ACQUITY UHPLC HSS T3 column (2.1x1000 mm, 1.8μm; Waters) at a flow rate of 0.2ml/min. Mobile phases consisted of 0.1% acetic acid in milliQ and 0.1% acetic acid in acetonitrile. A 2μl injection volume was used, and column temperature was maintained at 45°C.</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Metabolite data analysis, statistics and visualisation</w:t>
      </w:r>
    </w:p>
    <w:p>
      <w:pPr>
        <w:pStyle w:val="Normal"/>
        <w:spacing w:lineRule="auto" w:line="276"/>
        <w:jc w:val="both"/>
        <w:rPr>
          <w:rFonts w:ascii="Times New Roman" w:hAnsi="Times New Roman" w:cs="Times New Roman"/>
          <w:kern w:val="0"/>
        </w:rPr>
      </w:pPr>
      <w:r>
        <w:rPr>
          <w:rFonts w:cs="Times New Roman" w:ascii="Times New Roman" w:hAnsi="Times New Roman"/>
          <w:kern w:val="0"/>
        </w:rPr>
        <w:t xml:space="preserve">Raw LC-MS data were pre-processed using </w:t>
      </w:r>
      <w:bookmarkStart w:id="0" w:name="_Hlk222174659"/>
      <w:r>
        <w:rPr>
          <w:rFonts w:cs="Times New Roman" w:ascii="Times New Roman" w:hAnsi="Times New Roman"/>
          <w:kern w:val="0"/>
        </w:rPr>
        <w:t>MzMine 3.3.0</w:t>
      </w:r>
      <w:bookmarkEnd w:id="0"/>
      <w:r>
        <w:rPr>
          <w:rFonts w:cs="Times New Roman" w:ascii="Times New Roman" w:hAnsi="Times New Roman"/>
          <w:kern w:val="0"/>
        </w:rPr>
        <w:t xml:space="preserve"> </w:t>
      </w:r>
      <w:r>
        <w:fldChar w:fldCharType="begin"/>
      </w:r>
      <w:r>
        <w:rPr>
          <w:kern w:val="0"/>
          <w:rFonts w:cs="Times New Roman" w:ascii="Times New Roman" w:hAnsi="Times New Roman"/>
        </w:rPr>
        <w:instrText xml:space="preserve">ADDIN ZOTERO_ITEM CSL_CITATION {"citationID":"GsRxrtC6","properties":{"unsorted":false,"formattedCitation":"(105)","plainCitation":"(105)","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(105)</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Features with retention times greater than </w:t>
      </w:r>
      <w:commentRangeStart w:id="13"/>
      <w:r>
        <w:rPr>
          <w:rFonts w:cs="Times New Roman" w:ascii="Times New Roman" w:hAnsi="Times New Roman"/>
          <w:kern w:val="0"/>
        </w:rPr>
        <w:t>19min were excluded</w:t>
      </w:r>
      <w:r>
        <w:rPr>
          <w:rFonts w:cs="Times New Roman" w:ascii="Times New Roman" w:hAnsi="Times New Roman"/>
          <w:kern w:val="0"/>
        </w:rPr>
      </w:r>
      <w:commentRangeEnd w:id="13"/>
      <w:r>
        <w:commentReference w:id="13"/>
      </w:r>
      <w:r>
        <w:rPr>
          <w:rFonts w:cs="Times New Roman" w:ascii="Times New Roman" w:hAnsi="Times New Roman"/>
          <w:kern w:val="0"/>
        </w:rPr>
        <w:t xml:space="preserve">. Chemical annotation was performed using CANOPUS implemented in SIRIUS 5.6.3, as well as the ClassyFire and NPClassifier tools </w:t>
      </w:r>
      <w:r>
        <w:fldChar w:fldCharType="begin"/>
      </w:r>
      <w:r>
        <w:rPr>
          <w:kern w:val="0"/>
          <w:rFonts w:cs="Times New Roman" w:ascii="Times New Roman" w:hAnsi="Times New Roman"/>
        </w:rPr>
        <w:instrText xml:space="preserve">ADDIN ZOTERO_ITEM CSL_CITATION {"citationID":"Wp94B2K0","properties":{"unsorted":false,"formattedCitation":"(106\\uc0\\u8211{}109)","plainCitation":"(106–109)","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(106–109)</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Prior to statistical analyses, metabolites detected in fewer than 10% of samples were removed. Differential exudation between sand controls samples and the five genotypes (WT, </w:t>
      </w:r>
      <w:r>
        <w:rPr>
          <w:rFonts w:cs="Times New Roman" w:ascii="Times New Roman" w:hAnsi="Times New Roman"/>
          <w:i/>
          <w:iCs/>
          <w:kern w:val="0"/>
        </w:rPr>
        <w:t>symrk</w:t>
      </w:r>
      <w:r>
        <w:rPr>
          <w:rFonts w:cs="Times New Roman" w:ascii="Times New Roman" w:hAnsi="Times New Roman"/>
          <w:kern w:val="0"/>
        </w:rPr>
        <w:t xml:space="preserve">, </w:t>
      </w:r>
      <w:r>
        <w:rPr>
          <w:rFonts w:cs="Times New Roman" w:ascii="Times New Roman" w:hAnsi="Times New Roman"/>
          <w:i/>
          <w:iCs/>
          <w:kern w:val="0"/>
        </w:rPr>
        <w:t>ccamk</w:t>
      </w:r>
      <w:r>
        <w:rPr>
          <w:rFonts w:cs="Times New Roman" w:ascii="Times New Roman" w:hAnsi="Times New Roman"/>
          <w:kern w:val="0"/>
        </w:rPr>
        <w:t xml:space="preserve">, </w:t>
      </w:r>
      <w:r>
        <w:rPr>
          <w:rFonts w:cs="Times New Roman" w:ascii="Times New Roman" w:hAnsi="Times New Roman"/>
          <w:i/>
          <w:iCs/>
          <w:kern w:val="0"/>
        </w:rPr>
        <w:t>nsp1</w:t>
      </w:r>
      <w:r>
        <w:rPr>
          <w:rFonts w:cs="Times New Roman" w:ascii="Times New Roman" w:hAnsi="Times New Roman"/>
          <w:kern w:val="0"/>
        </w:rPr>
        <w:t xml:space="preserve">, and </w:t>
      </w:r>
      <w:r>
        <w:rPr>
          <w:rFonts w:cs="Times New Roman" w:ascii="Times New Roman" w:hAnsi="Times New Roman"/>
          <w:i/>
          <w:iCs/>
          <w:kern w:val="0"/>
        </w:rPr>
        <w:t>nsp2</w:t>
      </w:r>
      <w:r>
        <w:rPr>
          <w:rFonts w:cs="Times New Roman" w:ascii="Times New Roman" w:hAnsi="Times New Roman"/>
          <w:kern w:val="0"/>
        </w:rPr>
        <w:t xml:space="preserve">) was assessed using Tobit regression </w:t>
      </w:r>
      <w:r>
        <w:fldChar w:fldCharType="begin"/>
      </w:r>
      <w:r>
        <w:rPr>
          <w:kern w:val="0"/>
          <w:rFonts w:cs="Times New Roman" w:ascii="Times New Roman" w:hAnsi="Times New Roman"/>
        </w:rPr>
        <w:instrText xml:space="preserve">ADDIN ZOTERO_ITEM CSL_CITATION {"citationID":"HNYsd0H4","properties":{"unsorted":false,"formattedCitation":"(110)","plainCitation":"(110)","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(110)</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with the minimum non-zero measurement used as the lower detection limit, followed by a likelihood-ratio test with Benjamini-Hochberg correction at an FDR of 5%. For metabolites detected in all samples, this approach is equivalent to linear regression. Principal component analysis (PCA) </w:t>
      </w:r>
      <w:r>
        <w:fldChar w:fldCharType="begin"/>
      </w:r>
      <w:r>
        <w:rPr>
          <w:kern w:val="0"/>
          <w:rFonts w:cs="Times New Roman" w:ascii="Times New Roman" w:hAnsi="Times New Roman"/>
        </w:rPr>
        <w:instrText xml:space="preserve">ADDIN ZOTERO_ITEM CSL_CITATION {"citationID":"EUc4yK4q","properties":{"unsorted":false,"formattedCitation":"(111)","plainCitation":"(111)","noteIndex":0},"citationItems":[{"id":645,"uris":["http://zotero.org/users/16875439/items/CK9MG45Q"],"itemData":{"id":645,"type":"article-journal","container-title":"The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w:instrText>
      </w:r>
      <w:r>
        <w:rPr>
          <w:rFonts w:cs="Times New Roman" w:ascii="Times New Roman" w:hAnsi="Times New Roman"/>
          <w:kern w:val="0"/>
        </w:rPr>
      </w:r>
      <w:r>
        <w:rPr>
          <w:kern w:val="0"/>
          <w:rFonts w:cs="Times New Roman" w:ascii="Times New Roman" w:hAnsi="Times New Roman"/>
        </w:rPr>
        <w:fldChar w:fldCharType="separate"/>
      </w:r>
      <w:r>
        <w:rPr>
          <w:rFonts w:cs="Times New Roman" w:ascii="Times New Roman" w:hAnsi="Times New Roman"/>
          <w:kern w:val="0"/>
        </w:rPr>
        <w:t>(111)</w:t>
      </w:r>
      <w:r>
        <w:rPr>
          <w:rFonts w:cs="Times New Roman" w:ascii="Times New Roman" w:hAnsi="Times New Roman"/>
          <w:kern w:val="0"/>
        </w:rPr>
      </w:r>
      <w:r>
        <w:rPr>
          <w:kern w:val="0"/>
          <w:rFonts w:cs="Times New Roman" w:ascii="Times New Roman" w:hAnsi="Times New Roman"/>
        </w:rPr>
        <w:fldChar w:fldCharType="end"/>
      </w:r>
      <w:r>
        <w:rPr>
          <w:rFonts w:cs="Times New Roman" w:ascii="Times New Roman" w:hAnsi="Times New Roman"/>
          <w:kern w:val="0"/>
        </w:rPr>
        <w:t xml:space="preserve"> was subsequently performed. Differential exudation between WT and each mutant was analysed using the same Tobit regression framework, likelihood-ratio testing, and BH correction (FDR 5%). Metabolites with annotation probabilities below 60% were classified as unknown.</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commentRangeStart w:id="14"/>
      <w:r>
        <w:rPr>
          <w:rFonts w:cs="Times New Roman" w:ascii="Times New Roman" w:hAnsi="Times New Roman"/>
          <w:b/>
          <w:bCs/>
        </w:rPr>
        <w:t>Data and code availability</w:t>
      </w:r>
      <w:commentRangeEnd w:id="14"/>
      <w:r>
        <w:commentReference w:id="14"/>
      </w: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rPr>
        <w:t xml:space="preserve">All scripts and datasets used to reproduce the figures for this study have been deposited at </w:t>
      </w:r>
      <w:r>
        <w:rPr>
          <w:rFonts w:cs="Times New Roman" w:ascii="Times New Roman" w:hAnsi="Times New Roman"/>
          <w:highlight w:val="red"/>
        </w:rPr>
        <w:t>LINK GITHUB</w:t>
      </w:r>
      <w:r>
        <w:rPr>
          <w:rFonts w:cs="Times New Roman" w:ascii="Times New Roman" w:hAnsi="Times New Roman"/>
        </w:rPr>
        <w:t xml:space="preserve">. All amplicon raw data have been deposited in the National Center for Biotechnology Information (NCBI) database with accession code </w:t>
      </w:r>
      <w:r>
        <w:rPr>
          <w:rFonts w:cs="Times New Roman" w:ascii="Times New Roman" w:hAnsi="Times New Roman"/>
          <w:highlight w:val="red"/>
        </w:rPr>
        <w:t>XXX</w:t>
      </w:r>
      <w:r>
        <w:rPr>
          <w:rFonts w:cs="Times New Roman" w:ascii="Times New Roman" w:hAnsi="Times New Roman"/>
        </w:rPr>
        <w:t>. The metabolic raw data files are stores as MassIVE dataset (</w:t>
      </w:r>
      <w:r>
        <w:rPr>
          <w:rFonts w:cs="Times New Roman" w:ascii="Times New Roman" w:hAnsi="Times New Roman"/>
          <w:highlight w:val="red"/>
        </w:rPr>
        <w:t>doiXXX</w:t>
      </w:r>
      <w:r>
        <w:rPr>
          <w:rFonts w:cs="Times New Roman" w:ascii="Times New Roman" w:hAnsi="Times New Roman"/>
        </w:rPr>
        <w:t xml:space="preserve">) under accession code </w:t>
      </w:r>
      <w:r>
        <w:rPr>
          <w:rFonts w:cs="Times New Roman" w:ascii="Times New Roman" w:hAnsi="Times New Roman"/>
          <w:highlight w:val="red"/>
        </w:rPr>
        <w:t>XXX</w:t>
      </w:r>
      <w:r>
        <w:rPr>
          <w:rFonts w:cs="Times New Roman" w:ascii="Times New Roman" w:hAnsi="Times New Roman"/>
        </w:rPr>
        <w:t>. A</w:t>
      </w:r>
      <w:r>
        <w:rPr>
          <w:rFonts w:cs="Times New Roman" w:ascii="Times New Roman" w:hAnsi="Times New Roman"/>
          <w:color w:val="222222"/>
          <w:shd w:fill="FFFFFF" w:val="clear"/>
        </w:rPr>
        <w:t>ny additional information required to reanalyse the data reported in this study is available from the lead contact upon request.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commentRangeStart w:id="15"/>
      <w:r>
        <w:rPr>
          <w:rFonts w:cs="Times New Roman" w:ascii="Times New Roman" w:hAnsi="Times New Roman"/>
          <w:b/>
          <w:bCs/>
        </w:rPr>
        <w:t>Acknowledgements and funding sources</w:t>
      </w:r>
      <w:commentRangeEnd w:id="15"/>
      <w:r>
        <w:commentReference w:id="15"/>
      </w: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rPr>
        <w:t>We thank Dr. Sha Zhang, Dr. Florian Lamouche and Dr. Simon Kelly for valuable input on the experimental setup and data analysis. This work was supported by the Bill and Melinda Gates Foundation and the UK’s Foreign, Commonwealth and Development Office (FCDO) through the “Engineering Nitrogen Symbiosis for Africa” project (ENSA; OPP11772165) and by the Novo Nordisk Foundation as part of the “Molecular Mechanisms and Dynamics of Plant-microbe interactions at the Root-Soil Interface” project (NNF19SA0059362).</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References</w:t>
      </w:r>
    </w:p>
    <w:p>
      <w:pPr>
        <w:pStyle w:val="Bibliography"/>
        <w:rPr/>
      </w:pPr>
      <w:r>
        <w:fldChar w:fldCharType="begin"/>
      </w:r>
      <w:r>
        <w:rPr/>
        <w:instrText xml:space="preserve">ADDIN ZOTERO_BIBL {"uncited":[],"omitted":[],"custom":[]} CSL_BIBLIOGRAPHY</w:instrText>
      </w:r>
      <w:r>
        <w:rPr/>
      </w:r>
      <w:r>
        <w:rPr/>
        <w:fldChar w:fldCharType="separate"/>
      </w:r>
      <w:r>
        <w:rPr/>
        <w:t xml:space="preserve">1. </w:t>
        <w:tab/>
        <w:t xml:space="preserve">J. A. Foley, </w:t>
      </w:r>
      <w:r>
        <w:rPr>
          <w:i/>
          <w:iCs/>
        </w:rPr>
        <w:t>et al.</w:t>
      </w:r>
      <w:r>
        <w:rPr/>
        <w:t xml:space="preserve">, Solutions for a cultivated planet. </w:t>
      </w:r>
      <w:r>
        <w:rPr>
          <w:i/>
          <w:iCs/>
        </w:rPr>
        <w:t>Nature</w:t>
      </w:r>
      <w:r>
        <w:rPr/>
        <w:t xml:space="preserve"> </w:t>
      </w:r>
      <w:r>
        <w:rPr>
          <w:b/>
          <w:bCs/>
        </w:rPr>
        <w:t>478</w:t>
      </w:r>
      <w:r>
        <w:rPr/>
        <w:t>, 337–342 (2011).</w:t>
      </w:r>
    </w:p>
    <w:p>
      <w:pPr>
        <w:pStyle w:val="Bibliography"/>
        <w:rPr/>
      </w:pPr>
      <w:r>
        <w:rPr/>
        <w:t xml:space="preserve">2. </w:t>
        <w:tab/>
        <w:t xml:space="preserve">D. Tilman, C. Balzer, J. Hill, B. L. Befort, Global food demand and the sustainable intensification of agriculture. </w:t>
      </w:r>
      <w:r>
        <w:rPr>
          <w:i/>
          <w:iCs/>
        </w:rPr>
        <w:t>Proceedings of the National Academy of Sciences</w:t>
      </w:r>
      <w:r>
        <w:rPr/>
        <w:t xml:space="preserve"> </w:t>
      </w:r>
      <w:r>
        <w:rPr>
          <w:b/>
          <w:bCs/>
        </w:rPr>
        <w:t>108</w:t>
      </w:r>
      <w:r>
        <w:rPr/>
        <w:t>, 20260–20264 (2011).</w:t>
      </w:r>
    </w:p>
    <w:p>
      <w:pPr>
        <w:pStyle w:val="Bibliography"/>
        <w:rPr/>
      </w:pPr>
      <w:r>
        <w:rPr/>
        <w:t xml:space="preserve">3. </w:t>
        <w:tab/>
        <w:t xml:space="preserve">P. M. Vitousek, </w:t>
      </w:r>
      <w:r>
        <w:rPr>
          <w:i/>
          <w:iCs/>
        </w:rPr>
        <w:t>et al.</w:t>
      </w:r>
      <w:r>
        <w:rPr/>
        <w:t xml:space="preserve">, Technical Report: Human Alteration of the Global Nitrogen Cycle: Sources and Consequences. </w:t>
      </w:r>
      <w:r>
        <w:rPr>
          <w:i/>
          <w:iCs/>
        </w:rPr>
        <w:t>Ecological Applications</w:t>
      </w:r>
      <w:r>
        <w:rPr/>
        <w:t xml:space="preserve"> </w:t>
      </w:r>
      <w:r>
        <w:rPr>
          <w:b/>
          <w:bCs/>
        </w:rPr>
        <w:t>7</w:t>
      </w:r>
      <w:r>
        <w:rPr/>
        <w:t>, 737–750 (1997).</w:t>
      </w:r>
    </w:p>
    <w:p>
      <w:pPr>
        <w:pStyle w:val="Bibliography"/>
        <w:rPr/>
      </w:pPr>
      <w:r>
        <w:rPr/>
        <w:t xml:space="preserve">4. </w:t>
        <w:tab/>
        <w:t xml:space="preserve">F. P. Carvalho, Pesticides, environment, and food safety. </w:t>
      </w:r>
      <w:r>
        <w:rPr>
          <w:i/>
          <w:iCs/>
        </w:rPr>
        <w:t>Food and Energy Security</w:t>
      </w:r>
      <w:r>
        <w:rPr/>
        <w:t xml:space="preserve"> </w:t>
      </w:r>
      <w:r>
        <w:rPr>
          <w:b/>
          <w:bCs/>
        </w:rPr>
        <w:t>6</w:t>
      </w:r>
      <w:r>
        <w:rPr/>
        <w:t>, 48–60 (2017).</w:t>
      </w:r>
    </w:p>
    <w:p>
      <w:pPr>
        <w:pStyle w:val="Bibliography"/>
        <w:rPr/>
      </w:pPr>
      <w:r>
        <w:rPr/>
        <w:t xml:space="preserve">5. </w:t>
        <w:tab/>
        <w:t xml:space="preserve">G. E. D. Oldroyd, O. Leyser, A plant’s diet, surviving in a variable nutrient environment. </w:t>
      </w:r>
      <w:r>
        <w:rPr>
          <w:i/>
          <w:iCs/>
        </w:rPr>
        <w:t>Science</w:t>
      </w:r>
      <w:r>
        <w:rPr/>
        <w:t xml:space="preserve"> </w:t>
      </w:r>
      <w:r>
        <w:rPr>
          <w:b/>
          <w:bCs/>
        </w:rPr>
        <w:t>368</w:t>
      </w:r>
      <w:r>
        <w:rPr/>
        <w:t>, eaba0196 (2020).</w:t>
      </w:r>
    </w:p>
    <w:p>
      <w:pPr>
        <w:pStyle w:val="Bibliography"/>
        <w:rPr/>
      </w:pPr>
      <w:r>
        <w:rPr/>
        <w:t xml:space="preserve">6. </w:t>
        <w:tab/>
        <w:t xml:space="preserve">D. Tilman, C. Balzer, J. Hill, B. L. Befort, Global food demand and the sustainable intensification of agriculture. </w:t>
      </w:r>
      <w:r>
        <w:rPr>
          <w:i/>
          <w:iCs/>
        </w:rPr>
        <w:t>Proceedings of the National Academy of Sciences</w:t>
      </w:r>
      <w:r>
        <w:rPr/>
        <w:t xml:space="preserve"> </w:t>
      </w:r>
      <w:r>
        <w:rPr>
          <w:b/>
          <w:bCs/>
        </w:rPr>
        <w:t>108</w:t>
      </w:r>
      <w:r>
        <w:rPr/>
        <w:t>, 20260–20264 (2011).</w:t>
      </w:r>
    </w:p>
    <w:p>
      <w:pPr>
        <w:pStyle w:val="Bibliography"/>
        <w:rPr/>
      </w:pPr>
      <w:r>
        <w:rPr/>
        <w:t xml:space="preserve">7. </w:t>
        <w:tab/>
        <w:t xml:space="preserve">Y. Bai, </w:t>
      </w:r>
      <w:r>
        <w:rPr>
          <w:i/>
          <w:iCs/>
        </w:rPr>
        <w:t>et al.</w:t>
      </w:r>
      <w:r>
        <w:rPr/>
        <w:t xml:space="preserve">, Functional overlap of the Arabidopsis leaf and root microbiota. </w:t>
      </w:r>
      <w:r>
        <w:rPr>
          <w:i/>
          <w:iCs/>
        </w:rPr>
        <w:t>Nature</w:t>
      </w:r>
      <w:r>
        <w:rPr/>
        <w:t xml:space="preserve"> </w:t>
      </w:r>
      <w:r>
        <w:rPr>
          <w:b/>
          <w:bCs/>
        </w:rPr>
        <w:t>528</w:t>
      </w:r>
      <w:r>
        <w:rPr/>
        <w:t>, 364–369 (2015).</w:t>
      </w:r>
    </w:p>
    <w:p>
      <w:pPr>
        <w:pStyle w:val="Bibliography"/>
        <w:rPr/>
      </w:pPr>
      <w:r>
        <w:rPr/>
        <w:t xml:space="preserve">8. </w:t>
        <w:tab/>
        <w:t xml:space="preserve">D. S. Lundberg, </w:t>
      </w:r>
      <w:r>
        <w:rPr>
          <w:i/>
          <w:iCs/>
        </w:rPr>
        <w:t>et al.</w:t>
      </w:r>
      <w:r>
        <w:rPr/>
        <w:t xml:space="preserve">, Defining the core Arabidopsis thaliana root microbiome. </w:t>
      </w:r>
      <w:r>
        <w:rPr>
          <w:i/>
          <w:iCs/>
        </w:rPr>
        <w:t>Nature</w:t>
      </w:r>
      <w:r>
        <w:rPr/>
        <w:t xml:space="preserve"> </w:t>
      </w:r>
      <w:r>
        <w:rPr>
          <w:b/>
          <w:bCs/>
        </w:rPr>
        <w:t>488</w:t>
      </w:r>
      <w:r>
        <w:rPr/>
        <w:t>, 86–90 (2012).</w:t>
      </w:r>
    </w:p>
    <w:p>
      <w:pPr>
        <w:pStyle w:val="Bibliography"/>
        <w:rPr/>
      </w:pPr>
      <w:r>
        <w:rPr/>
        <w:t xml:space="preserve">9. </w:t>
        <w:tab/>
        <w:t xml:space="preserve">D. Bulgarelli, </w:t>
      </w:r>
      <w:r>
        <w:rPr>
          <w:i/>
          <w:iCs/>
        </w:rPr>
        <w:t>et al.</w:t>
      </w:r>
      <w:r>
        <w:rPr/>
        <w:t xml:space="preserve">, Revealing structure and assembly cues for Arabidopsis root-inhabiting bacterial microbiota. </w:t>
      </w:r>
      <w:r>
        <w:rPr>
          <w:i/>
          <w:iCs/>
        </w:rPr>
        <w:t>Nature</w:t>
      </w:r>
      <w:r>
        <w:rPr/>
        <w:t xml:space="preserve"> </w:t>
      </w:r>
      <w:r>
        <w:rPr>
          <w:b/>
          <w:bCs/>
        </w:rPr>
        <w:t>488</w:t>
      </w:r>
      <w:r>
        <w:rPr/>
        <w:t>, 91–95 (2012).</w:t>
      </w:r>
    </w:p>
    <w:p>
      <w:pPr>
        <w:pStyle w:val="Bibliography"/>
        <w:rPr/>
      </w:pPr>
      <w:r>
        <w:rPr/>
        <w:t xml:space="preserve">10. </w:t>
        <w:tab/>
        <w:t xml:space="preserve">B. Bai, </w:t>
      </w:r>
      <w:r>
        <w:rPr>
          <w:i/>
          <w:iCs/>
        </w:rPr>
        <w:t>et al.</w:t>
      </w:r>
      <w:r>
        <w:rPr/>
        <w:t xml:space="preserve">, The root microbiome: Community assembly and its contributions to plant fitness. </w:t>
      </w:r>
      <w:r>
        <w:rPr>
          <w:i/>
          <w:iCs/>
        </w:rPr>
        <w:t>J Integr Plant Biol</w:t>
      </w:r>
      <w:r>
        <w:rPr/>
        <w:t xml:space="preserve"> </w:t>
      </w:r>
      <w:r>
        <w:rPr>
          <w:b/>
          <w:bCs/>
        </w:rPr>
        <w:t>64</w:t>
      </w:r>
      <w:r>
        <w:rPr/>
        <w:t>, 230–243 (2022).</w:t>
      </w:r>
    </w:p>
    <w:p>
      <w:pPr>
        <w:pStyle w:val="Bibliography"/>
        <w:rPr/>
      </w:pPr>
      <w:r>
        <w:rPr/>
        <w:t xml:space="preserve">11. </w:t>
        <w:tab/>
        <w:t xml:space="preserve">G. E. D. Oldroyd, Speak, friend, and enter: signalling systems that promote beneficial symbiotic associations in plants. </w:t>
      </w:r>
      <w:r>
        <w:rPr>
          <w:i/>
          <w:iCs/>
        </w:rPr>
        <w:t>Nat Rev Microbiol</w:t>
      </w:r>
      <w:r>
        <w:rPr/>
        <w:t xml:space="preserve"> </w:t>
      </w:r>
      <w:r>
        <w:rPr>
          <w:b/>
          <w:bCs/>
        </w:rPr>
        <w:t>11</w:t>
      </w:r>
      <w:r>
        <w:rPr/>
        <w:t>, 252–263 (2013).</w:t>
      </w:r>
    </w:p>
    <w:p>
      <w:pPr>
        <w:pStyle w:val="Bibliography"/>
        <w:rPr/>
      </w:pPr>
      <w:r>
        <w:rPr/>
        <w:t xml:space="preserve">12. </w:t>
        <w:tab/>
        <w:t xml:space="preserve">M. Parniske, Arbuscular mycorrhiza: the mother of plant root endosymbioses. </w:t>
      </w:r>
      <w:r>
        <w:rPr>
          <w:i/>
          <w:iCs/>
        </w:rPr>
        <w:t>Nat Rev Microbiol</w:t>
      </w:r>
      <w:r>
        <w:rPr/>
        <w:t xml:space="preserve"> </w:t>
      </w:r>
      <w:r>
        <w:rPr>
          <w:b/>
          <w:bCs/>
        </w:rPr>
        <w:t>6</w:t>
      </w:r>
      <w:r>
        <w:rPr/>
        <w:t>, 763–775 (2008).</w:t>
      </w:r>
    </w:p>
    <w:p>
      <w:pPr>
        <w:pStyle w:val="Bibliography"/>
        <w:rPr/>
      </w:pPr>
      <w:r>
        <w:rPr/>
        <w:t xml:space="preserve">13. </w:t>
        <w:tab/>
        <w:t xml:space="preserve">J. Choi, W. Summers, U. Paszkowski, Mechanisms Underlying Establishment of Arbuscular Mycorrhizal Symbioses. </w:t>
      </w:r>
      <w:r>
        <w:rPr>
          <w:i/>
          <w:iCs/>
        </w:rPr>
        <w:t>Annu Rev Phytopathol</w:t>
      </w:r>
      <w:r>
        <w:rPr/>
        <w:t xml:space="preserve"> </w:t>
      </w:r>
      <w:r>
        <w:rPr>
          <w:b/>
          <w:bCs/>
        </w:rPr>
        <w:t>56</w:t>
      </w:r>
      <w:r>
        <w:rPr/>
        <w:t>, 135–160 (2018).</w:t>
      </w:r>
    </w:p>
    <w:p>
      <w:pPr>
        <w:pStyle w:val="Bibliography"/>
        <w:rPr/>
      </w:pPr>
      <w:r>
        <w:rPr/>
        <w:t xml:space="preserve">14. </w:t>
        <w:tab/>
        <w:t xml:space="preserve">K. Akiyama, K. Matsuzaki, H. Hayashi, Plant sesquiterpenes induce hyphal branching in arbuscular mycorrhizal fungi. </w:t>
      </w:r>
      <w:r>
        <w:rPr>
          <w:i/>
          <w:iCs/>
        </w:rPr>
        <w:t>Nature</w:t>
      </w:r>
      <w:r>
        <w:rPr/>
        <w:t xml:space="preserve"> </w:t>
      </w:r>
      <w:r>
        <w:rPr>
          <w:b/>
          <w:bCs/>
        </w:rPr>
        <w:t>435</w:t>
      </w:r>
      <w:r>
        <w:rPr/>
        <w:t>, 824–827 (2005).</w:t>
      </w:r>
    </w:p>
    <w:p>
      <w:pPr>
        <w:pStyle w:val="Bibliography"/>
        <w:rPr/>
      </w:pPr>
      <w:r>
        <w:rPr/>
        <w:t xml:space="preserve">15. </w:t>
        <w:tab/>
        <w:t xml:space="preserve">Y. Wang, </w:t>
      </w:r>
      <w:r>
        <w:rPr>
          <w:i/>
          <w:iCs/>
        </w:rPr>
        <w:t>et al.</w:t>
      </w:r>
      <w:r>
        <w:rPr/>
        <w:t xml:space="preserve">, The role of strigolactones in P deficiency induced transcriptional changes in tomato roots. </w:t>
      </w:r>
      <w:r>
        <w:rPr>
          <w:i/>
          <w:iCs/>
        </w:rPr>
        <w:t>BMC Plant Biol</w:t>
      </w:r>
      <w:r>
        <w:rPr/>
        <w:t xml:space="preserve"> </w:t>
      </w:r>
      <w:r>
        <w:rPr>
          <w:b/>
          <w:bCs/>
        </w:rPr>
        <w:t>21</w:t>
      </w:r>
      <w:r>
        <w:rPr/>
        <w:t>, 349 (2021).</w:t>
      </w:r>
    </w:p>
    <w:p>
      <w:pPr>
        <w:pStyle w:val="Bibliography"/>
        <w:rPr/>
      </w:pPr>
      <w:r>
        <w:rPr/>
        <w:t xml:space="preserve">16. </w:t>
        <w:tab/>
        <w:t xml:space="preserve">T. Kretzschmar, </w:t>
      </w:r>
      <w:r>
        <w:rPr>
          <w:i/>
          <w:iCs/>
        </w:rPr>
        <w:t>et al.</w:t>
      </w:r>
      <w:r>
        <w:rPr/>
        <w:t xml:space="preserve">, A petunia ABC protein controls strigolactone-dependent symbiotic signalling and branching. </w:t>
      </w:r>
      <w:r>
        <w:rPr>
          <w:i/>
          <w:iCs/>
        </w:rPr>
        <w:t>Nature</w:t>
      </w:r>
      <w:r>
        <w:rPr/>
        <w:t xml:space="preserve"> </w:t>
      </w:r>
      <w:r>
        <w:rPr>
          <w:b/>
          <w:bCs/>
        </w:rPr>
        <w:t>483</w:t>
      </w:r>
      <w:r>
        <w:rPr/>
        <w:t>, 341–344 (2012).</w:t>
      </w:r>
    </w:p>
    <w:p>
      <w:pPr>
        <w:pStyle w:val="Bibliography"/>
        <w:rPr/>
      </w:pPr>
      <w:r>
        <w:rPr/>
        <w:t xml:space="preserve">17. </w:t>
        <w:tab/>
        <w:t xml:space="preserve">F. Maillet, </w:t>
      </w:r>
      <w:r>
        <w:rPr>
          <w:i/>
          <w:iCs/>
        </w:rPr>
        <w:t>et al.</w:t>
      </w:r>
      <w:r>
        <w:rPr/>
        <w:t xml:space="preserve">, Fungal lipochitooligosaccharide symbiotic signals in arbuscular mycorrhiza. </w:t>
      </w:r>
      <w:r>
        <w:rPr>
          <w:i/>
          <w:iCs/>
        </w:rPr>
        <w:t>Nature</w:t>
      </w:r>
      <w:r>
        <w:rPr/>
        <w:t xml:space="preserve"> </w:t>
      </w:r>
      <w:r>
        <w:rPr>
          <w:b/>
          <w:bCs/>
        </w:rPr>
        <w:t>469</w:t>
      </w:r>
      <w:r>
        <w:rPr/>
        <w:t>, 58–63 (2011).</w:t>
      </w:r>
    </w:p>
    <w:p>
      <w:pPr>
        <w:pStyle w:val="Bibliography"/>
        <w:rPr/>
      </w:pPr>
      <w:r>
        <w:rPr/>
        <w:t xml:space="preserve">18. </w:t>
        <w:tab/>
        <w:t xml:space="preserve">S. Kosuta, </w:t>
      </w:r>
      <w:r>
        <w:rPr>
          <w:i/>
          <w:iCs/>
        </w:rPr>
        <w:t>et al.</w:t>
      </w:r>
      <w:r>
        <w:rPr/>
        <w:t xml:space="preserve">, Differential and chaotic calcium signatures in the symbiosis signaling pathway of legumes. </w:t>
      </w:r>
      <w:r>
        <w:rPr>
          <w:i/>
          <w:iCs/>
        </w:rPr>
        <w:t>Proceedings of the National Academy of Sciences</w:t>
      </w:r>
      <w:r>
        <w:rPr/>
        <w:t xml:space="preserve"> </w:t>
      </w:r>
      <w:r>
        <w:rPr>
          <w:b/>
          <w:bCs/>
        </w:rPr>
        <w:t>105</w:t>
      </w:r>
      <w:r>
        <w:rPr/>
        <w:t>, 9823–9828 (2008).</w:t>
      </w:r>
    </w:p>
    <w:p>
      <w:pPr>
        <w:pStyle w:val="Bibliography"/>
        <w:rPr/>
      </w:pPr>
      <w:r>
        <w:rPr/>
        <w:t xml:space="preserve">19. </w:t>
        <w:tab/>
        <w:t xml:space="preserve">A. Genre, M. Chabaud, A. Faccio, D. G. Barker, P. Bonfante, Prepenetration apparatus assembly precedes and predicts the colonization patterns of arbuscular mycorrhizal fungi within the root cortex of both Medicago truncatula and Daucus carota. </w:t>
      </w:r>
      <w:r>
        <w:rPr>
          <w:i/>
          <w:iCs/>
        </w:rPr>
        <w:t>Plant Cell</w:t>
      </w:r>
      <w:r>
        <w:rPr/>
        <w:t xml:space="preserve"> </w:t>
      </w:r>
      <w:r>
        <w:rPr>
          <w:b/>
          <w:bCs/>
        </w:rPr>
        <w:t>20</w:t>
      </w:r>
      <w:r>
        <w:rPr/>
        <w:t>, 1407–1420 (2008).</w:t>
      </w:r>
    </w:p>
    <w:p>
      <w:pPr>
        <w:pStyle w:val="Bibliography"/>
        <w:rPr/>
      </w:pPr>
      <w:r>
        <w:rPr/>
        <w:t xml:space="preserve">20. </w:t>
        <w:tab/>
        <w:t xml:space="preserve">A. Keymer, C. Gutjahr, Cross-kingdom lipid transfer in arbuscular mycorrhiza symbiosis and beyond. </w:t>
      </w:r>
      <w:r>
        <w:rPr>
          <w:i/>
          <w:iCs/>
        </w:rPr>
        <w:t>Curr Opin Plant Biol</w:t>
      </w:r>
      <w:r>
        <w:rPr/>
        <w:t xml:space="preserve"> </w:t>
      </w:r>
      <w:r>
        <w:rPr>
          <w:b/>
          <w:bCs/>
        </w:rPr>
        <w:t>44</w:t>
      </w:r>
      <w:r>
        <w:rPr/>
        <w:t>, 137–144 (2018).</w:t>
      </w:r>
    </w:p>
    <w:p>
      <w:pPr>
        <w:pStyle w:val="Bibliography"/>
        <w:rPr/>
      </w:pPr>
      <w:r>
        <w:rPr/>
        <w:t xml:space="preserve">21. </w:t>
        <w:tab/>
        <w:t xml:space="preserve">P. Xu, E. Wang, Diversity and regulation of symbiotic nitrogen fixation in plants. </w:t>
      </w:r>
      <w:r>
        <w:rPr>
          <w:i/>
          <w:iCs/>
        </w:rPr>
        <w:t>Current Biology</w:t>
      </w:r>
      <w:r>
        <w:rPr/>
        <w:t xml:space="preserve"> </w:t>
      </w:r>
      <w:r>
        <w:rPr>
          <w:b/>
          <w:bCs/>
        </w:rPr>
        <w:t>33</w:t>
      </w:r>
      <w:r>
        <w:rPr/>
        <w:t>, R543–R559 (2023).</w:t>
      </w:r>
    </w:p>
    <w:p>
      <w:pPr>
        <w:pStyle w:val="Bibliography"/>
        <w:rPr/>
      </w:pPr>
      <w:r>
        <w:rPr/>
        <w:t xml:space="preserve">22. </w:t>
        <w:tab/>
        <w:t xml:space="preserve">S. E. Dupin, R. Geurts, E. T. Kiers, The Non-Legume Parasponia andersonii Mediates the Fitness of Nitrogen-Fixing Rhizobial Symbionts Under High Nitrogen Conditions. </w:t>
      </w:r>
      <w:r>
        <w:rPr>
          <w:i/>
          <w:iCs/>
        </w:rPr>
        <w:t>Front Plant Sci</w:t>
      </w:r>
      <w:r>
        <w:rPr/>
        <w:t xml:space="preserve"> </w:t>
      </w:r>
      <w:r>
        <w:rPr>
          <w:b/>
          <w:bCs/>
        </w:rPr>
        <w:t>10</w:t>
      </w:r>
      <w:r>
        <w:rPr/>
        <w:t>, 1779 (2019).</w:t>
      </w:r>
    </w:p>
    <w:p>
      <w:pPr>
        <w:pStyle w:val="Bibliography"/>
        <w:rPr/>
      </w:pPr>
      <w:r>
        <w:rPr/>
        <w:t xml:space="preserve">23. </w:t>
        <w:tab/>
        <w:t xml:space="preserve">J.-L. Ferrer, M. B. Austin, C. Stewart, J. P. Noel, Structure and function of enzymes involved in the biosynthesis of phenylpropanoids. </w:t>
      </w:r>
      <w:r>
        <w:rPr>
          <w:i/>
          <w:iCs/>
        </w:rPr>
        <w:t>Plant Physiol Biochem</w:t>
      </w:r>
      <w:r>
        <w:rPr/>
        <w:t xml:space="preserve"> </w:t>
      </w:r>
      <w:r>
        <w:rPr>
          <w:b/>
          <w:bCs/>
        </w:rPr>
        <w:t>46</w:t>
      </w:r>
      <w:r>
        <w:rPr/>
        <w:t>, 356–370 (2008).</w:t>
      </w:r>
    </w:p>
    <w:p>
      <w:pPr>
        <w:pStyle w:val="Bibliography"/>
        <w:rPr/>
      </w:pPr>
      <w:r>
        <w:rPr/>
        <w:t xml:space="preserve">24. </w:t>
        <w:tab/>
        <w:t xml:space="preserve">C.-W. Liu, J. D. Murray, The Role of Flavonoids in Nodulation Host-Range Specificity: An Update. </w:t>
      </w:r>
      <w:r>
        <w:rPr>
          <w:i/>
          <w:iCs/>
        </w:rPr>
        <w:t>Plants (Basel)</w:t>
      </w:r>
      <w:r>
        <w:rPr/>
        <w:t xml:space="preserve"> </w:t>
      </w:r>
      <w:r>
        <w:rPr>
          <w:b/>
          <w:bCs/>
        </w:rPr>
        <w:t>5</w:t>
      </w:r>
      <w:r>
        <w:rPr/>
        <w:t>, 33 (2016).</w:t>
      </w:r>
    </w:p>
    <w:p>
      <w:pPr>
        <w:pStyle w:val="Bibliography"/>
        <w:rPr/>
      </w:pPr>
      <w:r>
        <w:rPr/>
        <w:t xml:space="preserve">25. </w:t>
        <w:tab/>
        <w:t xml:space="preserve">W. Dong, Y. Song, The Significance of Flavonoids in the Process of Biological Nitrogen Fixation. </w:t>
      </w:r>
      <w:r>
        <w:rPr>
          <w:i/>
          <w:iCs/>
        </w:rPr>
        <w:t>International Journal of Molecular Sciences</w:t>
      </w:r>
      <w:r>
        <w:rPr/>
        <w:t xml:space="preserve"> </w:t>
      </w:r>
      <w:r>
        <w:rPr>
          <w:b/>
          <w:bCs/>
        </w:rPr>
        <w:t>21</w:t>
      </w:r>
      <w:r>
        <w:rPr/>
        <w:t xml:space="preserve"> (2020).</w:t>
      </w:r>
    </w:p>
    <w:p>
      <w:pPr>
        <w:pStyle w:val="Bibliography"/>
        <w:rPr/>
      </w:pPr>
      <w:r>
        <w:rPr/>
        <w:t xml:space="preserve">26. </w:t>
        <w:tab/>
        <w:t xml:space="preserve">N. J. Booth, P. M. C. Smith, S. A. Ramesh, D. A. Day, Malate Transport and Metabolism in Nitrogen-Fixing Legume Nodules. </w:t>
      </w:r>
      <w:r>
        <w:rPr>
          <w:i/>
          <w:iCs/>
        </w:rPr>
        <w:t>Molecules</w:t>
      </w:r>
      <w:r>
        <w:rPr/>
        <w:t xml:space="preserve"> </w:t>
      </w:r>
      <w:r>
        <w:rPr>
          <w:b/>
          <w:bCs/>
        </w:rPr>
        <w:t>26</w:t>
      </w:r>
      <w:r>
        <w:rPr/>
        <w:t xml:space="preserve"> (2021).</w:t>
      </w:r>
    </w:p>
    <w:p>
      <w:pPr>
        <w:pStyle w:val="Bibliography"/>
        <w:rPr/>
      </w:pPr>
      <w:r>
        <w:rPr/>
        <w:t xml:space="preserve">27. </w:t>
        <w:tab/>
        <w:t xml:space="preserve">S. Rawsthorne, F. R. Minchin, R. J. Summerfield, C. Cookson, J. Coombs, Carbon and nitrogen metabolism in legume root nodules. </w:t>
      </w:r>
      <w:r>
        <w:rPr>
          <w:i/>
          <w:iCs/>
        </w:rPr>
        <w:t>Phytochemistry</w:t>
      </w:r>
      <w:r>
        <w:rPr/>
        <w:t xml:space="preserve"> </w:t>
      </w:r>
      <w:r>
        <w:rPr>
          <w:b/>
          <w:bCs/>
        </w:rPr>
        <w:t>19</w:t>
      </w:r>
      <w:r>
        <w:rPr/>
        <w:t>, 341–355 (1980).</w:t>
      </w:r>
    </w:p>
    <w:p>
      <w:pPr>
        <w:pStyle w:val="Bibliography"/>
        <w:rPr/>
      </w:pPr>
      <w:r>
        <w:rPr/>
        <w:t xml:space="preserve">28. </w:t>
        <w:tab/>
        <w:t xml:space="preserve">F. J. Bergersen, Delivery of N2 to bacteroids in simulated soybean nodule cells: consideration of gradients of concentration of dissolved N2 in cell walls, cytoplasm, and symbiosomes. </w:t>
      </w:r>
      <w:r>
        <w:rPr>
          <w:i/>
          <w:iCs/>
        </w:rPr>
        <w:t>Protoplasma</w:t>
      </w:r>
      <w:r>
        <w:rPr/>
        <w:t xml:space="preserve"> </w:t>
      </w:r>
      <w:r>
        <w:rPr>
          <w:b/>
          <w:bCs/>
        </w:rPr>
        <w:t>206</w:t>
      </w:r>
      <w:r>
        <w:rPr/>
        <w:t>, 137–142 (1999).</w:t>
      </w:r>
    </w:p>
    <w:p>
      <w:pPr>
        <w:pStyle w:val="Bibliography"/>
        <w:rPr/>
      </w:pPr>
      <w:r>
        <w:rPr/>
        <w:t xml:space="preserve">29. </w:t>
        <w:tab/>
        <w:t xml:space="preserve">M. Udvardi, P. S. Poole, Transport and metabolism in legume-rhizobia symbioses. </w:t>
      </w:r>
      <w:r>
        <w:rPr>
          <w:i/>
          <w:iCs/>
        </w:rPr>
        <w:t>Annu Rev Plant Biol</w:t>
      </w:r>
      <w:r>
        <w:rPr/>
        <w:t xml:space="preserve"> </w:t>
      </w:r>
      <w:r>
        <w:rPr>
          <w:b/>
          <w:bCs/>
        </w:rPr>
        <w:t>64</w:t>
      </w:r>
      <w:r>
        <w:rPr/>
        <w:t>, 781–805 (2013).</w:t>
      </w:r>
    </w:p>
    <w:p>
      <w:pPr>
        <w:pStyle w:val="Bibliography"/>
        <w:rPr/>
      </w:pPr>
      <w:r>
        <w:rPr/>
        <w:t xml:space="preserve">30. </w:t>
        <w:tab/>
        <w:t xml:space="preserve">R. F. Denison, Y. Okano, Leghaemoglobin oxygenation gradients in alfalfa and yellow sweetclover nodules. </w:t>
      </w:r>
      <w:r>
        <w:rPr>
          <w:i/>
          <w:iCs/>
        </w:rPr>
        <w:t>J Exp Bot</w:t>
      </w:r>
      <w:r>
        <w:rPr/>
        <w:t xml:space="preserve"> </w:t>
      </w:r>
      <w:r>
        <w:rPr>
          <w:b/>
          <w:bCs/>
        </w:rPr>
        <w:t>54</w:t>
      </w:r>
      <w:r>
        <w:rPr/>
        <w:t>, 1085–1091 (2003).</w:t>
      </w:r>
    </w:p>
    <w:p>
      <w:pPr>
        <w:pStyle w:val="Bibliography"/>
        <w:rPr/>
      </w:pPr>
      <w:r>
        <w:rPr/>
        <w:t xml:space="preserve">31. </w:t>
        <w:tab/>
        <w:t xml:space="preserve">F. J. de Bruijn, “The common symbiotic signaling pathway (CSSP or SYM)” in </w:t>
      </w:r>
      <w:r>
        <w:rPr>
          <w:i/>
          <w:iCs/>
        </w:rPr>
        <w:t>The Model Legume Medicago Truncatula</w:t>
      </w:r>
      <w:r>
        <w:rPr/>
        <w:t>, (John Wiley &amp; Sons, Ltd, 2020), pp. 521–521.</w:t>
      </w:r>
    </w:p>
    <w:p>
      <w:pPr>
        <w:pStyle w:val="Bibliography"/>
        <w:rPr/>
      </w:pPr>
      <w:r>
        <w:rPr/>
        <w:t xml:space="preserve">32. </w:t>
        <w:tab/>
        <w:t xml:space="preserve">P.-M. Delaux, S. Schornack, Plant evolution driven by interactions with symbiotic and pathogenic microbes. </w:t>
      </w:r>
      <w:r>
        <w:rPr>
          <w:i/>
          <w:iCs/>
        </w:rPr>
        <w:t>Science</w:t>
      </w:r>
      <w:r>
        <w:rPr/>
        <w:t xml:space="preserve"> </w:t>
      </w:r>
      <w:r>
        <w:rPr>
          <w:b/>
          <w:bCs/>
        </w:rPr>
        <w:t>371</w:t>
      </w:r>
      <w:r>
        <w:rPr/>
        <w:t>, eaba6605 (2021).</w:t>
      </w:r>
    </w:p>
    <w:p>
      <w:pPr>
        <w:pStyle w:val="Bibliography"/>
        <w:rPr/>
      </w:pPr>
      <w:r>
        <w:rPr/>
        <w:t xml:space="preserve">33. </w:t>
        <w:tab/>
        <w:t xml:space="preserve">C. Gutjahr, </w:t>
      </w:r>
      <w:r>
        <w:rPr>
          <w:i/>
          <w:iCs/>
        </w:rPr>
        <w:t>et al.</w:t>
      </w:r>
      <w:r>
        <w:rPr/>
        <w:t xml:space="preserve">, Arbuscular mycorrhiza-specific signaling in rice transcends the common symbiosis signaling pathway. </w:t>
      </w:r>
      <w:r>
        <w:rPr>
          <w:i/>
          <w:iCs/>
        </w:rPr>
        <w:t>Plant Cell</w:t>
      </w:r>
      <w:r>
        <w:rPr/>
        <w:t xml:space="preserve"> </w:t>
      </w:r>
      <w:r>
        <w:rPr>
          <w:b/>
          <w:bCs/>
        </w:rPr>
        <w:t>20</w:t>
      </w:r>
      <w:r>
        <w:rPr/>
        <w:t>, 2989–3005 (2008).</w:t>
      </w:r>
    </w:p>
    <w:p>
      <w:pPr>
        <w:pStyle w:val="Bibliography"/>
        <w:rPr/>
      </w:pPr>
      <w:r>
        <w:rPr/>
        <w:t xml:space="preserve">34. </w:t>
        <w:tab/>
        <w:t xml:space="preserve">J. Sun, </w:t>
      </w:r>
      <w:r>
        <w:rPr>
          <w:i/>
          <w:iCs/>
        </w:rPr>
        <w:t>et al.</w:t>
      </w:r>
      <w:r>
        <w:rPr/>
        <w:t xml:space="preserve">, Activation of symbiosis signaling by arbuscular mycorrhizal fungi in legumes and rice. </w:t>
      </w:r>
      <w:r>
        <w:rPr>
          <w:i/>
          <w:iCs/>
        </w:rPr>
        <w:t>Plant Cell</w:t>
      </w:r>
      <w:r>
        <w:rPr/>
        <w:t xml:space="preserve"> </w:t>
      </w:r>
      <w:r>
        <w:rPr>
          <w:b/>
          <w:bCs/>
        </w:rPr>
        <w:t>27</w:t>
      </w:r>
      <w:r>
        <w:rPr/>
        <w:t>, 823–838 (2015).</w:t>
      </w:r>
    </w:p>
    <w:p>
      <w:pPr>
        <w:pStyle w:val="Bibliography"/>
        <w:rPr/>
      </w:pPr>
      <w:r>
        <w:rPr/>
        <w:t xml:space="preserve">35. </w:t>
        <w:tab/>
        <w:t xml:space="preserve">M. Antolín-Llovera, M. K. Ried, M. Parniske, Cleavage of the SYMBIOSIS RECEPTOR-LIKE KINASE ectodomain promotes complex formation with Nod factor receptor 5. </w:t>
      </w:r>
      <w:r>
        <w:rPr>
          <w:i/>
          <w:iCs/>
        </w:rPr>
        <w:t>Curr Biol</w:t>
      </w:r>
      <w:r>
        <w:rPr/>
        <w:t xml:space="preserve"> </w:t>
      </w:r>
      <w:r>
        <w:rPr>
          <w:b/>
          <w:bCs/>
        </w:rPr>
        <w:t>24</w:t>
      </w:r>
      <w:r>
        <w:rPr/>
        <w:t>, 422–427 (2014).</w:t>
      </w:r>
    </w:p>
    <w:p>
      <w:pPr>
        <w:pStyle w:val="Bibliography"/>
        <w:rPr/>
      </w:pPr>
      <w:r>
        <w:rPr/>
        <w:t xml:space="preserve">36. </w:t>
        <w:tab/>
        <w:t xml:space="preserve">K. Demchenko, T. Winzer, J. Stougaard, M. Parniske, K. Pawlowski, Distinct roles of Lotus japonicus SYMRK and SYM15 in root colonization and arbuscule formation. </w:t>
      </w:r>
      <w:r>
        <w:rPr>
          <w:i/>
          <w:iCs/>
        </w:rPr>
        <w:t>New Phytologist</w:t>
      </w:r>
      <w:r>
        <w:rPr/>
        <w:t xml:space="preserve"> </w:t>
      </w:r>
      <w:r>
        <w:rPr>
          <w:b/>
          <w:bCs/>
        </w:rPr>
        <w:t>163</w:t>
      </w:r>
      <w:r>
        <w:rPr/>
        <w:t>, 381–392 (2004).</w:t>
      </w:r>
    </w:p>
    <w:p>
      <w:pPr>
        <w:pStyle w:val="Bibliography"/>
        <w:rPr/>
      </w:pPr>
      <w:r>
        <w:rPr/>
        <w:t xml:space="preserve">37. </w:t>
        <w:tab/>
        <w:t xml:space="preserve">N. B. Abel, </w:t>
      </w:r>
      <w:r>
        <w:rPr>
          <w:i/>
          <w:iCs/>
        </w:rPr>
        <w:t>et al.</w:t>
      </w:r>
      <w:r>
        <w:rPr/>
        <w:t xml:space="preserve">, Phosphorylation of the alpha-I motif in SYMRK drives root nodule organogenesis. </w:t>
      </w:r>
      <w:r>
        <w:rPr>
          <w:i/>
          <w:iCs/>
        </w:rPr>
        <w:t>Proc Natl Acad Sci U S A</w:t>
      </w:r>
      <w:r>
        <w:rPr/>
        <w:t xml:space="preserve"> </w:t>
      </w:r>
      <w:r>
        <w:rPr>
          <w:b/>
          <w:bCs/>
        </w:rPr>
        <w:t>121</w:t>
      </w:r>
      <w:r>
        <w:rPr/>
        <w:t>, e2311522121 (2024).</w:t>
      </w:r>
    </w:p>
    <w:p>
      <w:pPr>
        <w:pStyle w:val="Bibliography"/>
        <w:rPr/>
      </w:pPr>
      <w:r>
        <w:rPr/>
        <w:t xml:space="preserve">38. </w:t>
        <w:tab/>
        <w:t xml:space="preserve">H. Gherbi, </w:t>
      </w:r>
      <w:r>
        <w:rPr>
          <w:i/>
          <w:iCs/>
        </w:rPr>
        <w:t>et al.</w:t>
      </w:r>
      <w:r>
        <w:rPr/>
        <w:t xml:space="preserve">, SymRK defines a common genetic basis for plant root endosymbioses with arbuscular mycorrhiza fungi, rhizobia, and Frankiabacteria. </w:t>
      </w:r>
      <w:r>
        <w:rPr>
          <w:i/>
          <w:iCs/>
        </w:rPr>
        <w:t>Proceedings of the National Academy of Sciences</w:t>
      </w:r>
      <w:r>
        <w:rPr/>
        <w:t xml:space="preserve"> </w:t>
      </w:r>
      <w:r>
        <w:rPr>
          <w:b/>
          <w:bCs/>
        </w:rPr>
        <w:t>105</w:t>
      </w:r>
      <w:r>
        <w:rPr/>
        <w:t>, 4928–4932 (2008).</w:t>
      </w:r>
    </w:p>
    <w:p>
      <w:pPr>
        <w:pStyle w:val="Bibliography"/>
        <w:rPr/>
      </w:pPr>
      <w:r>
        <w:rPr/>
        <w:t xml:space="preserve">39. </w:t>
        <w:tab/>
        <w:t xml:space="preserve">N. Tuteja, S. Mahajan, Calcium signaling network in plants: an overview. </w:t>
      </w:r>
      <w:r>
        <w:rPr>
          <w:i/>
          <w:iCs/>
        </w:rPr>
        <w:t>Plant Signal Behav</w:t>
      </w:r>
      <w:r>
        <w:rPr/>
        <w:t xml:space="preserve"> </w:t>
      </w:r>
      <w:r>
        <w:rPr>
          <w:b/>
          <w:bCs/>
        </w:rPr>
        <w:t>2</w:t>
      </w:r>
      <w:r>
        <w:rPr/>
        <w:t>, 79–85 (2007).</w:t>
      </w:r>
    </w:p>
    <w:p>
      <w:pPr>
        <w:pStyle w:val="Bibliography"/>
        <w:rPr/>
      </w:pPr>
      <w:r>
        <w:rPr/>
        <w:t xml:space="preserve">40. </w:t>
        <w:tab/>
        <w:t xml:space="preserve">J. Lévy, </w:t>
      </w:r>
      <w:r>
        <w:rPr>
          <w:i/>
          <w:iCs/>
        </w:rPr>
        <w:t>et al.</w:t>
      </w:r>
      <w:r>
        <w:rPr/>
        <w:t xml:space="preserve">, A putative Ca2+ and calmodulin-dependent protein kinase required for bacterial and fungal symbioses. </w:t>
      </w:r>
      <w:r>
        <w:rPr>
          <w:i/>
          <w:iCs/>
        </w:rPr>
        <w:t>Science</w:t>
      </w:r>
      <w:r>
        <w:rPr/>
        <w:t xml:space="preserve"> </w:t>
      </w:r>
      <w:r>
        <w:rPr>
          <w:b/>
          <w:bCs/>
        </w:rPr>
        <w:t>303</w:t>
      </w:r>
      <w:r>
        <w:rPr/>
        <w:t>, 1361–1364 (2004).</w:t>
      </w:r>
    </w:p>
    <w:p>
      <w:pPr>
        <w:pStyle w:val="Bibliography"/>
        <w:rPr/>
      </w:pPr>
      <w:r>
        <w:rPr/>
        <w:t xml:space="preserve">41. </w:t>
        <w:tab/>
        <w:t xml:space="preserve">T. Hayashi, </w:t>
      </w:r>
      <w:r>
        <w:rPr>
          <w:i/>
          <w:iCs/>
        </w:rPr>
        <w:t>et al.</w:t>
      </w:r>
      <w:r>
        <w:rPr/>
        <w:t xml:space="preserve">, A dominant function of CCaMK in intracellular accommodation of bacterial and fungal endosymbionts. </w:t>
      </w:r>
      <w:r>
        <w:rPr>
          <w:i/>
          <w:iCs/>
        </w:rPr>
        <w:t>Plant J</w:t>
      </w:r>
      <w:r>
        <w:rPr/>
        <w:t xml:space="preserve"> </w:t>
      </w:r>
      <w:r>
        <w:rPr>
          <w:b/>
          <w:bCs/>
        </w:rPr>
        <w:t>63</w:t>
      </w:r>
      <w:r>
        <w:rPr/>
        <w:t>, 141–154 (2010).</w:t>
      </w:r>
    </w:p>
    <w:p>
      <w:pPr>
        <w:pStyle w:val="Bibliography"/>
        <w:rPr/>
      </w:pPr>
      <w:r>
        <w:rPr/>
        <w:t xml:space="preserve">42. </w:t>
        <w:tab/>
        <w:t xml:space="preserve">R. M. Mitra, </w:t>
      </w:r>
      <w:r>
        <w:rPr>
          <w:i/>
          <w:iCs/>
        </w:rPr>
        <w:t>et al.</w:t>
      </w:r>
      <w:r>
        <w:rPr/>
        <w:t xml:space="preserve">, A Ca2+/calmodulin-dependent protein kinase required for symbiotic nodule development: Gene identification by transcript-based cloning. </w:t>
      </w:r>
      <w:r>
        <w:rPr>
          <w:i/>
          <w:iCs/>
        </w:rPr>
        <w:t>Proc Natl Acad Sci U S A</w:t>
      </w:r>
      <w:r>
        <w:rPr/>
        <w:t xml:space="preserve"> </w:t>
      </w:r>
      <w:r>
        <w:rPr>
          <w:b/>
          <w:bCs/>
        </w:rPr>
        <w:t>101</w:t>
      </w:r>
      <w:r>
        <w:rPr/>
        <w:t>, 4701–4705 (2004).</w:t>
      </w:r>
    </w:p>
    <w:p>
      <w:pPr>
        <w:pStyle w:val="Bibliography"/>
        <w:rPr/>
      </w:pPr>
      <w:r>
        <w:rPr/>
        <w:t xml:space="preserve">43. </w:t>
        <w:tab/>
        <w:t xml:space="preserve">N. M. Cook, </w:t>
      </w:r>
      <w:r>
        <w:rPr>
          <w:i/>
          <w:iCs/>
        </w:rPr>
        <w:t>et al.</w:t>
      </w:r>
      <w:r>
        <w:rPr/>
        <w:t xml:space="preserve">, Autoactive CNGC15 enhances root endosymbiosis in legume and wheat. </w:t>
      </w:r>
      <w:r>
        <w:rPr>
          <w:i/>
          <w:iCs/>
        </w:rPr>
        <w:t>Nature</w:t>
      </w:r>
      <w:r>
        <w:rPr/>
        <w:t xml:space="preserve"> </w:t>
      </w:r>
      <w:r>
        <w:rPr>
          <w:b/>
          <w:bCs/>
        </w:rPr>
        <w:t>638</w:t>
      </w:r>
      <w:r>
        <w:rPr/>
        <w:t>, 752–759 (2025).</w:t>
      </w:r>
    </w:p>
    <w:p>
      <w:pPr>
        <w:pStyle w:val="Bibliography"/>
        <w:rPr/>
      </w:pPr>
      <w:r>
        <w:rPr/>
        <w:t xml:space="preserve">44. </w:t>
        <w:tab/>
        <w:t xml:space="preserve">K. Yano, </w:t>
      </w:r>
      <w:r>
        <w:rPr>
          <w:i/>
          <w:iCs/>
        </w:rPr>
        <w:t>et al.</w:t>
      </w:r>
      <w:r>
        <w:rPr/>
        <w:t xml:space="preserve">, CYCLOPS, a mediator of symbiotic intracellular accommodation. </w:t>
      </w:r>
      <w:r>
        <w:rPr>
          <w:i/>
          <w:iCs/>
        </w:rPr>
        <w:t>Proceedings of the National Academy of Sciences</w:t>
      </w:r>
      <w:r>
        <w:rPr/>
        <w:t xml:space="preserve"> </w:t>
      </w:r>
      <w:r>
        <w:rPr>
          <w:b/>
          <w:bCs/>
        </w:rPr>
        <w:t>105</w:t>
      </w:r>
      <w:r>
        <w:rPr/>
        <w:t>, 20540–20545 (2008).</w:t>
      </w:r>
    </w:p>
    <w:p>
      <w:pPr>
        <w:pStyle w:val="Bibliography"/>
        <w:rPr/>
      </w:pPr>
      <w:r>
        <w:rPr/>
        <w:t xml:space="preserve">45. </w:t>
        <w:tab/>
        <w:t xml:space="preserve">B. Horváth, </w:t>
      </w:r>
      <w:r>
        <w:rPr>
          <w:i/>
          <w:iCs/>
        </w:rPr>
        <w:t>et al.</w:t>
      </w:r>
      <w:r>
        <w:rPr/>
        <w:t xml:space="preserve">, Medicago truncatula IPD3 is a member of the common symbiotic signaling pathway required for rhizobial and mycorrhizal symbioses. </w:t>
      </w:r>
      <w:r>
        <w:rPr>
          <w:i/>
          <w:iCs/>
        </w:rPr>
        <w:t>Mol Plant Microbe Interact</w:t>
      </w:r>
      <w:r>
        <w:rPr/>
        <w:t xml:space="preserve"> </w:t>
      </w:r>
      <w:r>
        <w:rPr>
          <w:b/>
          <w:bCs/>
        </w:rPr>
        <w:t>24</w:t>
      </w:r>
      <w:r>
        <w:rPr/>
        <w:t>, 1345–1358 (2011).</w:t>
      </w:r>
    </w:p>
    <w:p>
      <w:pPr>
        <w:pStyle w:val="Bibliography"/>
        <w:rPr/>
      </w:pPr>
      <w:r>
        <w:rPr/>
        <w:t xml:space="preserve">46. </w:t>
        <w:tab/>
        <w:t xml:space="preserve">L. H. Madsen, </w:t>
      </w:r>
      <w:r>
        <w:rPr>
          <w:i/>
          <w:iCs/>
        </w:rPr>
        <w:t>et al.</w:t>
      </w:r>
      <w:r>
        <w:rPr/>
        <w:t xml:space="preserve">, The molecular network governing nodule organogenesis and infection in the model legume Lotus japonicus. </w:t>
      </w:r>
      <w:r>
        <w:rPr>
          <w:i/>
          <w:iCs/>
        </w:rPr>
        <w:t>Nat Commun</w:t>
      </w:r>
      <w:r>
        <w:rPr/>
        <w:t xml:space="preserve"> </w:t>
      </w:r>
      <w:r>
        <w:rPr>
          <w:b/>
          <w:bCs/>
        </w:rPr>
        <w:t>1</w:t>
      </w:r>
      <w:r>
        <w:rPr/>
        <w:t>, 10 (2010).</w:t>
      </w:r>
    </w:p>
    <w:p>
      <w:pPr>
        <w:pStyle w:val="Bibliography"/>
        <w:rPr/>
      </w:pPr>
      <w:r>
        <w:rPr/>
        <w:t xml:space="preserve">47. </w:t>
        <w:tab/>
        <w:t xml:space="preserve">A. B. Heckmann, </w:t>
      </w:r>
      <w:r>
        <w:rPr>
          <w:i/>
          <w:iCs/>
        </w:rPr>
        <w:t>et al.</w:t>
      </w:r>
      <w:r>
        <w:rPr/>
        <w:t xml:space="preserve">, Lotus japonicus nodulation requires two GRAS domain regulators, one of which is functionally conserved in a non-legume. </w:t>
      </w:r>
      <w:r>
        <w:rPr>
          <w:i/>
          <w:iCs/>
        </w:rPr>
        <w:t>Plant Physiol</w:t>
      </w:r>
      <w:r>
        <w:rPr/>
        <w:t xml:space="preserve"> </w:t>
      </w:r>
      <w:r>
        <w:rPr>
          <w:b/>
          <w:bCs/>
        </w:rPr>
        <w:t>142</w:t>
      </w:r>
      <w:r>
        <w:rPr/>
        <w:t>, 1739–1750 (2006).</w:t>
      </w:r>
    </w:p>
    <w:p>
      <w:pPr>
        <w:pStyle w:val="Bibliography"/>
        <w:rPr/>
      </w:pPr>
      <w:r>
        <w:rPr/>
        <w:t xml:space="preserve">48. </w:t>
        <w:tab/>
        <w:t xml:space="preserve">R. Geurts, A. Lillo, T. Bisseling, Exploiting an ancient signalling machinery to enjoy a nitrogen fixing symbiosis. </w:t>
      </w:r>
      <w:r>
        <w:rPr>
          <w:i/>
          <w:iCs/>
        </w:rPr>
        <w:t>Curr Opin Plant Biol</w:t>
      </w:r>
      <w:r>
        <w:rPr/>
        <w:t xml:space="preserve"> </w:t>
      </w:r>
      <w:r>
        <w:rPr>
          <w:b/>
          <w:bCs/>
        </w:rPr>
        <w:t>15</w:t>
      </w:r>
      <w:r>
        <w:rPr/>
        <w:t>, 438–443 (2012).</w:t>
      </w:r>
    </w:p>
    <w:p>
      <w:pPr>
        <w:pStyle w:val="Bibliography"/>
        <w:rPr/>
      </w:pPr>
      <w:r>
        <w:rPr/>
        <w:t xml:space="preserve">49. </w:t>
        <w:tab/>
        <w:t xml:space="preserve">W. Liu, </w:t>
      </w:r>
      <w:r>
        <w:rPr>
          <w:i/>
          <w:iCs/>
        </w:rPr>
        <w:t>et al.</w:t>
      </w:r>
      <w:r>
        <w:rPr/>
        <w:t xml:space="preserve">, Strigolactone Biosynthesis in Medicago  truncatula and Rice Requires the Symbiotic GRAS-Type Transcription Factors NSP1 and NSP2. </w:t>
      </w:r>
      <w:r>
        <w:rPr>
          <w:i/>
          <w:iCs/>
        </w:rPr>
        <w:t>Plant Cell</w:t>
      </w:r>
      <w:r>
        <w:rPr/>
        <w:t xml:space="preserve"> </w:t>
      </w:r>
      <w:r>
        <w:rPr>
          <w:b/>
          <w:bCs/>
        </w:rPr>
        <w:t>23</w:t>
      </w:r>
      <w:r>
        <w:rPr/>
        <w:t>, 3853–3865 (2011).</w:t>
      </w:r>
    </w:p>
    <w:p>
      <w:pPr>
        <w:pStyle w:val="Bibliography"/>
        <w:rPr/>
      </w:pPr>
      <w:r>
        <w:rPr/>
        <w:t xml:space="preserve">50. </w:t>
        <w:tab/>
        <w:t xml:space="preserve">X.-R. Li, </w:t>
      </w:r>
      <w:r>
        <w:rPr>
          <w:i/>
          <w:iCs/>
        </w:rPr>
        <w:t>et al.</w:t>
      </w:r>
      <w:r>
        <w:rPr/>
        <w:t xml:space="preserve">, Nutrient regulation of lipochitooligosaccharide recognition in plants via NSP1 and NSP2. </w:t>
      </w:r>
      <w:r>
        <w:rPr>
          <w:i/>
          <w:iCs/>
        </w:rPr>
        <w:t>Nat Commun</w:t>
      </w:r>
      <w:r>
        <w:rPr/>
        <w:t xml:space="preserve"> </w:t>
      </w:r>
      <w:r>
        <w:rPr>
          <w:b/>
          <w:bCs/>
        </w:rPr>
        <w:t>13</w:t>
      </w:r>
      <w:r>
        <w:rPr/>
        <w:t>, 6421 (2022).</w:t>
      </w:r>
    </w:p>
    <w:p>
      <w:pPr>
        <w:pStyle w:val="Bibliography"/>
        <w:rPr/>
      </w:pPr>
      <w:r>
        <w:rPr/>
        <w:t xml:space="preserve">51. </w:t>
        <w:tab/>
        <w:t xml:space="preserve">M. Tsitsikli, </w:t>
      </w:r>
      <w:r>
        <w:rPr>
          <w:i/>
          <w:iCs/>
        </w:rPr>
        <w:t>et al.</w:t>
      </w:r>
      <w:r>
        <w:rPr/>
        <w:t xml:space="preserve">, Two residues reprogram immunity receptors for nitrogen-fixing symbiosis. </w:t>
      </w:r>
      <w:r>
        <w:rPr>
          <w:i/>
          <w:iCs/>
        </w:rPr>
        <w:t>Nature</w:t>
      </w:r>
      <w:r>
        <w:rPr/>
        <w:t xml:space="preserve"> </w:t>
      </w:r>
      <w:r>
        <w:rPr>
          <w:b/>
          <w:bCs/>
        </w:rPr>
        <w:t>648</w:t>
      </w:r>
      <w:r>
        <w:rPr/>
        <w:t>, 443–450 (2025).</w:t>
      </w:r>
    </w:p>
    <w:p>
      <w:pPr>
        <w:pStyle w:val="Bibliography"/>
        <w:rPr/>
      </w:pPr>
      <w:r>
        <w:rPr/>
        <w:t xml:space="preserve">52. </w:t>
        <w:tab/>
        <w:t xml:space="preserve">T. Vernié, </w:t>
      </w:r>
      <w:r>
        <w:rPr>
          <w:i/>
          <w:iCs/>
        </w:rPr>
        <w:t>et al.</w:t>
      </w:r>
      <w:r>
        <w:rPr/>
        <w:t xml:space="preserve">, Conservation of symbiotic signaling since the most recent common ancestor of land plants. </w:t>
      </w:r>
      <w:r>
        <w:rPr>
          <w:i/>
          <w:iCs/>
        </w:rPr>
        <w:t>Proceedings of the National Academy of Sciences</w:t>
      </w:r>
      <w:r>
        <w:rPr/>
        <w:t xml:space="preserve"> </w:t>
      </w:r>
      <w:r>
        <w:rPr>
          <w:b/>
          <w:bCs/>
        </w:rPr>
        <w:t>122</w:t>
      </w:r>
      <w:r>
        <w:rPr/>
        <w:t>, e2408539121 (2025).</w:t>
      </w:r>
    </w:p>
    <w:p>
      <w:pPr>
        <w:pStyle w:val="Bibliography"/>
        <w:rPr/>
      </w:pPr>
      <w:r>
        <w:rPr/>
        <w:t xml:space="preserve">53. </w:t>
        <w:tab/>
        <w:t xml:space="preserve">H. Rübsam, </w:t>
      </w:r>
      <w:r>
        <w:rPr>
          <w:i/>
          <w:iCs/>
        </w:rPr>
        <w:t>et al.</w:t>
      </w:r>
      <w:r>
        <w:rPr/>
        <w:t xml:space="preserve">, Nanobody-driven signaling reveals the core receptor complex in root nodule symbiosis. </w:t>
      </w:r>
      <w:r>
        <w:rPr>
          <w:i/>
          <w:iCs/>
        </w:rPr>
        <w:t>Science</w:t>
      </w:r>
      <w:r>
        <w:rPr/>
        <w:t xml:space="preserve"> </w:t>
      </w:r>
      <w:r>
        <w:rPr>
          <w:b/>
          <w:bCs/>
        </w:rPr>
        <w:t>379</w:t>
      </w:r>
      <w:r>
        <w:rPr/>
        <w:t>, 272–277 (2023).</w:t>
      </w:r>
    </w:p>
    <w:p>
      <w:pPr>
        <w:pStyle w:val="Bibliography"/>
        <w:rPr/>
      </w:pPr>
      <w:r>
        <w:rPr/>
        <w:t xml:space="preserve">54. </w:t>
        <w:tab/>
        <w:t xml:space="preserve">J.-P. Gao, C. H. Chiu, G. E. D. Oldroyd, Unlocking the role of </w:t>
      </w:r>
      <w:r>
        <w:rPr>
          <w:i/>
          <w:iCs/>
        </w:rPr>
        <w:t>NSP1</w:t>
      </w:r>
      <w:r>
        <w:rPr/>
        <w:t xml:space="preserve"> and </w:t>
      </w:r>
      <w:r>
        <w:rPr>
          <w:i/>
          <w:iCs/>
        </w:rPr>
        <w:t>NSP2</w:t>
      </w:r>
      <w:r>
        <w:rPr/>
        <w:t xml:space="preserve">: nutrient-responsive regulators in nodulation. </w:t>
      </w:r>
      <w:r>
        <w:rPr>
          <w:i/>
          <w:iCs/>
        </w:rPr>
        <w:t>Trends in Plant Science</w:t>
      </w:r>
      <w:r>
        <w:rPr/>
        <w:t xml:space="preserve"> </w:t>
      </w:r>
      <w:r>
        <w:rPr>
          <w:b/>
          <w:bCs/>
        </w:rPr>
        <w:t>30</w:t>
      </w:r>
      <w:r>
        <w:rPr/>
        <w:t>, 925–928 (2025).</w:t>
      </w:r>
    </w:p>
    <w:p>
      <w:pPr>
        <w:pStyle w:val="Bibliography"/>
        <w:rPr/>
      </w:pPr>
      <w:r>
        <w:rPr/>
        <w:t xml:space="preserve">55. </w:t>
        <w:tab/>
        <w:t xml:space="preserve">K. Tao, </w:t>
      </w:r>
      <w:r>
        <w:rPr>
          <w:i/>
          <w:iCs/>
        </w:rPr>
        <w:t>et al.</w:t>
      </w:r>
      <w:r>
        <w:rPr/>
        <w:t xml:space="preserve">, Nitrogen and Nod factor signaling determine Lotus japonicus root exudate composition and bacterial assembly. </w:t>
      </w:r>
      <w:r>
        <w:rPr>
          <w:i/>
          <w:iCs/>
        </w:rPr>
        <w:t>Nat Commun</w:t>
      </w:r>
      <w:r>
        <w:rPr/>
        <w:t xml:space="preserve"> </w:t>
      </w:r>
      <w:r>
        <w:rPr>
          <w:b/>
          <w:bCs/>
        </w:rPr>
        <w:t>15</w:t>
      </w:r>
      <w:r>
        <w:rPr/>
        <w:t>, 3436 (2024).</w:t>
      </w:r>
    </w:p>
    <w:p>
      <w:pPr>
        <w:pStyle w:val="Bibliography"/>
        <w:rPr/>
      </w:pPr>
      <w:r>
        <w:rPr/>
        <w:t xml:space="preserve">56. </w:t>
        <w:tab/>
        <w:t xml:space="preserve">R. Zgadzaj, </w:t>
      </w:r>
      <w:r>
        <w:rPr>
          <w:i/>
          <w:iCs/>
        </w:rPr>
        <w:t>et al.</w:t>
      </w:r>
      <w:r>
        <w:rPr/>
        <w:t xml:space="preserve">, Root nodule symbiosis in Lotus japonicus drives the establishment of distinctive rhizosphere, root, and nodule bacterial communities. </w:t>
      </w:r>
      <w:r>
        <w:rPr>
          <w:i/>
          <w:iCs/>
        </w:rPr>
        <w:t>Proceedings of the National Academy of Sciences</w:t>
      </w:r>
      <w:r>
        <w:rPr/>
        <w:t xml:space="preserve"> </w:t>
      </w:r>
      <w:r>
        <w:rPr>
          <w:b/>
          <w:bCs/>
        </w:rPr>
        <w:t>113</w:t>
      </w:r>
      <w:r>
        <w:rPr/>
        <w:t>, E7996–E8005 (2016).</w:t>
      </w:r>
    </w:p>
    <w:p>
      <w:pPr>
        <w:pStyle w:val="Bibliography"/>
        <w:rPr/>
      </w:pPr>
      <w:r>
        <w:rPr/>
        <w:t xml:space="preserve">57. </w:t>
        <w:tab/>
        <w:t xml:space="preserve">T. Thiergart, </w:t>
      </w:r>
      <w:r>
        <w:rPr>
          <w:i/>
          <w:iCs/>
        </w:rPr>
        <w:t>et al.</w:t>
      </w:r>
      <w:r>
        <w:rPr/>
        <w:t xml:space="preserve">, Lotus japonicus Symbiosis Genes Impact Microbial Interactions between Symbionts and Multikingdom Commensal Communities. </w:t>
      </w:r>
      <w:r>
        <w:rPr>
          <w:i/>
          <w:iCs/>
        </w:rPr>
        <w:t>mBio</w:t>
      </w:r>
      <w:r>
        <w:rPr/>
        <w:t xml:space="preserve"> </w:t>
      </w:r>
      <w:r>
        <w:rPr>
          <w:b/>
          <w:bCs/>
        </w:rPr>
        <w:t>10</w:t>
      </w:r>
      <w:r>
        <w:rPr/>
        <w:t>, e01833-19 (2019).</w:t>
      </w:r>
    </w:p>
    <w:p>
      <w:pPr>
        <w:pStyle w:val="Bibliography"/>
        <w:rPr/>
      </w:pPr>
      <w:r>
        <w:rPr/>
        <w:t xml:space="preserve">58. </w:t>
        <w:tab/>
        <w:t xml:space="preserve">A. Tkacz, </w:t>
      </w:r>
      <w:r>
        <w:rPr>
          <w:i/>
          <w:iCs/>
        </w:rPr>
        <w:t>et al.</w:t>
      </w:r>
      <w:r>
        <w:rPr/>
        <w:t xml:space="preserve">, Nodulation and nitrogen fixation in Medicago truncatula strongly alters the abundance of its root microbiota and subtly affects its structure. </w:t>
      </w:r>
      <w:r>
        <w:rPr>
          <w:i/>
          <w:iCs/>
        </w:rPr>
        <w:t>Environ Microbiol</w:t>
      </w:r>
      <w:r>
        <w:rPr/>
        <w:t xml:space="preserve"> </w:t>
      </w:r>
      <w:r>
        <w:rPr>
          <w:b/>
          <w:bCs/>
        </w:rPr>
        <w:t>24</w:t>
      </w:r>
      <w:r>
        <w:rPr/>
        <w:t>, 5524–5533 (2022).</w:t>
      </w:r>
    </w:p>
    <w:p>
      <w:pPr>
        <w:pStyle w:val="Bibliography"/>
        <w:rPr/>
      </w:pPr>
      <w:r>
        <w:rPr/>
        <w:t xml:space="preserve">59. </w:t>
        <w:tab/>
        <w:t xml:space="preserve">S. Ikeda, </w:t>
      </w:r>
      <w:r>
        <w:rPr>
          <w:i/>
          <w:iCs/>
        </w:rPr>
        <w:t>et al.</w:t>
      </w:r>
      <w:r>
        <w:rPr/>
        <w:t xml:space="preserve">, The genotype of the calcium/calmodulin-dependent protein kinase gene (CCaMK) determines bacterial community diversity in rice roots under paddy and upland field conditions. </w:t>
      </w:r>
      <w:r>
        <w:rPr>
          <w:i/>
          <w:iCs/>
        </w:rPr>
        <w:t>Appl Environ Microbiol</w:t>
      </w:r>
      <w:r>
        <w:rPr/>
        <w:t xml:space="preserve"> </w:t>
      </w:r>
      <w:r>
        <w:rPr>
          <w:b/>
          <w:bCs/>
        </w:rPr>
        <w:t>77</w:t>
      </w:r>
      <w:r>
        <w:rPr/>
        <w:t>, 4399–4405 (2011).</w:t>
      </w:r>
    </w:p>
    <w:p>
      <w:pPr>
        <w:pStyle w:val="Bibliography"/>
        <w:rPr/>
      </w:pPr>
      <w:r>
        <w:rPr/>
        <w:t xml:space="preserve">60. </w:t>
        <w:tab/>
        <w:t xml:space="preserve">B. T. Christensen, I. K. Thomsen, J. Eriksen, The Askov long-term field experiment (1894–2021) represents a unique research platform. </w:t>
      </w:r>
      <w:r>
        <w:rPr>
          <w:i/>
          <w:iCs/>
        </w:rPr>
        <w:t>Journal of Plant Nutrition and Soil Science</w:t>
      </w:r>
      <w:r>
        <w:rPr/>
        <w:t xml:space="preserve"> </w:t>
      </w:r>
      <w:r>
        <w:rPr>
          <w:b/>
          <w:bCs/>
        </w:rPr>
        <w:t>185</w:t>
      </w:r>
      <w:r>
        <w:rPr/>
        <w:t>, 187–201 (2022).</w:t>
      </w:r>
    </w:p>
    <w:p>
      <w:pPr>
        <w:pStyle w:val="Bibliography"/>
        <w:rPr/>
      </w:pPr>
      <w:r>
        <w:rPr/>
        <w:t xml:space="preserve">61. </w:t>
        <w:tab/>
        <w:t xml:space="preserve">M. Delgado-Baquerizo, </w:t>
      </w:r>
      <w:r>
        <w:rPr>
          <w:i/>
          <w:iCs/>
        </w:rPr>
        <w:t>et al.</w:t>
      </w:r>
      <w:r>
        <w:rPr/>
        <w:t xml:space="preserve">, A global atlas of the dominant bacteria found in soil. </w:t>
      </w:r>
      <w:r>
        <w:rPr>
          <w:i/>
          <w:iCs/>
        </w:rPr>
        <w:t>Science</w:t>
      </w:r>
      <w:r>
        <w:rPr/>
        <w:t xml:space="preserve"> </w:t>
      </w:r>
      <w:r>
        <w:rPr>
          <w:b/>
          <w:bCs/>
        </w:rPr>
        <w:t>359</w:t>
      </w:r>
      <w:r>
        <w:rPr/>
        <w:t>, 320–325 (2018).</w:t>
      </w:r>
    </w:p>
    <w:p>
      <w:pPr>
        <w:pStyle w:val="Bibliography"/>
        <w:rPr/>
      </w:pPr>
      <w:r>
        <w:rPr/>
        <w:t xml:space="preserve">62. </w:t>
        <w:tab/>
        <w:t xml:space="preserve">F. R. Kulcheski, R. Côrrea, I. A. Gomes, J. C. de Lima, R. Margis, NPK macronutrients and microRNA homeostasis. </w:t>
      </w:r>
      <w:r>
        <w:rPr>
          <w:i/>
          <w:iCs/>
        </w:rPr>
        <w:t>Front. Plant Sci.</w:t>
      </w:r>
      <w:r>
        <w:rPr/>
        <w:t xml:space="preserve"> </w:t>
      </w:r>
      <w:r>
        <w:rPr>
          <w:b/>
          <w:bCs/>
        </w:rPr>
        <w:t>6</w:t>
      </w:r>
      <w:r>
        <w:rPr/>
        <w:t xml:space="preserve"> (2015).</w:t>
      </w:r>
    </w:p>
    <w:p>
      <w:pPr>
        <w:pStyle w:val="Bibliography"/>
        <w:rPr/>
      </w:pPr>
      <w:r>
        <w:rPr/>
        <w:t xml:space="preserve">63. </w:t>
        <w:tab/>
        <w:t xml:space="preserve">F. Mus, </w:t>
      </w:r>
      <w:r>
        <w:rPr>
          <w:i/>
          <w:iCs/>
        </w:rPr>
        <w:t>et al.</w:t>
      </w:r>
      <w:r>
        <w:rPr/>
        <w:t xml:space="preserve">, Symbiotic Nitrogen Fixation and the Challenges to Its Extension to Nonlegumes. </w:t>
      </w:r>
      <w:r>
        <w:rPr>
          <w:i/>
          <w:iCs/>
        </w:rPr>
        <w:t>Appl Environ Microbiol</w:t>
      </w:r>
      <w:r>
        <w:rPr/>
        <w:t xml:space="preserve"> </w:t>
      </w:r>
      <w:r>
        <w:rPr>
          <w:b/>
          <w:bCs/>
        </w:rPr>
        <w:t>82</w:t>
      </w:r>
      <w:r>
        <w:rPr/>
        <w:t>, 3698–3710 (2016).</w:t>
      </w:r>
    </w:p>
    <w:p>
      <w:pPr>
        <w:pStyle w:val="Bibliography"/>
        <w:rPr/>
      </w:pPr>
      <w:r>
        <w:rPr/>
        <w:t xml:space="preserve">64. </w:t>
        <w:tab/>
        <w:t xml:space="preserve">K. Wippel, </w:t>
      </w:r>
      <w:r>
        <w:rPr>
          <w:i/>
          <w:iCs/>
        </w:rPr>
        <w:t>et al.</w:t>
      </w:r>
      <w:r>
        <w:rPr/>
        <w:t xml:space="preserve">, Host preference and invasiveness of commensal bacteria in the Lotus and Arabidopsis root microbiota. </w:t>
      </w:r>
      <w:r>
        <w:rPr>
          <w:i/>
          <w:iCs/>
        </w:rPr>
        <w:t>Nat Microbiol</w:t>
      </w:r>
      <w:r>
        <w:rPr/>
        <w:t xml:space="preserve"> </w:t>
      </w:r>
      <w:r>
        <w:rPr>
          <w:b/>
          <w:bCs/>
        </w:rPr>
        <w:t>6</w:t>
      </w:r>
      <w:r>
        <w:rPr/>
        <w:t>, 1150–1162 (2021).</w:t>
      </w:r>
    </w:p>
    <w:p>
      <w:pPr>
        <w:pStyle w:val="Bibliography"/>
        <w:rPr/>
      </w:pPr>
      <w:r>
        <w:rPr/>
        <w:t xml:space="preserve">65. </w:t>
        <w:tab/>
        <w:t xml:space="preserve">V. Vives-Peris, C. de Ollas, A. Gómez-Cadenas, R. M. Pérez-Clemente, Root exudates: from plant to rhizosphere and beyond. </w:t>
      </w:r>
      <w:r>
        <w:rPr>
          <w:i/>
          <w:iCs/>
        </w:rPr>
        <w:t>Plant Cell Rep</w:t>
      </w:r>
      <w:r>
        <w:rPr/>
        <w:t xml:space="preserve"> </w:t>
      </w:r>
      <w:r>
        <w:rPr>
          <w:b/>
          <w:bCs/>
        </w:rPr>
        <w:t>39</w:t>
      </w:r>
      <w:r>
        <w:rPr/>
        <w:t>, 3–17 (2020).</w:t>
      </w:r>
    </w:p>
    <w:p>
      <w:pPr>
        <w:pStyle w:val="Bibliography"/>
        <w:rPr/>
      </w:pPr>
      <w:r>
        <w:rPr/>
        <w:t xml:space="preserve">66. </w:t>
        <w:tab/>
        <w:t xml:space="preserve">A. Canarini, C. Kaiser, A. Merchant, A. Richter, W. Wanek, Root Exudation of Primary Metabolites: Mechanisms and Their Roles in Plant Responses to Environmental Stimuli. </w:t>
      </w:r>
      <w:r>
        <w:rPr>
          <w:i/>
          <w:iCs/>
        </w:rPr>
        <w:t>Front. Plant Sci.</w:t>
      </w:r>
      <w:r>
        <w:rPr/>
        <w:t xml:space="preserve"> </w:t>
      </w:r>
      <w:r>
        <w:rPr>
          <w:b/>
          <w:bCs/>
        </w:rPr>
        <w:t>10</w:t>
      </w:r>
      <w:r>
        <w:rPr/>
        <w:t xml:space="preserve"> (2019).</w:t>
      </w:r>
    </w:p>
    <w:p>
      <w:pPr>
        <w:pStyle w:val="Bibliography"/>
        <w:rPr/>
      </w:pPr>
      <w:r>
        <w:rPr/>
        <w:t xml:space="preserve">67. </w:t>
        <w:tab/>
        <w:t xml:space="preserve">H. P. Bais, T. L. Weir, L. G. Perry, S. Gilroy, J. M. Vivanco, The role of root exudates in rhizosphere interactions with plants and other organisms. </w:t>
      </w:r>
      <w:r>
        <w:rPr>
          <w:i/>
          <w:iCs/>
        </w:rPr>
        <w:t>Annu Rev Plant Biol</w:t>
      </w:r>
      <w:r>
        <w:rPr/>
        <w:t xml:space="preserve"> </w:t>
      </w:r>
      <w:r>
        <w:rPr>
          <w:b/>
          <w:bCs/>
        </w:rPr>
        <w:t>57</w:t>
      </w:r>
      <w:r>
        <w:rPr/>
        <w:t>, 233–266 (2006).</w:t>
      </w:r>
    </w:p>
    <w:p>
      <w:pPr>
        <w:pStyle w:val="Bibliography"/>
        <w:rPr/>
      </w:pPr>
      <w:r>
        <w:rPr/>
        <w:t xml:space="preserve">68. </w:t>
        <w:tab/>
        <w:t xml:space="preserve">G. Selten, </w:t>
      </w:r>
      <w:r>
        <w:rPr>
          <w:i/>
          <w:iCs/>
        </w:rPr>
        <w:t>et al.</w:t>
      </w:r>
      <w:r>
        <w:rPr/>
        <w:t>, Functional capacities drive recruitment of bacteria into plant root microbiota. [Preprint] (2024). Available at: https://www.biorxiv.org/content/10.1101/2024.08.22.609090v1 [Accessed 17 February 2026].</w:t>
      </w:r>
    </w:p>
    <w:p>
      <w:pPr>
        <w:pStyle w:val="Bibliography"/>
        <w:rPr/>
      </w:pPr>
      <w:r>
        <w:rPr/>
        <w:t xml:space="preserve">69. </w:t>
        <w:tab/>
        <w:t xml:space="preserve">N. A. Ginnan, </w:t>
      </w:r>
      <w:r>
        <w:rPr>
          <w:i/>
          <w:iCs/>
        </w:rPr>
        <w:t>et al.</w:t>
      </w:r>
      <w:r>
        <w:rPr/>
        <w:t xml:space="preserve">, Precipitation legacy effects on soil microbiota facilitate adaptive drought responses in plants. </w:t>
      </w:r>
      <w:r>
        <w:rPr>
          <w:i/>
          <w:iCs/>
        </w:rPr>
        <w:t>Nat Microbiol</w:t>
      </w:r>
      <w:r>
        <w:rPr/>
        <w:t xml:space="preserve"> </w:t>
      </w:r>
      <w:r>
        <w:rPr>
          <w:b/>
          <w:bCs/>
        </w:rPr>
        <w:t>10</w:t>
      </w:r>
      <w:r>
        <w:rPr/>
        <w:t>, 2823–2844 (2025).</w:t>
      </w:r>
    </w:p>
    <w:p>
      <w:pPr>
        <w:pStyle w:val="Bibliography"/>
        <w:rPr/>
      </w:pPr>
      <w:r>
        <w:rPr/>
        <w:t xml:space="preserve">70. </w:t>
        <w:tab/>
        <w:t xml:space="preserve">L. Philippot, C. Chenu, A. Kappler, M. C. Rillig, N. Fierer, The interplay between microbial communities and soil properties. </w:t>
      </w:r>
      <w:r>
        <w:rPr>
          <w:i/>
          <w:iCs/>
        </w:rPr>
        <w:t>Nat Rev Microbiol</w:t>
      </w:r>
      <w:r>
        <w:rPr/>
        <w:t xml:space="preserve"> </w:t>
      </w:r>
      <w:r>
        <w:rPr>
          <w:b/>
          <w:bCs/>
        </w:rPr>
        <w:t>22</w:t>
      </w:r>
      <w:r>
        <w:rPr/>
        <w:t>, 226–239 (2024).</w:t>
      </w:r>
    </w:p>
    <w:p>
      <w:pPr>
        <w:pStyle w:val="Bibliography"/>
        <w:rPr/>
      </w:pPr>
      <w:r>
        <w:rPr/>
        <w:t xml:space="preserve">71. </w:t>
        <w:tab/>
        <w:t xml:space="preserve">W. Kong, </w:t>
      </w:r>
      <w:r>
        <w:rPr>
          <w:i/>
          <w:iCs/>
        </w:rPr>
        <w:t>et al.</w:t>
      </w:r>
      <w:r>
        <w:rPr/>
        <w:t xml:space="preserve">, Contrasting response of soil microbiomes to long-term fertilization in various highland cropping systems. </w:t>
      </w:r>
      <w:r>
        <w:rPr>
          <w:i/>
          <w:iCs/>
        </w:rPr>
        <w:t>ISME COMMUN.</w:t>
      </w:r>
      <w:r>
        <w:rPr/>
        <w:t xml:space="preserve"> </w:t>
      </w:r>
      <w:r>
        <w:rPr>
          <w:b/>
          <w:bCs/>
        </w:rPr>
        <w:t>3</w:t>
      </w:r>
      <w:r>
        <w:rPr/>
        <w:t>, 81 (2023).</w:t>
      </w:r>
    </w:p>
    <w:p>
      <w:pPr>
        <w:pStyle w:val="Bibliography"/>
        <w:rPr/>
      </w:pPr>
      <w:r>
        <w:rPr/>
        <w:t xml:space="preserve">72. </w:t>
        <w:tab/>
        <w:t xml:space="preserve">S. Hallin, C. M. Jones, M. Schloter, L. Philippot, Relationship between N-cycling communities and ecosystem functioning in a 50-year-old fertilization experiment. </w:t>
      </w:r>
      <w:r>
        <w:rPr>
          <w:i/>
          <w:iCs/>
        </w:rPr>
        <w:t>ISME J</w:t>
      </w:r>
      <w:r>
        <w:rPr/>
        <w:t xml:space="preserve"> </w:t>
      </w:r>
      <w:r>
        <w:rPr>
          <w:b/>
          <w:bCs/>
        </w:rPr>
        <w:t>3</w:t>
      </w:r>
      <w:r>
        <w:rPr/>
        <w:t>, 597–605 (2009).</w:t>
      </w:r>
    </w:p>
    <w:p>
      <w:pPr>
        <w:pStyle w:val="Bibliography"/>
        <w:rPr/>
      </w:pPr>
      <w:r>
        <w:rPr/>
        <w:t xml:space="preserve">73. </w:t>
        <w:tab/>
        <w:t xml:space="preserve">M. Wang, </w:t>
      </w:r>
      <w:r>
        <w:rPr>
          <w:i/>
          <w:iCs/>
        </w:rPr>
        <w:t>et al.</w:t>
      </w:r>
      <w:r>
        <w:rPr/>
        <w:t xml:space="preserve">, Dynamic root microbiome sustains soybean productivity under unbalanced fertilization. </w:t>
      </w:r>
      <w:r>
        <w:rPr>
          <w:i/>
          <w:iCs/>
        </w:rPr>
        <w:t>Nat Commun</w:t>
      </w:r>
      <w:r>
        <w:rPr/>
        <w:t xml:space="preserve"> </w:t>
      </w:r>
      <w:r>
        <w:rPr>
          <w:b/>
          <w:bCs/>
        </w:rPr>
        <w:t>15</w:t>
      </w:r>
      <w:r>
        <w:rPr/>
        <w:t>, 1668 (2024).</w:t>
      </w:r>
    </w:p>
    <w:p>
      <w:pPr>
        <w:pStyle w:val="Bibliography"/>
        <w:rPr/>
      </w:pPr>
      <w:r>
        <w:rPr/>
        <w:t xml:space="preserve">74. </w:t>
        <w:tab/>
        <w:t xml:space="preserve">S. E. Hannula, </w:t>
      </w:r>
      <w:r>
        <w:rPr>
          <w:i/>
          <w:iCs/>
        </w:rPr>
        <w:t>et al.</w:t>
      </w:r>
      <w:r>
        <w:rPr/>
        <w:t xml:space="preserve">, Persistence of plant-mediated microbial soil legacy effects in soil and inside roots. </w:t>
      </w:r>
      <w:r>
        <w:rPr>
          <w:i/>
          <w:iCs/>
        </w:rPr>
        <w:t>Nat Commun</w:t>
      </w:r>
      <w:r>
        <w:rPr/>
        <w:t xml:space="preserve"> </w:t>
      </w:r>
      <w:r>
        <w:rPr>
          <w:b/>
          <w:bCs/>
        </w:rPr>
        <w:t>12</w:t>
      </w:r>
      <w:r>
        <w:rPr/>
        <w:t>, 5686 (2021).</w:t>
      </w:r>
    </w:p>
    <w:p>
      <w:pPr>
        <w:pStyle w:val="Bibliography"/>
        <w:rPr/>
      </w:pPr>
      <w:r>
        <w:rPr/>
        <w:t xml:space="preserve">75. </w:t>
        <w:tab/>
        <w:t xml:space="preserve">Z. Yang, T. Zhao, H. Cheng, J. Yang, Microbiome-enabled genomic selection improves prediction accuracy for nitrogen-related traits in maize. </w:t>
      </w:r>
      <w:r>
        <w:rPr>
          <w:i/>
          <w:iCs/>
        </w:rPr>
        <w:t>G3 (Bethesda)</w:t>
      </w:r>
      <w:r>
        <w:rPr/>
        <w:t xml:space="preserve"> </w:t>
      </w:r>
      <w:r>
        <w:rPr>
          <w:b/>
          <w:bCs/>
        </w:rPr>
        <w:t>14</w:t>
      </w:r>
      <w:r>
        <w:rPr/>
        <w:t>, jkad286 (2024).</w:t>
      </w:r>
    </w:p>
    <w:p>
      <w:pPr>
        <w:pStyle w:val="Bibliography"/>
        <w:rPr/>
      </w:pPr>
      <w:r>
        <w:rPr/>
        <w:t xml:space="preserve">76. </w:t>
        <w:tab/>
        <w:t xml:space="preserve">W.-X. Shi, </w:t>
      </w:r>
      <w:r>
        <w:rPr>
          <w:i/>
          <w:iCs/>
        </w:rPr>
        <w:t>et al.</w:t>
      </w:r>
      <w:r>
        <w:rPr/>
        <w:t xml:space="preserve">, Diversity and interactions of rhizobacteria determine multinutrient traits in tomato host plants under nitrogen and water disturbances. </w:t>
      </w:r>
      <w:r>
        <w:rPr>
          <w:i/>
          <w:iCs/>
        </w:rPr>
        <w:t>Hortic Res</w:t>
      </w:r>
      <w:r>
        <w:rPr/>
        <w:t xml:space="preserve"> </w:t>
      </w:r>
      <w:r>
        <w:rPr>
          <w:b/>
          <w:bCs/>
        </w:rPr>
        <w:t>12</w:t>
      </w:r>
      <w:r>
        <w:rPr/>
        <w:t>, uhae290 (2025).</w:t>
      </w:r>
    </w:p>
    <w:p>
      <w:pPr>
        <w:pStyle w:val="Bibliography"/>
        <w:rPr/>
      </w:pPr>
      <w:r>
        <w:rPr/>
        <w:t xml:space="preserve">77. </w:t>
        <w:tab/>
        <w:t xml:space="preserve">J. Zhang, </w:t>
      </w:r>
      <w:r>
        <w:rPr>
          <w:i/>
          <w:iCs/>
        </w:rPr>
        <w:t>et al.</w:t>
      </w:r>
      <w:r>
        <w:rPr/>
        <w:t xml:space="preserve">, Analysis and Functional Prediction of Core Bacteria in the Arabidopsis Rhizosphere Microbiome under Drought Stress. </w:t>
      </w:r>
      <w:r>
        <w:rPr>
          <w:i/>
          <w:iCs/>
        </w:rPr>
        <w:t>Microorganisms</w:t>
      </w:r>
      <w:r>
        <w:rPr/>
        <w:t xml:space="preserve"> </w:t>
      </w:r>
      <w:r>
        <w:rPr>
          <w:b/>
          <w:bCs/>
        </w:rPr>
        <w:t>12</w:t>
      </w:r>
      <w:r>
        <w:rPr/>
        <w:t>, 790 (2024).</w:t>
      </w:r>
    </w:p>
    <w:p>
      <w:pPr>
        <w:pStyle w:val="Bibliography"/>
        <w:rPr/>
      </w:pPr>
      <w:r>
        <w:rPr/>
        <w:t xml:space="preserve">78. </w:t>
        <w:tab/>
        <w:t xml:space="preserve">J.-P. Gao, </w:t>
      </w:r>
      <w:r>
        <w:rPr>
          <w:i/>
          <w:iCs/>
        </w:rPr>
        <w:t>et al.</w:t>
      </w:r>
      <w:r>
        <w:rPr/>
        <w:t xml:space="preserve">, An NSP2-MYB module orchestrates flavonoid biosynthesis and nodule symbiosis. </w:t>
      </w:r>
      <w:r>
        <w:rPr>
          <w:i/>
          <w:iCs/>
        </w:rPr>
        <w:t>Current Biology</w:t>
      </w:r>
      <w:r>
        <w:rPr/>
        <w:t xml:space="preserve"> </w:t>
      </w:r>
      <w:r>
        <w:rPr>
          <w:b/>
          <w:bCs/>
        </w:rPr>
        <w:t>0</w:t>
      </w:r>
      <w:r>
        <w:rPr/>
        <w:t xml:space="preserve"> (2026).</w:t>
      </w:r>
    </w:p>
    <w:p>
      <w:pPr>
        <w:pStyle w:val="Bibliography"/>
        <w:rPr/>
      </w:pPr>
      <w:r>
        <w:rPr/>
        <w:t xml:space="preserve">79. </w:t>
        <w:tab/>
        <w:t xml:space="preserve">E. Foo, J. J. Ross, W. T. Jones, J. B. Reid, Plant hormones in arbuscular mycorrhizal symbioses: an emerging role for gibberellins. </w:t>
      </w:r>
      <w:r>
        <w:rPr>
          <w:i/>
          <w:iCs/>
        </w:rPr>
        <w:t>Ann Bot</w:t>
      </w:r>
      <w:r>
        <w:rPr/>
        <w:t xml:space="preserve"> </w:t>
      </w:r>
      <w:r>
        <w:rPr>
          <w:b/>
          <w:bCs/>
        </w:rPr>
        <w:t>111</w:t>
      </w:r>
      <w:r>
        <w:rPr/>
        <w:t>, 769–779 (2013).</w:t>
      </w:r>
    </w:p>
    <w:p>
      <w:pPr>
        <w:pStyle w:val="Bibliography"/>
        <w:rPr/>
      </w:pPr>
      <w:r>
        <w:rPr/>
        <w:t xml:space="preserve">80. </w:t>
        <w:tab/>
        <w:t xml:space="preserve">N. Takeda, </w:t>
      </w:r>
      <w:r>
        <w:rPr>
          <w:i/>
          <w:iCs/>
        </w:rPr>
        <w:t>et al.</w:t>
      </w:r>
      <w:r>
        <w:rPr/>
        <w:t xml:space="preserve">, Gibberellins interfere with symbiosis signaling and gene expression and alter colonization by arbuscular mycorrhizal fungi in Lotus japonicus. </w:t>
      </w:r>
      <w:r>
        <w:rPr>
          <w:i/>
          <w:iCs/>
        </w:rPr>
        <w:t>Plant Physiol</w:t>
      </w:r>
      <w:r>
        <w:rPr/>
        <w:t xml:space="preserve"> </w:t>
      </w:r>
      <w:r>
        <w:rPr>
          <w:b/>
          <w:bCs/>
        </w:rPr>
        <w:t>167</w:t>
      </w:r>
      <w:r>
        <w:rPr/>
        <w:t>, 545–557 (2015).</w:t>
      </w:r>
    </w:p>
    <w:p>
      <w:pPr>
        <w:pStyle w:val="Bibliography"/>
        <w:rPr/>
      </w:pPr>
      <w:r>
        <w:rPr/>
        <w:t xml:space="preserve">81. </w:t>
        <w:tab/>
        <w:t xml:space="preserve">E. Nouri, </w:t>
      </w:r>
      <w:r>
        <w:rPr>
          <w:i/>
          <w:iCs/>
        </w:rPr>
        <w:t>et al.</w:t>
      </w:r>
      <w:r>
        <w:rPr/>
        <w:t xml:space="preserve">, Phosphate Suppression of Arbuscular Mycorrhizal Symbiosis Involves Gibberellic Acid Signaling. </w:t>
      </w:r>
      <w:r>
        <w:rPr>
          <w:i/>
          <w:iCs/>
        </w:rPr>
        <w:t>Plant Cell Physiol</w:t>
      </w:r>
      <w:r>
        <w:rPr/>
        <w:t xml:space="preserve"> </w:t>
      </w:r>
      <w:r>
        <w:rPr>
          <w:b/>
          <w:bCs/>
        </w:rPr>
        <w:t>62</w:t>
      </w:r>
      <w:r>
        <w:rPr/>
        <w:t>, 959–970 (2021).</w:t>
      </w:r>
    </w:p>
    <w:p>
      <w:pPr>
        <w:pStyle w:val="Bibliography"/>
        <w:rPr/>
      </w:pPr>
      <w:r>
        <w:rPr/>
        <w:t xml:space="preserve">82. </w:t>
        <w:tab/>
        <w:t xml:space="preserve">E. Korenblum, H. Massalha, A. Aharoni, Plant-microbe interactions in the rhizosphere via a circular metabolic economy. </w:t>
      </w:r>
      <w:r>
        <w:rPr>
          <w:i/>
          <w:iCs/>
        </w:rPr>
        <w:t>Plant Cell</w:t>
      </w:r>
      <w:r>
        <w:rPr/>
        <w:t xml:space="preserve"> </w:t>
      </w:r>
      <w:r>
        <w:rPr>
          <w:b/>
          <w:bCs/>
        </w:rPr>
        <w:t>34</w:t>
      </w:r>
      <w:r>
        <w:rPr/>
        <w:t>, 3168–3182 (2022).</w:t>
      </w:r>
    </w:p>
    <w:p>
      <w:pPr>
        <w:pStyle w:val="Bibliography"/>
        <w:rPr/>
      </w:pPr>
      <w:r>
        <w:rPr/>
        <w:t xml:space="preserve">83. </w:t>
        <w:tab/>
        <w:t xml:space="preserve">H. Zhang, J. Zhu, Z. Gong, J.-K. Zhu, Abiotic stress responses in plants. </w:t>
      </w:r>
      <w:r>
        <w:rPr>
          <w:i/>
          <w:iCs/>
        </w:rPr>
        <w:t>Nat Rev Genet</w:t>
      </w:r>
      <w:r>
        <w:rPr/>
        <w:t xml:space="preserve"> </w:t>
      </w:r>
      <w:r>
        <w:rPr>
          <w:b/>
          <w:bCs/>
        </w:rPr>
        <w:t>23</w:t>
      </w:r>
      <w:r>
        <w:rPr/>
        <w:t>, 104–119 (2022).</w:t>
      </w:r>
    </w:p>
    <w:p>
      <w:pPr>
        <w:pStyle w:val="Bibliography"/>
        <w:rPr/>
      </w:pPr>
      <w:r>
        <w:rPr/>
        <w:t xml:space="preserve">84. </w:t>
        <w:tab/>
        <w:t xml:space="preserve">M. Charpentier, J. Sun, J. Wen, K. S. Mysore, G. E. D. Oldroyd, Abscisic Acid Promotion of Arbuscular Mycorrhizal Colonization Requires a Component of the PROTEIN PHOSPHATASE 2A Complex1[W][OPEN]. </w:t>
      </w:r>
      <w:r>
        <w:rPr>
          <w:i/>
          <w:iCs/>
        </w:rPr>
        <w:t>Plant Physiol</w:t>
      </w:r>
      <w:r>
        <w:rPr/>
        <w:t xml:space="preserve"> </w:t>
      </w:r>
      <w:r>
        <w:rPr>
          <w:b/>
          <w:bCs/>
        </w:rPr>
        <w:t>166</w:t>
      </w:r>
      <w:r>
        <w:rPr/>
        <w:t>, 2077–2090 (2014).</w:t>
      </w:r>
    </w:p>
    <w:p>
      <w:pPr>
        <w:pStyle w:val="Bibliography"/>
        <w:rPr/>
      </w:pPr>
      <w:r>
        <w:rPr/>
        <w:t xml:space="preserve">85. </w:t>
        <w:tab/>
        <w:t xml:space="preserve">R. J. H. Sawers, M. R. Ramírez-Flores, V. Olalde-Portugal, U. Paszkowski, The impact of domestication and crop improvement on arbuscular mycorrhizal symbiosis in cereals: insights from genetics and genomics. </w:t>
      </w:r>
      <w:r>
        <w:rPr>
          <w:i/>
          <w:iCs/>
        </w:rPr>
        <w:t>New Phytol</w:t>
      </w:r>
      <w:r>
        <w:rPr/>
        <w:t xml:space="preserve"> </w:t>
      </w:r>
      <w:r>
        <w:rPr>
          <w:b/>
          <w:bCs/>
        </w:rPr>
        <w:t>220</w:t>
      </w:r>
      <w:r>
        <w:rPr/>
        <w:t>, 1135–1140 (2018).</w:t>
      </w:r>
    </w:p>
    <w:p>
      <w:pPr>
        <w:pStyle w:val="Bibliography"/>
        <w:rPr/>
      </w:pPr>
      <w:r>
        <w:rPr/>
        <w:t xml:space="preserve">86. </w:t>
        <w:tab/>
        <w:t xml:space="preserve">B. W. Poovaiah, L. Du, H. Wang, T. Yang, Recent Advances in Calcium/Calmodulin-Mediated Signaling with an Emphasis on Plant-Microbe Interactions1. </w:t>
      </w:r>
      <w:r>
        <w:rPr>
          <w:i/>
          <w:iCs/>
        </w:rPr>
        <w:t>Plant Physiol</w:t>
      </w:r>
      <w:r>
        <w:rPr/>
        <w:t xml:space="preserve"> </w:t>
      </w:r>
      <w:r>
        <w:rPr>
          <w:b/>
          <w:bCs/>
        </w:rPr>
        <w:t>163</w:t>
      </w:r>
      <w:r>
        <w:rPr/>
        <w:t>, 531–542 (2013).</w:t>
      </w:r>
    </w:p>
    <w:p>
      <w:pPr>
        <w:pStyle w:val="Bibliography"/>
        <w:rPr/>
      </w:pPr>
      <w:r>
        <w:rPr/>
        <w:t xml:space="preserve">87. </w:t>
        <w:tab/>
        <w:t xml:space="preserve">A. Małolepszy, </w:t>
      </w:r>
      <w:r>
        <w:rPr>
          <w:i/>
          <w:iCs/>
        </w:rPr>
        <w:t>et al.</w:t>
      </w:r>
      <w:r>
        <w:rPr/>
        <w:t xml:space="preserve">, The LORE1 insertion mutant resource. </w:t>
      </w:r>
      <w:r>
        <w:rPr>
          <w:i/>
          <w:iCs/>
        </w:rPr>
        <w:t>Plant J</w:t>
      </w:r>
      <w:r>
        <w:rPr/>
        <w:t xml:space="preserve"> </w:t>
      </w:r>
      <w:r>
        <w:rPr>
          <w:b/>
          <w:bCs/>
        </w:rPr>
        <w:t>88</w:t>
      </w:r>
      <w:r>
        <w:rPr/>
        <w:t>, 306–317 (2016).</w:t>
      </w:r>
    </w:p>
    <w:p>
      <w:pPr>
        <w:pStyle w:val="Bibliography"/>
        <w:rPr/>
      </w:pPr>
      <w:r>
        <w:rPr/>
        <w:t xml:space="preserve">88. </w:t>
        <w:tab/>
        <w:t xml:space="preserve">K. Wippel, </w:t>
      </w:r>
      <w:r>
        <w:rPr>
          <w:i/>
          <w:iCs/>
        </w:rPr>
        <w:t>et al.</w:t>
      </w:r>
      <w:r>
        <w:rPr/>
        <w:t xml:space="preserve">, Host preference and invasiveness of commensal bacteria in the Lotus and Arabidopsis root microbiota. </w:t>
      </w:r>
      <w:r>
        <w:rPr>
          <w:i/>
          <w:iCs/>
        </w:rPr>
        <w:t>Nat Microbiol</w:t>
      </w:r>
      <w:r>
        <w:rPr/>
        <w:t xml:space="preserve"> </w:t>
      </w:r>
      <w:r>
        <w:rPr>
          <w:b/>
          <w:bCs/>
        </w:rPr>
        <w:t>6</w:t>
      </w:r>
      <w:r>
        <w:rPr/>
        <w:t>, 1150–1162 (2021).</w:t>
      </w:r>
    </w:p>
    <w:p>
      <w:pPr>
        <w:pStyle w:val="Bibliography"/>
        <w:rPr/>
      </w:pPr>
      <w:r>
        <w:rPr/>
        <w:t xml:space="preserve">89. </w:t>
        <w:tab/>
        <w:t xml:space="preserve">E. Bolyen, </w:t>
      </w:r>
      <w:r>
        <w:rPr>
          <w:i/>
          <w:iCs/>
        </w:rPr>
        <w:t>et al.</w:t>
      </w:r>
      <w:r>
        <w:rPr/>
        <w:t xml:space="preserve">, Reproducible, interactive, scalable and extensible microbiome data science using QIIME 2. </w:t>
      </w:r>
      <w:r>
        <w:rPr>
          <w:i/>
          <w:iCs/>
        </w:rPr>
        <w:t>Nat Biotechnol</w:t>
      </w:r>
      <w:r>
        <w:rPr/>
        <w:t xml:space="preserve"> </w:t>
      </w:r>
      <w:r>
        <w:rPr>
          <w:b/>
          <w:bCs/>
        </w:rPr>
        <w:t>37</w:t>
      </w:r>
      <w:r>
        <w:rPr/>
        <w:t>, 852–857 (2019).</w:t>
      </w:r>
    </w:p>
    <w:p>
      <w:pPr>
        <w:pStyle w:val="Bibliography"/>
        <w:rPr/>
      </w:pPr>
      <w:r>
        <w:rPr/>
        <w:t xml:space="preserve">90. </w:t>
        <w:tab/>
        <w:t xml:space="preserve">B. J. Callahan, </w:t>
      </w:r>
      <w:r>
        <w:rPr>
          <w:i/>
          <w:iCs/>
        </w:rPr>
        <w:t>et al.</w:t>
      </w:r>
      <w:r>
        <w:rPr/>
        <w:t xml:space="preserve">, DADA2: High-resolution sample inference from Illumina amplicon data. </w:t>
      </w:r>
      <w:r>
        <w:rPr>
          <w:i/>
          <w:iCs/>
        </w:rPr>
        <w:t>Nat Methods</w:t>
      </w:r>
      <w:r>
        <w:rPr/>
        <w:t xml:space="preserve"> </w:t>
      </w:r>
      <w:r>
        <w:rPr>
          <w:b/>
          <w:bCs/>
        </w:rPr>
        <w:t>13</w:t>
      </w:r>
      <w:r>
        <w:rPr/>
        <w:t>, 581–583 (2016).</w:t>
      </w:r>
    </w:p>
    <w:p>
      <w:pPr>
        <w:pStyle w:val="Bibliography"/>
        <w:rPr/>
      </w:pPr>
      <w:r>
        <w:rPr/>
        <w:t xml:space="preserve">91. </w:t>
        <w:tab/>
        <w:t xml:space="preserve">N. A. Bokulich, </w:t>
      </w:r>
      <w:r>
        <w:rPr>
          <w:i/>
          <w:iCs/>
        </w:rPr>
        <w:t>et al.</w:t>
      </w:r>
      <w:r>
        <w:rPr/>
        <w:t xml:space="preserve">, Optimizing taxonomic classification of marker-gene amplicon sequences with QIIME 2’s q2-feature-classifier plugin. </w:t>
      </w:r>
      <w:r>
        <w:rPr>
          <w:i/>
          <w:iCs/>
        </w:rPr>
        <w:t>Microbiome</w:t>
      </w:r>
      <w:r>
        <w:rPr/>
        <w:t xml:space="preserve"> </w:t>
      </w:r>
      <w:r>
        <w:rPr>
          <w:b/>
          <w:bCs/>
        </w:rPr>
        <w:t>6</w:t>
      </w:r>
      <w:r>
        <w:rPr/>
        <w:t>, 90 (2018).</w:t>
      </w:r>
    </w:p>
    <w:p>
      <w:pPr>
        <w:pStyle w:val="Bibliography"/>
        <w:rPr/>
      </w:pPr>
      <w:r>
        <w:rPr/>
        <w:t xml:space="preserve">92. </w:t>
        <w:tab/>
        <w:t xml:space="preserve">M. Chuvochina, </w:t>
      </w:r>
      <w:r>
        <w:rPr>
          <w:i/>
          <w:iCs/>
        </w:rPr>
        <w:t>et al.</w:t>
      </w:r>
      <w:r>
        <w:rPr/>
        <w:t xml:space="preserve">, SILVA in 2026: a global core biodata resource for rRNA within the DSMZ digital diversity. </w:t>
      </w:r>
      <w:r>
        <w:rPr>
          <w:i/>
          <w:iCs/>
        </w:rPr>
        <w:t>Nucleic Acids Res</w:t>
      </w:r>
      <w:r>
        <w:rPr/>
        <w:t xml:space="preserve"> </w:t>
      </w:r>
      <w:r>
        <w:rPr>
          <w:b/>
          <w:bCs/>
        </w:rPr>
        <w:t>54</w:t>
      </w:r>
      <w:r>
        <w:rPr/>
        <w:t>, D334–D341 (2026).</w:t>
      </w:r>
    </w:p>
    <w:p>
      <w:pPr>
        <w:pStyle w:val="Bibliography"/>
        <w:rPr/>
      </w:pPr>
      <w:r>
        <w:rPr/>
        <w:t xml:space="preserve">93. </w:t>
        <w:tab/>
        <w:t xml:space="preserve">T. Rognes, T. Flouri, B. Nichols, C. Quince, F. Mahé, VSEARCH: a versatile open source tool for metagenomics. </w:t>
      </w:r>
      <w:r>
        <w:rPr>
          <w:i/>
          <w:iCs/>
        </w:rPr>
        <w:t>PeerJ</w:t>
      </w:r>
      <w:r>
        <w:rPr/>
        <w:t xml:space="preserve"> </w:t>
      </w:r>
      <w:r>
        <w:rPr>
          <w:b/>
          <w:bCs/>
        </w:rPr>
        <w:t>4</w:t>
      </w:r>
      <w:r>
        <w:rPr/>
        <w:t>, e2584 (2016).</w:t>
      </w:r>
    </w:p>
    <w:p>
      <w:pPr>
        <w:pStyle w:val="Bibliography"/>
        <w:rPr/>
      </w:pPr>
      <w:r>
        <w:rPr/>
        <w:t xml:space="preserve">94. </w:t>
        <w:tab/>
        <w:t xml:space="preserve">P. J. McMurdie, S. Holmes, phyloseq: an R package for reproducible interactive analysis and graphics of microbiome census data. </w:t>
      </w:r>
      <w:r>
        <w:rPr>
          <w:i/>
          <w:iCs/>
        </w:rPr>
        <w:t>PLoS One</w:t>
      </w:r>
      <w:r>
        <w:rPr/>
        <w:t xml:space="preserve"> </w:t>
      </w:r>
      <w:r>
        <w:rPr>
          <w:b/>
          <w:bCs/>
        </w:rPr>
        <w:t>8</w:t>
      </w:r>
      <w:r>
        <w:rPr/>
        <w:t>, e61217 (2013).</w:t>
      </w:r>
    </w:p>
    <w:p>
      <w:pPr>
        <w:pStyle w:val="Bibliography"/>
        <w:rPr/>
      </w:pPr>
      <w:r>
        <w:rPr/>
        <w:t xml:space="preserve">95. </w:t>
        <w:tab/>
        <w:t xml:space="preserve">J. C. Gower, Some Distance Properties of Latent Root and Vector Methods Used in Multivariate Analysis. </w:t>
      </w:r>
      <w:r>
        <w:rPr>
          <w:i/>
          <w:iCs/>
        </w:rPr>
        <w:t>Biometrika</w:t>
      </w:r>
      <w:r>
        <w:rPr/>
        <w:t xml:space="preserve"> </w:t>
      </w:r>
      <w:r>
        <w:rPr>
          <w:b/>
          <w:bCs/>
        </w:rPr>
        <w:t>53</w:t>
      </w:r>
      <w:r>
        <w:rPr/>
        <w:t>, 325–338 (1966).</w:t>
      </w:r>
    </w:p>
    <w:p>
      <w:pPr>
        <w:pStyle w:val="Bibliography"/>
        <w:rPr/>
      </w:pPr>
      <w:r>
        <w:rPr/>
        <w:t xml:space="preserve">96. </w:t>
        <w:tab/>
        <w:t xml:space="preserve">J. R. Bray, J. T. Curtis, An Ordination of the Upland Forest Communities of Southern Wisconsin. </w:t>
      </w:r>
      <w:r>
        <w:rPr>
          <w:i/>
          <w:iCs/>
        </w:rPr>
        <w:t>Ecological Monographs</w:t>
      </w:r>
      <w:r>
        <w:rPr/>
        <w:t xml:space="preserve"> </w:t>
      </w:r>
      <w:r>
        <w:rPr>
          <w:b/>
          <w:bCs/>
        </w:rPr>
        <w:t>27</w:t>
      </w:r>
      <w:r>
        <w:rPr/>
        <w:t>, 325–349 (1957).</w:t>
      </w:r>
    </w:p>
    <w:p>
      <w:pPr>
        <w:pStyle w:val="Bibliography"/>
        <w:rPr/>
      </w:pPr>
      <w:r>
        <w:rPr/>
        <w:t xml:space="preserve">97. </w:t>
        <w:tab/>
        <w:t xml:space="preserve">P. Legendre, M. J. Anderson, Distance-Based Redundancy Analysis: Testing Multispecies Responses in Multifactorial Ecological Experiments. </w:t>
      </w:r>
      <w:r>
        <w:rPr>
          <w:i/>
          <w:iCs/>
        </w:rPr>
        <w:t>Ecological Monographs</w:t>
      </w:r>
      <w:r>
        <w:rPr/>
        <w:t xml:space="preserve"> </w:t>
      </w:r>
      <w:r>
        <w:rPr>
          <w:b/>
          <w:bCs/>
        </w:rPr>
        <w:t>69</w:t>
      </w:r>
      <w:r>
        <w:rPr/>
        <w:t>, 1–24 (1999).</w:t>
      </w:r>
    </w:p>
    <w:p>
      <w:pPr>
        <w:pStyle w:val="Bibliography"/>
        <w:rPr/>
      </w:pPr>
      <w:r>
        <w:rPr/>
        <w:t xml:space="preserve">98. </w:t>
        <w:tab/>
        <w:t xml:space="preserve">J. Oksanen, </w:t>
      </w:r>
      <w:r>
        <w:rPr>
          <w:i/>
          <w:iCs/>
        </w:rPr>
        <w:t>et al.</w:t>
      </w:r>
      <w:r>
        <w:rPr/>
        <w:t>, vegan: Community Ecology Package. (2025). https://doi.org/10.32614/CRAN.package.vegan. Deposited 2025.</w:t>
      </w:r>
    </w:p>
    <w:p>
      <w:pPr>
        <w:pStyle w:val="Bibliography"/>
        <w:rPr/>
      </w:pPr>
      <w:r>
        <w:rPr/>
        <w:t xml:space="preserve">99. </w:t>
        <w:tab/>
        <w:t xml:space="preserve">H. Mallick, </w:t>
      </w:r>
      <w:r>
        <w:rPr>
          <w:i/>
          <w:iCs/>
        </w:rPr>
        <w:t>et al.</w:t>
      </w:r>
      <w:r>
        <w:rPr/>
        <w:t xml:space="preserve">, Multivariable association discovery in population-scale meta-omics studies. </w:t>
      </w:r>
      <w:r>
        <w:rPr>
          <w:i/>
          <w:iCs/>
        </w:rPr>
        <w:t>PLOS Computational Biology</w:t>
      </w:r>
      <w:r>
        <w:rPr/>
        <w:t xml:space="preserve"> </w:t>
      </w:r>
      <w:r>
        <w:rPr>
          <w:b/>
          <w:bCs/>
        </w:rPr>
        <w:t>17</w:t>
      </w:r>
      <w:r>
        <w:rPr/>
        <w:t>, e1009442 (2021).</w:t>
      </w:r>
    </w:p>
    <w:p>
      <w:pPr>
        <w:pStyle w:val="Bibliography"/>
        <w:rPr/>
      </w:pPr>
      <w:r>
        <w:rPr/>
        <w:t xml:space="preserve">100. </w:t>
        <w:tab/>
        <w:t xml:space="preserve">A. Kaul, S. Mandal, O. Davidov, S. D. Peddada, Analysis of Microbiome Data in the Presence of Excess Zeros. </w:t>
      </w:r>
      <w:r>
        <w:rPr>
          <w:i/>
          <w:iCs/>
        </w:rPr>
        <w:t>Front Microbiol</w:t>
      </w:r>
      <w:r>
        <w:rPr/>
        <w:t xml:space="preserve"> </w:t>
      </w:r>
      <w:r>
        <w:rPr>
          <w:b/>
          <w:bCs/>
        </w:rPr>
        <w:t>8</w:t>
      </w:r>
      <w:r>
        <w:rPr/>
        <w:t>, 2114 (2017).</w:t>
      </w:r>
    </w:p>
    <w:p>
      <w:pPr>
        <w:pStyle w:val="Bibliography"/>
        <w:rPr/>
      </w:pPr>
      <w:r>
        <w:rPr/>
        <w:t xml:space="preserve">101. </w:t>
        <w:tab/>
        <w:t xml:space="preserve">Y. Benjamini, Y. Hochberg, Controlling the False Discovery Rate: A Practical and Powerful Approach to Multiple Testing. </w:t>
      </w:r>
      <w:r>
        <w:rPr>
          <w:i/>
          <w:iCs/>
        </w:rPr>
        <w:t>Journal of the Royal Statistical Society. Series B (Methodological)</w:t>
      </w:r>
      <w:r>
        <w:rPr/>
        <w:t xml:space="preserve"> </w:t>
      </w:r>
      <w:r>
        <w:rPr>
          <w:b/>
          <w:bCs/>
        </w:rPr>
        <w:t>57</w:t>
      </w:r>
      <w:r>
        <w:rPr/>
        <w:t>, 289–300 (1995).</w:t>
      </w:r>
    </w:p>
    <w:p>
      <w:pPr>
        <w:pStyle w:val="Bibliography"/>
        <w:rPr/>
      </w:pPr>
      <w:r>
        <w:rPr/>
        <w:t xml:space="preserve">102. </w:t>
        <w:tab/>
        <w:t xml:space="preserve">H. Wickham, </w:t>
      </w:r>
      <w:r>
        <w:rPr>
          <w:i/>
          <w:iCs/>
        </w:rPr>
        <w:t>ggplot2: elegant graphics for data analysis</w:t>
      </w:r>
      <w:r>
        <w:rPr/>
        <w:t>, Second edition (Springer international publishing, 2016).</w:t>
      </w:r>
    </w:p>
    <w:p>
      <w:pPr>
        <w:pStyle w:val="Bibliography"/>
        <w:rPr/>
      </w:pPr>
      <w:r>
        <w:rPr/>
        <w:t xml:space="preserve">103. </w:t>
        <w:tab/>
        <w:t xml:space="preserve">E. Gordon-Rodriguez, T. P. Quinn, J. P. Cunningham, Learning sparse log-ratios for high-throughput sequencing data. </w:t>
      </w:r>
      <w:r>
        <w:rPr>
          <w:i/>
          <w:iCs/>
        </w:rPr>
        <w:t>Bioinformatics</w:t>
      </w:r>
      <w:r>
        <w:rPr/>
        <w:t xml:space="preserve"> </w:t>
      </w:r>
      <w:r>
        <w:rPr>
          <w:b/>
          <w:bCs/>
        </w:rPr>
        <w:t>38</w:t>
      </w:r>
      <w:r>
        <w:rPr/>
        <w:t>, 157–163 (2021).</w:t>
      </w:r>
    </w:p>
    <w:p>
      <w:pPr>
        <w:pStyle w:val="Bibliography"/>
        <w:rPr/>
      </w:pPr>
      <w:r>
        <w:rPr/>
        <w:t xml:space="preserve">104. </w:t>
        <w:tab/>
        <w:t xml:space="preserve">W. J. Broughton, M. J. Dilworth, Control of leghaemoglobin synthesis in snake beans. </w:t>
      </w:r>
      <w:r>
        <w:rPr>
          <w:i/>
          <w:iCs/>
        </w:rPr>
        <w:t>Biochem J</w:t>
      </w:r>
      <w:r>
        <w:rPr/>
        <w:t xml:space="preserve"> </w:t>
      </w:r>
      <w:r>
        <w:rPr>
          <w:b/>
          <w:bCs/>
        </w:rPr>
        <w:t>125</w:t>
      </w:r>
      <w:r>
        <w:rPr/>
        <w:t>, 1075–1080 (1971).</w:t>
      </w:r>
    </w:p>
    <w:p>
      <w:pPr>
        <w:pStyle w:val="Bibliography"/>
        <w:rPr/>
      </w:pPr>
      <w:r>
        <w:rPr/>
        <w:t xml:space="preserve">105. </w:t>
        <w:tab/>
        <w:t xml:space="preserve">R. Schmid, </w:t>
      </w:r>
      <w:r>
        <w:rPr>
          <w:i/>
          <w:iCs/>
        </w:rPr>
        <w:t>et al.</w:t>
      </w:r>
      <w:r>
        <w:rPr/>
        <w:t xml:space="preserve">, Integrative analysis of multimodal mass spectrometry data in MZmine 3. </w:t>
      </w:r>
      <w:r>
        <w:rPr>
          <w:i/>
          <w:iCs/>
        </w:rPr>
        <w:t>Nat Biotechnol</w:t>
      </w:r>
      <w:r>
        <w:rPr/>
        <w:t xml:space="preserve"> </w:t>
      </w:r>
      <w:r>
        <w:rPr>
          <w:b/>
          <w:bCs/>
        </w:rPr>
        <w:t>41</w:t>
      </w:r>
      <w:r>
        <w:rPr/>
        <w:t>, 447–449 (2023).</w:t>
      </w:r>
    </w:p>
    <w:p>
      <w:pPr>
        <w:pStyle w:val="Bibliography"/>
        <w:rPr/>
      </w:pPr>
      <w:r>
        <w:rPr/>
        <w:t xml:space="preserve">106. </w:t>
        <w:tab/>
        <w:t xml:space="preserve">K. Dührkop, </w:t>
      </w:r>
      <w:r>
        <w:rPr>
          <w:i/>
          <w:iCs/>
        </w:rPr>
        <w:t>et al.</w:t>
      </w:r>
      <w:r>
        <w:rPr/>
        <w:t xml:space="preserve">, SIRIUS 4: a rapid tool for turning tandem mass spectra into metabolite structure information. </w:t>
      </w:r>
      <w:r>
        <w:rPr>
          <w:i/>
          <w:iCs/>
        </w:rPr>
        <w:t>Nat Methods</w:t>
      </w:r>
      <w:r>
        <w:rPr/>
        <w:t xml:space="preserve"> </w:t>
      </w:r>
      <w:r>
        <w:rPr>
          <w:b/>
          <w:bCs/>
        </w:rPr>
        <w:t>16</w:t>
      </w:r>
      <w:r>
        <w:rPr/>
        <w:t>, 299–302 (2019).</w:t>
      </w:r>
    </w:p>
    <w:p>
      <w:pPr>
        <w:pStyle w:val="Bibliography"/>
        <w:rPr/>
      </w:pPr>
      <w:r>
        <w:rPr/>
        <w:t xml:space="preserve">107. </w:t>
        <w:tab/>
        <w:t xml:space="preserve">K. Dührkop, </w:t>
      </w:r>
      <w:r>
        <w:rPr>
          <w:i/>
          <w:iCs/>
        </w:rPr>
        <w:t>et al.</w:t>
      </w:r>
      <w:r>
        <w:rPr/>
        <w:t xml:space="preserve">, Systematic classification of unknown metabolites using high-resolution fragmentation mass spectra. </w:t>
      </w:r>
      <w:r>
        <w:rPr>
          <w:i/>
          <w:iCs/>
        </w:rPr>
        <w:t>Nat Biotechnol</w:t>
      </w:r>
      <w:r>
        <w:rPr/>
        <w:t xml:space="preserve"> </w:t>
      </w:r>
      <w:r>
        <w:rPr>
          <w:b/>
          <w:bCs/>
        </w:rPr>
        <w:t>39</w:t>
      </w:r>
      <w:r>
        <w:rPr/>
        <w:t>, 462–471 (2021).</w:t>
      </w:r>
    </w:p>
    <w:p>
      <w:pPr>
        <w:pStyle w:val="Bibliography"/>
        <w:rPr/>
      </w:pPr>
      <w:r>
        <w:rPr/>
        <w:t xml:space="preserve">108. </w:t>
        <w:tab/>
        <w:t xml:space="preserve">Y. Djoumbou Feunang, </w:t>
      </w:r>
      <w:r>
        <w:rPr>
          <w:i/>
          <w:iCs/>
        </w:rPr>
        <w:t>et al.</w:t>
      </w:r>
      <w:r>
        <w:rPr/>
        <w:t xml:space="preserve">, ClassyFire: automated chemical classification with a comprehensive, computable taxonomy. </w:t>
      </w:r>
      <w:r>
        <w:rPr>
          <w:i/>
          <w:iCs/>
        </w:rPr>
        <w:t>J Cheminform</w:t>
      </w:r>
      <w:r>
        <w:rPr/>
        <w:t xml:space="preserve"> </w:t>
      </w:r>
      <w:r>
        <w:rPr>
          <w:b/>
          <w:bCs/>
        </w:rPr>
        <w:t>8</w:t>
      </w:r>
      <w:r>
        <w:rPr/>
        <w:t>, 61 (2016).</w:t>
      </w:r>
    </w:p>
    <w:p>
      <w:pPr>
        <w:pStyle w:val="Bibliography"/>
        <w:rPr/>
      </w:pPr>
      <w:r>
        <w:rPr/>
        <w:t xml:space="preserve">109. </w:t>
        <w:tab/>
        <w:t xml:space="preserve">H. W. Kim, </w:t>
      </w:r>
      <w:r>
        <w:rPr>
          <w:i/>
          <w:iCs/>
        </w:rPr>
        <w:t>et al.</w:t>
      </w:r>
      <w:r>
        <w:rPr/>
        <w:t xml:space="preserve">, NPClassifier: A Deep Neural Network-Based Structural Classification Tool for Natural Products. </w:t>
      </w:r>
      <w:r>
        <w:rPr>
          <w:i/>
          <w:iCs/>
        </w:rPr>
        <w:t>J. Nat. Prod.</w:t>
      </w:r>
      <w:r>
        <w:rPr/>
        <w:t xml:space="preserve"> </w:t>
      </w:r>
      <w:r>
        <w:rPr>
          <w:b/>
          <w:bCs/>
        </w:rPr>
        <w:t>84</w:t>
      </w:r>
      <w:r>
        <w:rPr/>
        <w:t>, 2795–2807 (2021).</w:t>
      </w:r>
    </w:p>
    <w:p>
      <w:pPr>
        <w:pStyle w:val="Bibliography"/>
        <w:rPr/>
      </w:pPr>
      <w:r>
        <w:rPr/>
        <w:t xml:space="preserve">110. </w:t>
        <w:tab/>
        <w:t xml:space="preserve">J. Tobin, Estimation of Relationships for Limited Dependent Variables. </w:t>
      </w:r>
      <w:r>
        <w:rPr>
          <w:i/>
          <w:iCs/>
        </w:rPr>
        <w:t>Econometrica</w:t>
      </w:r>
      <w:r>
        <w:rPr/>
        <w:t xml:space="preserve"> </w:t>
      </w:r>
      <w:r>
        <w:rPr>
          <w:b/>
          <w:bCs/>
        </w:rPr>
        <w:t>26</w:t>
      </w:r>
      <w:r>
        <w:rPr/>
        <w:t>, 24–36 (1958).</w:t>
      </w:r>
    </w:p>
    <w:p>
      <w:pPr>
        <w:pStyle w:val="Bibliography"/>
        <w:rPr/>
      </w:pPr>
      <w:r>
        <w:rPr/>
        <w:t xml:space="preserve">111. </w:t>
        <w:tab/>
        <w:t xml:space="preserve">K. Pearson, LIII. On lines and planes of closest fit to systems of points in space. </w:t>
      </w:r>
      <w:r>
        <w:rPr>
          <w:i/>
          <w:iCs/>
        </w:rPr>
        <w:t>The London, Edinburgh, and Dublin Philosophical Magazine and Journal of Science</w:t>
      </w:r>
      <w:r>
        <w:rPr/>
        <w:t xml:space="preserve"> </w:t>
      </w:r>
      <w:r>
        <w:rPr>
          <w:b/>
          <w:bCs/>
        </w:rPr>
        <w:t>2</w:t>
      </w:r>
      <w:r>
        <w:rPr/>
        <w:t>, 559–572 (1901).</w:t>
      </w:r>
    </w:p>
    <w:p>
      <w:pPr>
        <w:pStyle w:val="Bibliography"/>
        <w:rPr/>
      </w:pPr>
      <w:r>
        <w:rPr/>
        <w:t xml:space="preserve">112. </w:t>
        <w:tab/>
        <w:t xml:space="preserve">K. Wippel, </w:t>
      </w:r>
      <w:r>
        <w:rPr>
          <w:i/>
          <w:iCs/>
        </w:rPr>
        <w:t>et al.</w:t>
      </w:r>
      <w:r>
        <w:rPr/>
        <w:t xml:space="preserve">, Host preference and invasiveness of commensal bacteria in the Lotus and Arabidopsis root microbiota. </w:t>
      </w:r>
      <w:r>
        <w:rPr>
          <w:i/>
          <w:iCs/>
        </w:rPr>
        <w:t>Nat Microbiol</w:t>
      </w:r>
      <w:r>
        <w:rPr/>
        <w:t xml:space="preserve"> </w:t>
      </w:r>
      <w:r>
        <w:rPr>
          <w:b/>
          <w:bCs/>
        </w:rPr>
        <w:t>6</w:t>
      </w:r>
      <w:r>
        <w:rPr/>
        <w:t>, 1150–1162 (2021).</w:t>
      </w:r>
    </w:p>
    <w:p>
      <w:pPr>
        <w:pStyle w:val="Bibliography"/>
        <w:rPr>
          <w:rFonts w:ascii="Times New Roman" w:hAnsi="Times New Roman" w:cs="Times New Roman"/>
        </w:rPr>
      </w:pPr>
      <w:r>
        <w:rPr/>
      </w:r>
      <w:r>
        <w:rPr/>
        <w:fldChar w:fldCharType="end"/>
      </w:r>
    </w:p>
    <w:p>
      <w:pPr>
        <w:pStyle w:val="Normal"/>
        <w:spacing w:lineRule="auto" w:line="276"/>
        <w:rPr>
          <w:rFonts w:ascii="Times New Roman" w:hAnsi="Times New Roman" w:cs="Times New Roman"/>
          <w:b/>
          <w:b/>
          <w:bCs/>
        </w:rPr>
      </w:pPr>
      <w:r>
        <w:rPr>
          <w:rFonts w:cs="Times New Roman" w:ascii="Times New Roman" w:hAnsi="Times New Roman"/>
          <w:b/>
          <w:bCs/>
        </w:rPr>
        <w:t>Supplementary Information</w:t>
      </w:r>
    </w:p>
    <w:p>
      <w:pPr>
        <w:pStyle w:val="Normal"/>
        <w:spacing w:lineRule="auto" w:line="276"/>
        <w:rPr>
          <w:rFonts w:ascii="Times New Roman" w:hAnsi="Times New Roman" w:cs="Times New Roman"/>
        </w:rPr>
      </w:pPr>
      <w:r>
        <w:rPr>
          <w:rFonts w:cs="Times New Roman" w:ascii="Times New Roman" w:hAnsi="Times New Roman"/>
          <w:highlight w:val="red"/>
        </w:rPr>
        <w:t>(see separate file)</w:t>
      </w:r>
    </w:p>
    <w:p>
      <w:pPr>
        <w:pStyle w:val="Normal"/>
        <w:spacing w:lineRule="auto" w:line="276"/>
        <w:rPr>
          <w:rFonts w:ascii="Times New Roman" w:hAnsi="Times New Roman" w:cs="Times New Roman"/>
        </w:rPr>
      </w:pPr>
      <w:r>
        <w:rPr>
          <w:rFonts w:cs="Times New Roman" w:ascii="Times New Roman" w:hAnsi="Times New Roman"/>
        </w:rPr>
      </w:r>
    </w:p>
    <w:p>
      <w:pPr>
        <w:pStyle w:val="Normal"/>
        <w:spacing w:lineRule="auto" w:line="276"/>
        <w:rPr>
          <w:rFonts w:ascii="Times New Roman" w:hAnsi="Times New Roman" w:cs="Times New Roman"/>
          <w:b/>
          <w:b/>
          <w:bCs/>
        </w:rPr>
      </w:pPr>
      <w:r>
        <w:rPr>
          <w:rFonts w:cs="Times New Roman" w:ascii="Times New Roman" w:hAnsi="Times New Roman"/>
          <w:b/>
          <w:bCs/>
        </w:rPr>
        <w:t>Figure legends</w:t>
      </w:r>
    </w:p>
    <w:p>
      <w:pPr>
        <w:pStyle w:val="Normal"/>
        <w:spacing w:lineRule="auto" w:line="276"/>
        <w:jc w:val="both"/>
        <w:rPr>
          <w:rFonts w:ascii="Times New Roman" w:hAnsi="Times New Roman" w:cs="Times New Roman"/>
        </w:rPr>
      </w:pPr>
      <w:r>
        <w:rPr>
          <w:rFonts w:cs="Times New Roman" w:ascii="Times New Roman" w:hAnsi="Times New Roman"/>
          <w:b/>
          <w:bCs/>
        </w:rPr>
        <w:t>Figure 1. Long-time fertilisation shapes soil bacterial community composition.</w:t>
      </w:r>
      <w:r>
        <w:rPr>
          <w:rFonts w:cs="Times New Roman" w:ascii="Times New Roman" w:hAnsi="Times New Roman"/>
        </w:rPr>
        <w:t xml:space="preserve"> (A) Three soils were collected after 125 years of field fertilisation at the Askov long-term experiment (Christensen et al., 2022), including nitrogen, phosphorus, and potassium fertilised (NPK), phosphorus and potassium fertilised (PK), and unfertilised (UF) soil. Soils were subjected to 16S rRNA V5-V7 amplicon sequencing (n=3 per soil). (B) Alpha diversity (Chao1 index) of bacterial communities across soils calculated from a rarefied ASV table (minimum 1000 reads per sample). (C) Principal coordinates analysis (PCoA) based on Bray-Curtis distances. (D) Stacked bar plots showing cumulative mean relative abundance of the 20 most abundant bacterial orders (remaining taxa grouped as ”Other”). (E) Relative abundance of bacterial orders showing significant differences across soils. (F) Venn diagram showing overlap of ASVs detected across soils (present in ≥2 of 3 samples), Pie charts indicate taxonomic composition at order level for each section of the Venn diagram (top 20 orders shown individually; remaining taxa grouped as “Other”). Statistical significance was assessed using one-way ANOVA followed by Tukey’s HSD post hoc test (P&lt;0.05).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Figure 2. Soil legacy shapes plant growth and root-associated bacterial communities in </w:t>
      </w:r>
      <w:r>
        <w:rPr>
          <w:rFonts w:cs="Times New Roman" w:ascii="Times New Roman" w:hAnsi="Times New Roman"/>
          <w:b/>
          <w:bCs/>
          <w:i/>
          <w:iCs/>
        </w:rPr>
        <w:t>Lotus japonicus</w:t>
      </w:r>
      <w:r>
        <w:rPr>
          <w:rFonts w:cs="Times New Roman" w:ascii="Times New Roman" w:hAnsi="Times New Roman"/>
          <w:b/>
          <w:bCs/>
        </w:rPr>
        <w:t xml:space="preserve"> and </w:t>
      </w:r>
      <w:r>
        <w:rPr>
          <w:rFonts w:cs="Times New Roman" w:ascii="Times New Roman" w:hAnsi="Times New Roman"/>
          <w:b/>
          <w:bCs/>
          <w:i/>
          <w:iCs/>
        </w:rPr>
        <w:t>Hordeum vulgare</w:t>
      </w:r>
      <w:r>
        <w:rPr>
          <w:rFonts w:cs="Times New Roman" w:ascii="Times New Roman" w:hAnsi="Times New Roman"/>
          <w:b/>
          <w:bCs/>
        </w:rPr>
        <w:t>.</w:t>
      </w:r>
      <w:r>
        <w:rPr>
          <w:rFonts w:cs="Times New Roman" w:ascii="Times New Roman" w:hAnsi="Times New Roman"/>
        </w:rPr>
        <w:t xml:space="preserve"> (A) Wild-type </w:t>
      </w:r>
      <w:r>
        <w:rPr>
          <w:rFonts w:cs="Times New Roman" w:ascii="Times New Roman" w:hAnsi="Times New Roman"/>
          <w:i/>
          <w:iCs/>
        </w:rPr>
        <w:t xml:space="preserve">Lotus </w:t>
      </w:r>
      <w:r>
        <w:rPr>
          <w:rFonts w:cs="Times New Roman" w:ascii="Times New Roman" w:hAnsi="Times New Roman"/>
        </w:rPr>
        <w:t xml:space="preserve">and </w:t>
      </w:r>
      <w:r>
        <w:rPr>
          <w:rFonts w:cs="Times New Roman" w:ascii="Times New Roman" w:hAnsi="Times New Roman"/>
          <w:i/>
          <w:iCs/>
        </w:rPr>
        <w:t xml:space="preserve">Hordeum </w:t>
      </w:r>
      <w:r>
        <w:rPr>
          <w:rFonts w:cs="Times New Roman" w:ascii="Times New Roman" w:hAnsi="Times New Roman"/>
        </w:rPr>
        <w:t xml:space="preserve">were grown for three weeks on nitrogen, phosphorus, and potassium fertilised (NPK), phosphorus and potassium fertilised (PK), or unfertilised (UF) soils. Each replicate consisted of three pots containing 10 plants per pot for </w:t>
      </w:r>
      <w:r>
        <w:rPr>
          <w:rFonts w:cs="Times New Roman" w:ascii="Times New Roman" w:hAnsi="Times New Roman"/>
          <w:i/>
          <w:iCs/>
        </w:rPr>
        <w:t>Lotus</w:t>
      </w:r>
      <w:r>
        <w:rPr>
          <w:rFonts w:cs="Times New Roman" w:ascii="Times New Roman" w:hAnsi="Times New Roman"/>
        </w:rPr>
        <w:t xml:space="preserve"> (n=60) and one plant per pot for </w:t>
      </w:r>
      <w:r>
        <w:rPr>
          <w:rFonts w:cs="Times New Roman" w:ascii="Times New Roman" w:hAnsi="Times New Roman"/>
          <w:i/>
          <w:iCs/>
        </w:rPr>
        <w:t>Hordeum</w:t>
      </w:r>
      <w:r>
        <w:rPr>
          <w:rFonts w:cs="Times New Roman" w:ascii="Times New Roman" w:hAnsi="Times New Roman"/>
        </w:rPr>
        <w:t xml:space="preserve"> (total n=18). Plants were pooled per replicate to collect rhizosphere, root, and nodule fractions for microbiome profiling using 16S rRNA V5-V7 amplicon sequencing (n=6 per plant-compartment combination). (B) Shoot fresh weight (g) per plant. (C) Number of pink nodules per </w:t>
      </w:r>
      <w:r>
        <w:rPr>
          <w:rFonts w:cs="Times New Roman" w:ascii="Times New Roman" w:hAnsi="Times New Roman"/>
          <w:i/>
          <w:iCs/>
        </w:rPr>
        <w:t>Lotus</w:t>
      </w:r>
      <w:r>
        <w:rPr>
          <w:rFonts w:cs="Times New Roman" w:ascii="Times New Roman" w:hAnsi="Times New Roman"/>
        </w:rPr>
        <w:t xml:space="preserve"> plant. (D) Constrained principal coordinates analysis (PCoA) of Bray-Curtis distances showing bacterial community composition in rhizosphere, root, and nodule (for </w:t>
      </w:r>
      <w:r>
        <w:rPr>
          <w:rFonts w:cs="Times New Roman" w:ascii="Times New Roman" w:hAnsi="Times New Roman"/>
          <w:i/>
          <w:iCs/>
        </w:rPr>
        <w:t>Lotus</w:t>
      </w:r>
      <w:r>
        <w:rPr>
          <w:rFonts w:cs="Times New Roman" w:ascii="Times New Roman" w:hAnsi="Times New Roman"/>
        </w:rPr>
        <w:t xml:space="preserve">) compartments. Shapes indicate compartment, and colours indicate soil. (E) Heatmap of the mean relative abundance of the top 20 bacterial orders (mean RA ≥1% across all rhizosphere and root samples, combining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Lower-abundance orders are grouped as “Other”. Letters indicate significant differences between soils within each plant-compartment (</w:t>
      </w:r>
      <w:commentRangeStart w:id="16"/>
      <w:r>
        <w:rPr>
          <w:rFonts w:cs="Times New Roman" w:ascii="Times New Roman" w:hAnsi="Times New Roman"/>
        </w:rPr>
        <w:t>one-way ANOVA, Tukey’s HSD, P &lt; 0.05</w:t>
      </w:r>
      <w:r>
        <w:rPr>
          <w:rFonts w:cs="Times New Roman" w:ascii="Times New Roman" w:hAnsi="Times New Roman"/>
        </w:rPr>
      </w:r>
      <w:commentRangeEnd w:id="16"/>
      <w:r>
        <w:commentReference w:id="16"/>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Figure 3. Prediction of plant nutrient status from bacterial community composition.</w:t>
      </w:r>
      <w:r>
        <w:rPr>
          <w:rFonts w:cs="Times New Roman" w:ascii="Times New Roman" w:hAnsi="Times New Roman"/>
        </w:rPr>
        <w:t xml:space="preserve"> (A) Schematic of the nested modelling approach used to predict soil type based on bacterial ASV profiles. Two binary classifiers were fitted using codacore: the first distinguishes nitrogen, phosphorus, and potassium fertilised (NPK) from non-NPK soils, and the second distinguishes phosphorus and potassium fertilised (PF) from unfertilised (UF) soils. Separate models were trained for </w:t>
      </w:r>
      <w:r>
        <w:rPr>
          <w:rFonts w:cs="Times New Roman" w:ascii="Times New Roman" w:hAnsi="Times New Roman"/>
          <w:i/>
          <w:iCs/>
        </w:rPr>
        <w:t>Lotus japonicus</w:t>
      </w:r>
      <w:r>
        <w:rPr>
          <w:rFonts w:cs="Times New Roman" w:ascii="Times New Roman" w:hAnsi="Times New Roman"/>
        </w:rPr>
        <w:t xml:space="preserve"> and </w:t>
      </w:r>
      <w:r>
        <w:rPr>
          <w:rFonts w:cs="Times New Roman" w:ascii="Times New Roman" w:hAnsi="Times New Roman"/>
          <w:i/>
          <w:iCs/>
        </w:rPr>
        <w:t>Hordeum vulgare</w:t>
      </w:r>
      <w:r>
        <w:rPr>
          <w:rFonts w:cs="Times New Roman" w:ascii="Times New Roman" w:hAnsi="Times New Roman"/>
        </w:rPr>
        <w:t xml:space="preserve">. Two-thirds of samples were used for training and one-third for testing with balanced representation of soils and genotypes (wild-type,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w:t>
      </w:r>
      <w:r>
        <w:rPr>
          <w:rFonts w:cs="Times New Roman" w:ascii="Times New Roman" w:hAnsi="Times New Roman"/>
          <w:i/>
          <w:iCs/>
        </w:rPr>
        <w:t>nsp2</w:t>
      </w:r>
      <w:r>
        <w:rPr>
          <w:rFonts w:cs="Times New Roman" w:ascii="Times New Roman" w:hAnsi="Times New Roman"/>
        </w:rPr>
        <w:t>). (B) Prediction results for the test dataset. The x-axis indicates true soil type and the y-axis indicates predicted soil type. Each point represents one sample; bubbles on the diagonal indicate correct predictions and off-diagonal bubbles indicate indicate misclassifications. (C) Log-ratio features selected by each model, showing the number of ASVs included in each log ratio (numbers in parantheses) and prediction accuracy for the test dataset. Model 1 corresponds to NPK versus non-NPK classification (NPK ratios) and Model 2 corresponds to PK versus UF classification (PK ratios). (D) Mean cumulative relative abundance of ASVs used in prediction (all log-ratio components across both models) grouped by bacterial order.</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Figure 4. Symbiosis signalling shapes host-specific plant growth and root-associated microbiota. </w:t>
      </w:r>
      <w:r>
        <w:rPr>
          <w:rFonts w:cs="Times New Roman" w:ascii="Times New Roman" w:hAnsi="Times New Roman"/>
        </w:rPr>
        <w:t xml:space="preserve">(A)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wild-type and symbiosis mutants (</w:t>
      </w:r>
      <w:r>
        <w:rPr>
          <w:rFonts w:cs="Times New Roman" w:ascii="Times New Roman" w:hAnsi="Times New Roman"/>
          <w:i/>
          <w:iCs/>
        </w:rPr>
        <w:t>symrk</w:t>
      </w:r>
      <w:r>
        <w:rPr>
          <w:rFonts w:cs="Times New Roman" w:ascii="Times New Roman" w:hAnsi="Times New Roman"/>
        </w:rPr>
        <w:t xml:space="preserve">, </w:t>
      </w:r>
      <w:r>
        <w:rPr>
          <w:rFonts w:cs="Times New Roman" w:ascii="Times New Roman" w:hAnsi="Times New Roman"/>
          <w:i/>
          <w:iCs/>
        </w:rPr>
        <w:t>ccamk</w:t>
      </w:r>
      <w:r>
        <w:rPr>
          <w:rFonts w:cs="Times New Roman" w:ascii="Times New Roman" w:hAnsi="Times New Roman"/>
        </w:rPr>
        <w:t xml:space="preserve">, </w:t>
      </w:r>
      <w:r>
        <w:rPr>
          <w:rFonts w:cs="Times New Roman" w:ascii="Times New Roman" w:hAnsi="Times New Roman"/>
          <w:i/>
          <w:iCs/>
        </w:rPr>
        <w:t>nsp1</w:t>
      </w:r>
      <w:r>
        <w:rPr>
          <w:rFonts w:cs="Times New Roman" w:ascii="Times New Roman" w:hAnsi="Times New Roman"/>
        </w:rPr>
        <w:t xml:space="preserve">, </w:t>
      </w:r>
      <w:r>
        <w:rPr>
          <w:rFonts w:cs="Times New Roman" w:ascii="Times New Roman" w:hAnsi="Times New Roman"/>
          <w:i/>
          <w:iCs/>
        </w:rPr>
        <w:t>nsp2</w:t>
      </w:r>
      <w:r>
        <w:rPr>
          <w:rFonts w:cs="Times New Roman" w:ascii="Times New Roman" w:hAnsi="Times New Roman"/>
        </w:rPr>
        <w:t xml:space="preserve">) were grown for three weeks in NPK, PK, or UF soils; rhizosphere and root microbiome samples were collected as described in Figure 2. (B) Shoot fresh weight (g) per plant (n=60 for </w:t>
      </w:r>
      <w:r>
        <w:rPr>
          <w:rFonts w:cs="Times New Roman" w:ascii="Times New Roman" w:hAnsi="Times New Roman"/>
          <w:i/>
          <w:iCs/>
        </w:rPr>
        <w:t>Lotus</w:t>
      </w:r>
      <w:r>
        <w:rPr>
          <w:rFonts w:cs="Times New Roman" w:ascii="Times New Roman" w:hAnsi="Times New Roman"/>
        </w:rPr>
        <w:t xml:space="preserve"> and n=18 for </w:t>
      </w:r>
      <w:r>
        <w:rPr>
          <w:rFonts w:cs="Times New Roman" w:ascii="Times New Roman" w:hAnsi="Times New Roman"/>
          <w:i/>
          <w:iCs/>
        </w:rPr>
        <w:t>Hordeum</w:t>
      </w:r>
      <w:r>
        <w:rPr>
          <w:rFonts w:cs="Times New Roman" w:ascii="Times New Roman" w:hAnsi="Times New Roman"/>
        </w:rPr>
        <w:t xml:space="preserve"> for most genotypes). (C) Constrained PCoA of Bray-Curtis distances showing bacterial community composition in root samples across all soils, with colours indicating genotype and shapes indicating soil type (left), and unconstrained PCoA of root samples from UF soil coloured by genotype (right). Extended PCoA plots, including rhizosphere and individual soil compartments, are shown in </w:t>
      </w:r>
      <w:r>
        <w:rPr>
          <w:rFonts w:cs="Times New Roman" w:ascii="Times New Roman" w:hAnsi="Times New Roman"/>
          <w:highlight w:val="magenta"/>
        </w:rPr>
        <w:t>Suppl. Fig. 3C-F</w:t>
      </w:r>
      <w:r>
        <w:rPr>
          <w:rFonts w:cs="Times New Roman" w:ascii="Times New Roman" w:hAnsi="Times New Roman"/>
        </w:rPr>
        <w:t>. (D) Heatmap of ASVs with differential abundance (DA ASVs; identified via MaAsLin2 and structural zero analysis) in at least one mutant relative to wild-type across compartment-soil combinations. Depleted ASVs are shown in blue, enriched ASVs in red. The top bar indicates taxonomic assignment at the order level (top20 bacterial orders shown; others grouped as “Other”). Numbers in brackets indicate the total DA ASVs per compartment-soil-genotype combination. Bars to the right show the mean cumulative relative abundance of DA ASVs in the corresponding wild-type compartment.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Figure 5. Root exudation profiles are altered in CSSP mutants of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w:t>
      </w:r>
      <w:r>
        <w:rPr>
          <w:rFonts w:cs="Times New Roman" w:ascii="Times New Roman" w:hAnsi="Times New Roman"/>
        </w:rPr>
        <w:t xml:space="preserve"> Sterile, non-inoculated wild-type and CSSP mutant seedlings were cultivated under controlled, microbe-free conditions (</w:t>
      </w:r>
      <w:r>
        <w:rPr>
          <w:rFonts w:cs="Times New Roman" w:ascii="Times New Roman" w:hAnsi="Times New Roman"/>
          <w:i/>
          <w:iCs/>
        </w:rPr>
        <w:t>Lotus</w:t>
      </w:r>
      <w:r>
        <w:rPr>
          <w:rFonts w:cs="Times New Roman" w:ascii="Times New Roman" w:hAnsi="Times New Roman"/>
        </w:rPr>
        <w:t xml:space="preserve">: 6 biological replicates per genotype, 12 plants per replicate; </w:t>
      </w:r>
      <w:r>
        <w:rPr>
          <w:rFonts w:cs="Times New Roman" w:ascii="Times New Roman" w:hAnsi="Times New Roman"/>
          <w:i/>
          <w:iCs/>
        </w:rPr>
        <w:t>Hordeum</w:t>
      </w:r>
      <w:r>
        <w:rPr>
          <w:rFonts w:cs="Times New Roman" w:ascii="Times New Roman" w:hAnsi="Times New Roman"/>
        </w:rPr>
        <w:t>: 6 biological replicates, one plant per replicate) and root exudates were collected for untargeted LC-MS/MS analysis. (A) Principal component analysis (PCA) of all detected metabolites (background and low-frequency features removed), separated by host species, with colours indicating genotypes. (B) Volcano plots showing differential exudation of metabolites for each mutant relative to wild-type, with x-axis representing log2 fold change and y-axis showing -log</w:t>
      </w:r>
      <w:r>
        <w:rPr>
          <w:rFonts w:cs="Times New Roman" w:ascii="Times New Roman" w:hAnsi="Times New Roman"/>
          <w:vertAlign w:val="subscript"/>
          <w:rPrChange w:id="0" w:author="Unknown Author" w:date="2026-02-18T08:30:40Z"/>
        </w:rPr>
        <w:t>10</w:t>
      </w:r>
      <w:r>
        <w:rPr>
          <w:rFonts w:cs="Times New Roman" w:ascii="Times New Roman" w:hAnsi="Times New Roman"/>
        </w:rPr>
        <w:t xml:space="preserve"> </w:t>
      </w:r>
      <w:del w:id="1" w:author="Unknown Author" w:date="2026-02-18T08:32:40Z">
        <w:r>
          <w:rPr>
            <w:rFonts w:cs="Times New Roman" w:ascii="Times New Roman" w:hAnsi="Times New Roman"/>
          </w:rPr>
          <w:delText xml:space="preserve">FDR-adjusted </w:delText>
        </w:r>
      </w:del>
      <w:r>
        <w:rPr>
          <w:rFonts w:cs="Times New Roman" w:ascii="Times New Roman" w:hAnsi="Times New Roman"/>
        </w:rPr>
        <w:t>p-value</w:t>
      </w:r>
      <w:ins w:id="2" w:author="Unknown Author" w:date="2026-02-18T08:32:46Z">
        <w:r>
          <w:rPr>
            <w:rFonts w:cs="Times New Roman" w:ascii="Times New Roman" w:hAnsi="Times New Roman"/>
          </w:rPr>
          <w:t xml:space="preserve"> </w:t>
        </w:r>
      </w:ins>
      <w:ins w:id="3" w:author="Unknown Author" w:date="2026-02-18T08:32:46Z">
        <w:r>
          <w:rPr>
            <w:rFonts w:cs="Times New Roman" w:ascii="Times New Roman" w:hAnsi="Times New Roman"/>
          </w:rPr>
          <w:t>adjusted for false discovery rate</w:t>
        </w:r>
      </w:ins>
      <w:ins w:id="4" w:author="Unknown Author" w:date="2026-02-18T08:33:00Z">
        <w:r>
          <w:rPr>
            <w:rFonts w:cs="Times New Roman" w:ascii="Times New Roman" w:hAnsi="Times New Roman"/>
          </w:rPr>
          <w:t xml:space="preserve"> (FDR) with Benjamini-Hochberg</w:t>
        </w:r>
      </w:ins>
      <w:r>
        <w:rPr>
          <w:rFonts w:cs="Times New Roman" w:ascii="Times New Roman" w:hAnsi="Times New Roman"/>
        </w:rPr>
        <w:t>. Dots are coloured by depletion (blue), enrichment (red), or not significant (gray). The number in each panel indicates the total number of significantly differentially exuded metabolites (DEMs) for the genotype. Features with estimated log</w:t>
      </w:r>
      <w:r>
        <w:rPr>
          <w:rFonts w:cs="Times New Roman" w:ascii="Times New Roman" w:hAnsi="Times New Roman"/>
          <w:vertAlign w:val="subscript"/>
          <w:rPrChange w:id="0" w:author="Unknown Author" w:date="2026-02-18T08:30:32Z"/>
        </w:rPr>
        <w:t>2</w:t>
      </w:r>
      <w:r>
        <w:rPr>
          <w:rFonts w:cs="Times New Roman" w:ascii="Times New Roman" w:hAnsi="Times New Roman"/>
        </w:rPr>
        <w:t xml:space="preserve"> fold-change above 30 were omitted for visual clarity. (C) Bubble plot summarising the total number of DEMs per genotype (x-axis) and their distribution across chemical classes (ClassyFire annotation). Bubble size reflects the number of DEMs per class, and bubble colour indicates the proportion of mostly depleted (blue), mixed (white), or mostly enriched (red) metabolites relative to wild-type. For visual purposes, only classes where at least two metabolites are differentially exuded in at least one mutant compared to wild-type are shown. (D) Boxplots for selected DEMs with high-confidence structure annotations, showing intensity (y-axis) across genotypes (x-axis); asterisks indicate significant differences relative to wild-type (</w:t>
      </w:r>
      <w:del w:id="6" w:author="Unknown Author" w:date="2026-02-18T08:20:43Z">
        <w:r>
          <w:rPr>
            <w:rFonts w:cs="Times New Roman" w:ascii="Times New Roman" w:hAnsi="Times New Roman"/>
          </w:rPr>
          <w:delText>pairwise Wilxocon rank-sum</w:delText>
        </w:r>
      </w:del>
      <w:del w:id="7" w:author="Unknown Author" w:date="2026-02-18T08:20:43Z">
        <w:commentRangeStart w:id="17"/>
        <w:r>
          <w:rPr>
            <w:rFonts w:cs="Times New Roman" w:ascii="Times New Roman" w:hAnsi="Times New Roman"/>
          </w:rPr>
          <w:delText xml:space="preserve"> </w:delText>
        </w:r>
      </w:del>
      <w:ins w:id="8" w:author="Unknown Author" w:date="2026-02-18T08:20:27Z">
        <w:r>
          <w:rPr>
            <w:rFonts w:cs="Times New Roman" w:ascii="Times New Roman" w:hAnsi="Times New Roman"/>
          </w:rPr>
          <w:t>linear regression with t-</w:t>
        </w:r>
      </w:ins>
      <w:r>
        <w:rPr>
          <w:rFonts w:cs="Times New Roman" w:ascii="Times New Roman" w:hAnsi="Times New Roman"/>
        </w:rPr>
        <w:t>test</w:t>
      </w:r>
      <w:ins w:id="9" w:author="Unknown Author" w:date="2026-02-18T08:20:35Z">
        <w:r>
          <w:rPr>
            <w:rFonts w:cs="Times New Roman" w:ascii="Times New Roman" w:hAnsi="Times New Roman"/>
          </w:rPr>
          <w:t>s</w:t>
        </w:r>
      </w:ins>
      <w:r>
        <w:rPr>
          <w:rFonts w:cs="Times New Roman" w:ascii="Times New Roman" w:hAnsi="Times New Roman"/>
        </w:rPr>
        <w:t xml:space="preserve">, </w:t>
      </w:r>
      <w:ins w:id="10" w:author="Unknown Author" w:date="2026-02-18T08:21:08Z">
        <w:r>
          <w:rPr>
            <w:rFonts w:cs="Times New Roman" w:ascii="Times New Roman" w:hAnsi="Times New Roman"/>
          </w:rPr>
          <w:t>p</w:t>
        </w:r>
      </w:ins>
      <w:del w:id="11" w:author="Unknown Author" w:date="2026-02-18T08:21:08Z">
        <w:r>
          <w:rPr>
            <w:rFonts w:cs="Times New Roman" w:ascii="Times New Roman" w:hAnsi="Times New Roman"/>
          </w:rPr>
          <w:delText>P</w:delText>
        </w:r>
      </w:del>
      <w:r>
        <w:rPr>
          <w:rFonts w:cs="Times New Roman" w:ascii="Times New Roman" w:hAnsi="Times New Roman"/>
        </w:rPr>
        <w:t>&lt;0.05</w:t>
      </w:r>
      <w:ins w:id="12" w:author="Unknown Author" w:date="2026-02-18T08:21:12Z">
        <w:r>
          <w:rPr>
            <w:rFonts w:cs="Times New Roman" w:ascii="Times New Roman" w:hAnsi="Times New Roman"/>
          </w:rPr>
          <w:t xml:space="preserve"> after adjusting for multiple testing with Benjamini-Hochberg</w:t>
        </w:r>
      </w:ins>
      <w:r>
        <w:rPr>
          <w:rFonts w:cs="Times New Roman" w:ascii="Times New Roman" w:hAnsi="Times New Roman"/>
        </w:rPr>
      </w:r>
      <w:commentRangeEnd w:id="17"/>
      <w:r>
        <w:commentReference w:id="17"/>
      </w:r>
      <w:r>
        <w:rPr>
          <w:rFonts w:cs="Times New Roman" w:ascii="Times New Roman" w:hAnsi="Times New Roman"/>
        </w:rPr>
        <w:t>). Details on growth setups, LC-MS/MS conditions, and data processing can be found in Material and Methods.</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highlight w:val="red"/>
        </w:rPr>
        <w:t>Figure 6. SynComs.</w:t>
      </w:r>
      <w:r>
        <w:rPr>
          <w:rFonts w:cs="Times New Roman" w:ascii="Times New Roman" w:hAnsi="Times New Roman"/>
          <w:highlight w:val="red"/>
        </w:rPr>
        <w:t xml:space="preserve"> (A)</w:t>
      </w:r>
      <w:r>
        <w:rPr>
          <w:rFonts w:cs="Times New Roman" w:ascii="Times New Roman" w:hAnsi="Times New Roman"/>
        </w:rPr>
        <w:t xml:space="preserve"> </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Figure legends</w:t>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1. Microbial diversity and composition in rhizosphere, root, and nodule compartments of </w:t>
      </w:r>
      <w:r>
        <w:rPr>
          <w:rFonts w:cs="Times New Roman" w:ascii="Times New Roman" w:hAnsi="Times New Roman"/>
          <w:b/>
          <w:bCs/>
          <w:i/>
          <w:iCs/>
        </w:rPr>
        <w:t>Lotus</w:t>
      </w:r>
      <w:r>
        <w:rPr>
          <w:rFonts w:cs="Times New Roman" w:ascii="Times New Roman" w:hAnsi="Times New Roman"/>
          <w:b/>
          <w:bCs/>
        </w:rPr>
        <w:t xml:space="preserve"> </w:t>
      </w:r>
      <w:r>
        <w:rPr>
          <w:rFonts w:cs="Times New Roman" w:ascii="Times New Roman" w:hAnsi="Times New Roman"/>
          <w:b/>
          <w:bCs/>
          <w:i/>
          <w:iCs/>
        </w:rPr>
        <w:t>japonicus</w:t>
      </w:r>
      <w:r>
        <w:rPr>
          <w:rFonts w:cs="Times New Roman" w:ascii="Times New Roman" w:hAnsi="Times New Roman"/>
          <w:b/>
          <w:bCs/>
        </w:rPr>
        <w:t xml:space="preserve"> and </w:t>
      </w:r>
      <w:r>
        <w:rPr>
          <w:rFonts w:cs="Times New Roman" w:ascii="Times New Roman" w:hAnsi="Times New Roman"/>
          <w:b/>
          <w:bCs/>
          <w:i/>
          <w:iCs/>
        </w:rPr>
        <w:t>Hordeum vulgare</w:t>
      </w:r>
      <w:r>
        <w:rPr>
          <w:rFonts w:cs="Times New Roman" w:ascii="Times New Roman" w:hAnsi="Times New Roman"/>
          <w:b/>
          <w:bCs/>
        </w:rPr>
        <w:t>.</w:t>
      </w:r>
      <w:r>
        <w:rPr>
          <w:rFonts w:cs="Times New Roman" w:ascii="Times New Roman" w:hAnsi="Times New Roman"/>
        </w:rPr>
        <w:t xml:space="preserve"> Samples were collected as described in Figure 2. (A,B) Chao1 alpha diversity of bacterial communities in </w:t>
      </w:r>
      <w:r>
        <w:rPr>
          <w:rFonts w:cs="Times New Roman" w:ascii="Times New Roman" w:hAnsi="Times New Roman"/>
          <w:i/>
          <w:iCs/>
        </w:rPr>
        <w:t>Lotus</w:t>
      </w:r>
      <w:r>
        <w:rPr>
          <w:rFonts w:cs="Times New Roman" w:ascii="Times New Roman" w:hAnsi="Times New Roman"/>
        </w:rPr>
        <w:t xml:space="preserve"> (rhizosphere, root, and nodule) and </w:t>
      </w:r>
      <w:r>
        <w:rPr>
          <w:rFonts w:cs="Times New Roman" w:ascii="Times New Roman" w:hAnsi="Times New Roman"/>
          <w:i/>
          <w:iCs/>
        </w:rPr>
        <w:t>Hordeum</w:t>
      </w:r>
      <w:r>
        <w:rPr>
          <w:rFonts w:cs="Times New Roman" w:ascii="Times New Roman" w:hAnsi="Times New Roman"/>
        </w:rPr>
        <w:t xml:space="preserve"> ( rhizosphere and root) compartments across three soil types (NPK, PK, UF). (C) Stacked barplots showing mean relative abundances of the combined top 20 bacterial orders (mean RA ≥1% across all rhizosphere and root samples, combining </w:t>
      </w:r>
      <w:r>
        <w:rPr>
          <w:rFonts w:cs="Times New Roman" w:ascii="Times New Roman" w:hAnsi="Times New Roman"/>
          <w:i/>
          <w:iCs/>
        </w:rPr>
        <w:t>Lotus</w:t>
      </w:r>
      <w:r>
        <w:rPr>
          <w:rFonts w:cs="Times New Roman" w:ascii="Times New Roman" w:hAnsi="Times New Roman"/>
        </w:rPr>
        <w:t xml:space="preserve"> and </w:t>
      </w:r>
      <w:r>
        <w:rPr>
          <w:rFonts w:cs="Times New Roman" w:ascii="Times New Roman" w:hAnsi="Times New Roman"/>
          <w:i/>
          <w:iCs/>
        </w:rPr>
        <w:t>Hordeum</w:t>
      </w:r>
      <w:r>
        <w:rPr>
          <w:rFonts w:cs="Times New Roman" w:ascii="Times New Roman" w:hAnsi="Times New Roman"/>
        </w:rPr>
        <w:t xml:space="preserve">). Lower-abundance orders are grouped as “Other”. (D) Stacked barplots of </w:t>
      </w:r>
      <w:r>
        <w:rPr>
          <w:rFonts w:cs="Times New Roman" w:ascii="Times New Roman" w:hAnsi="Times New Roman"/>
          <w:i/>
          <w:iCs/>
        </w:rPr>
        <w:t>Lotus</w:t>
      </w:r>
      <w:r>
        <w:rPr>
          <w:rFonts w:cs="Times New Roman" w:ascii="Times New Roman" w:hAnsi="Times New Roman"/>
        </w:rPr>
        <w:t xml:space="preserve"> nodule ASVs. Top 20 ASVs per soil with ≥1% mean relative abundance were plotted; less abundant ASVs were excluded. Unknown genera were annotated based on family information. Colors correspond to genera/ASVs. Letters indicate significant differences between soils within each compartment (one-way ANOVA followed by Tukey’s HSD, P &lt; 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2. Nodule counts in </w:t>
      </w:r>
      <w:r>
        <w:rPr>
          <w:rFonts w:cs="Times New Roman" w:ascii="Times New Roman" w:hAnsi="Times New Roman"/>
          <w:b/>
          <w:bCs/>
          <w:i/>
          <w:iCs/>
        </w:rPr>
        <w:t>Lotus</w:t>
      </w:r>
      <w:r>
        <w:rPr>
          <w:rFonts w:cs="Times New Roman" w:ascii="Times New Roman" w:hAnsi="Times New Roman"/>
          <w:b/>
          <w:bCs/>
        </w:rPr>
        <w:t xml:space="preserve"> genotypes and microbe-free growth test of </w:t>
      </w:r>
      <w:r>
        <w:rPr>
          <w:rFonts w:cs="Times New Roman" w:ascii="Times New Roman" w:hAnsi="Times New Roman"/>
          <w:b/>
          <w:bCs/>
          <w:i/>
          <w:iCs/>
        </w:rPr>
        <w:t>Hordeum</w:t>
      </w:r>
      <w:r>
        <w:rPr>
          <w:rFonts w:cs="Times New Roman" w:ascii="Times New Roman" w:hAnsi="Times New Roman"/>
          <w:b/>
          <w:bCs/>
        </w:rPr>
        <w:t xml:space="preserve"> CSSP mutants.</w:t>
      </w:r>
      <w:r>
        <w:rPr>
          <w:rFonts w:cs="Times New Roman" w:ascii="Times New Roman" w:hAnsi="Times New Roman"/>
        </w:rPr>
        <w:t xml:space="preserve"> (A) Pink nodule counts per </w:t>
      </w:r>
      <w:r>
        <w:rPr>
          <w:rFonts w:cs="Times New Roman" w:ascii="Times New Roman" w:hAnsi="Times New Roman"/>
          <w:i/>
          <w:iCs/>
        </w:rPr>
        <w:t>Lotus</w:t>
      </w:r>
      <w:r>
        <w:rPr>
          <w:rFonts w:cs="Times New Roman" w:ascii="Times New Roman" w:hAnsi="Times New Roman"/>
        </w:rPr>
        <w:t xml:space="preserve"> plant grown for three weeks in NPK, PK, or UF soils. Data are shown for wild-type and symbiosis mutants, though mutants did not form nodules. Sample collection and experimental setup followed the procedure described in Figure 4. (B) Shoot fresh weight (g) for </w:t>
      </w:r>
      <w:r>
        <w:rPr>
          <w:rFonts w:cs="Times New Roman" w:ascii="Times New Roman" w:hAnsi="Times New Roman"/>
          <w:i/>
          <w:iCs/>
        </w:rPr>
        <w:t>Hordeum</w:t>
      </w:r>
      <w:r>
        <w:rPr>
          <w:rFonts w:cs="Times New Roman" w:ascii="Times New Roman" w:hAnsi="Times New Roman"/>
        </w:rPr>
        <w:t xml:space="preserve"> wild-type and symbiosis mutants (n=10, one plant per pot per genotype) grown under sterile, microbe-free conditions with elevated nitrogen and phosphorus (2.5mM NaNO</w:t>
      </w:r>
      <w:r>
        <w:rPr>
          <w:rFonts w:cs="Times New Roman" w:ascii="Times New Roman" w:hAnsi="Times New Roman"/>
          <w:vertAlign w:val="subscript"/>
        </w:rPr>
        <w:t>3</w:t>
      </w:r>
      <w:r>
        <w:rPr>
          <w:rFonts w:cs="Times New Roman" w:ascii="Times New Roman" w:hAnsi="Times New Roman"/>
        </w:rPr>
        <w:t>, 1mM Na</w:t>
      </w:r>
      <w:r>
        <w:rPr>
          <w:rFonts w:cs="Times New Roman" w:ascii="Times New Roman" w:hAnsi="Times New Roman"/>
          <w:vertAlign w:val="subscript"/>
        </w:rPr>
        <w:t>2</w:t>
      </w:r>
      <w:r>
        <w:rPr>
          <w:rFonts w:cs="Times New Roman" w:ascii="Times New Roman" w:hAnsi="Times New Roman"/>
        </w:rPr>
        <w:t>HPO</w:t>
      </w:r>
      <w:r>
        <w:rPr>
          <w:rFonts w:cs="Times New Roman" w:ascii="Times New Roman" w:hAnsi="Times New Roman"/>
          <w:vertAlign w:val="subscript"/>
        </w:rPr>
        <w:t>4</w:t>
      </w:r>
      <w:r>
        <w:rPr>
          <w:rFonts w:cs="Times New Roman" w:ascii="Times New Roman" w:hAnsi="Times New Roman"/>
        </w:rPr>
        <w:t>). Statistical significance was assessed using one-way ANOVA followed by Tukey’s HSD (P&lt;0.05).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3. Microbial diversity and composition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 across soils.</w:t>
      </w:r>
      <w:r>
        <w:rPr>
          <w:rFonts w:cs="Times New Roman" w:ascii="Times New Roman" w:hAnsi="Times New Roman"/>
        </w:rPr>
        <w:t xml:space="preserve"> Experimental setup is described in Fig. 4. (A) Chao1 alpha diversity of bacterial communities in </w:t>
      </w:r>
      <w:r>
        <w:rPr>
          <w:rFonts w:cs="Times New Roman" w:ascii="Times New Roman" w:hAnsi="Times New Roman"/>
          <w:i/>
          <w:iCs/>
        </w:rPr>
        <w:t>Lotus</w:t>
      </w:r>
      <w:r>
        <w:rPr>
          <w:rFonts w:cs="Times New Roman" w:ascii="Times New Roman" w:hAnsi="Times New Roman"/>
        </w:rPr>
        <w:t xml:space="preserve"> rhizosphere, root, and nodule compartments across NPK, PK, and UF soils for all genotypes. (B) Chao1 alpha diversity in </w:t>
      </w:r>
      <w:r>
        <w:rPr>
          <w:rFonts w:cs="Times New Roman" w:ascii="Times New Roman" w:hAnsi="Times New Roman"/>
          <w:i/>
          <w:iCs/>
        </w:rPr>
        <w:t>Hordeum</w:t>
      </w:r>
      <w:r>
        <w:rPr>
          <w:rFonts w:cs="Times New Roman" w:ascii="Times New Roman" w:hAnsi="Times New Roman"/>
        </w:rPr>
        <w:t xml:space="preserve"> rhizosphere and root compartments across soils for all genotypes. Statistical significance across genotypes within each compartment-soil combination (A,B) was assessed using one-way ANOVA followed by Tukey’s HSD (P&lt;0.05). (C,D) Constrained PCoA of Bray-Curtis distances showing bacterial community composition in rhizosphere and root compartments across all soils, with genotypes indicated by colours and soil types by shapes (C: </w:t>
      </w:r>
      <w:r>
        <w:rPr>
          <w:rFonts w:cs="Times New Roman" w:ascii="Times New Roman" w:hAnsi="Times New Roman"/>
          <w:i/>
          <w:iCs/>
        </w:rPr>
        <w:t>Lotus</w:t>
      </w:r>
      <w:r>
        <w:rPr>
          <w:rFonts w:cs="Times New Roman" w:ascii="Times New Roman" w:hAnsi="Times New Roman"/>
        </w:rPr>
        <w:t xml:space="preserve">; D: </w:t>
      </w:r>
      <w:r>
        <w:rPr>
          <w:rFonts w:cs="Times New Roman" w:ascii="Times New Roman" w:hAnsi="Times New Roman"/>
          <w:i/>
          <w:iCs/>
        </w:rPr>
        <w:t>Hordeum</w:t>
      </w:r>
      <w:r>
        <w:rPr>
          <w:rFonts w:cs="Times New Roman" w:ascii="Times New Roman" w:hAnsi="Times New Roman"/>
        </w:rPr>
        <w:t xml:space="preserve">). (E,F) Unconstrained PCoA of Bray-Curtis distances for each compartment-soil combination, with colours indicating genotypes (E: </w:t>
      </w:r>
      <w:r>
        <w:rPr>
          <w:rFonts w:cs="Times New Roman" w:ascii="Times New Roman" w:hAnsi="Times New Roman"/>
          <w:i/>
          <w:iCs/>
        </w:rPr>
        <w:t>Lotus</w:t>
      </w:r>
      <w:r>
        <w:rPr>
          <w:rFonts w:cs="Times New Roman" w:ascii="Times New Roman" w:hAnsi="Times New Roman"/>
        </w:rPr>
        <w:t xml:space="preserve">; F: </w:t>
      </w:r>
      <w:r>
        <w:rPr>
          <w:rFonts w:cs="Times New Roman" w:ascii="Times New Roman" w:hAnsi="Times New Roman"/>
          <w:i/>
          <w:iCs/>
        </w:rPr>
        <w:t>Hordeum</w:t>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4. Relative abundance of dominant bacterial orders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 across soils.</w:t>
      </w:r>
      <w:r>
        <w:rPr>
          <w:rFonts w:cs="Times New Roman" w:ascii="Times New Roman" w:hAnsi="Times New Roman"/>
        </w:rPr>
        <w:t xml:space="preserve"> Experimental setup is described in Fig. 4. (A) Stacked barplots showing mean relative abundance of bacterial orders across plant-compartment-soil-genotype combinations. The top 20 orders (based on mean relative abundance in wild-type samples) are shown, with remaining orders grouped as “Other”. (B) Heatmap showing mean relative abundance of bacterial orders across the same combinations, with colours ranging from low abundance (dark blue) to high abundance (red). Asterisks indicate orders with significantly different relative abundance compared with the wild-type within each plant-compartment-soil combination, based on pairwise Wilcoxon rank-sum tests with Benjamini-Hochberg correction (adjusted P&lt;0.05).</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Figure 5. Cumulative pathway-level intensities of root exudates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w:t>
      </w:r>
      <w:r>
        <w:rPr>
          <w:rFonts w:cs="Times New Roman" w:ascii="Times New Roman" w:hAnsi="Times New Roman"/>
        </w:rPr>
        <w:t xml:space="preserve"> Experimental setup is described in Figure 5. Boxplots show the cumulative intensity of metabolites grouped by predicted pathway (NPC classifier) for each genotype and host species. An asterisk indicates a statistically significant difference compared to wild-type (</w:t>
      </w:r>
      <w:del w:id="13" w:author="Unknown Author" w:date="2026-02-18T08:27:52Z">
        <w:commentRangeStart w:id="18"/>
        <w:r>
          <w:rPr>
            <w:rFonts w:cs="Times New Roman" w:ascii="Times New Roman" w:hAnsi="Times New Roman"/>
          </w:rPr>
          <w:delText xml:space="preserve">pairwise Wilcoxon rank-sum </w:delText>
        </w:r>
      </w:del>
      <w:ins w:id="14" w:author="Unknown Author" w:date="2026-02-18T08:23:40Z">
        <w:r>
          <w:rPr>
            <w:rFonts w:cs="Times New Roman" w:ascii="Times New Roman" w:hAnsi="Times New Roman"/>
          </w:rPr>
          <w:t>linear regression with t-</w:t>
        </w:r>
      </w:ins>
      <w:r>
        <w:rPr>
          <w:rFonts w:cs="Times New Roman" w:ascii="Times New Roman" w:hAnsi="Times New Roman"/>
        </w:rPr>
        <w:t>test</w:t>
      </w:r>
      <w:ins w:id="15" w:author="Unknown Author" w:date="2026-02-18T08:23:48Z">
        <w:r>
          <w:rPr>
            <w:rFonts w:cs="Times New Roman" w:ascii="Times New Roman" w:hAnsi="Times New Roman"/>
          </w:rPr>
          <w:t>s</w:t>
        </w:r>
      </w:ins>
      <w:r>
        <w:rPr>
          <w:rFonts w:cs="Times New Roman" w:ascii="Times New Roman" w:hAnsi="Times New Roman"/>
        </w:rPr>
        <w:t xml:space="preserve">, </w:t>
      </w:r>
      <w:ins w:id="16" w:author="Unknown Author" w:date="2026-02-18T08:23:50Z">
        <w:r>
          <w:rPr>
            <w:rFonts w:cs="Times New Roman" w:ascii="Times New Roman" w:hAnsi="Times New Roman"/>
          </w:rPr>
          <w:t>p</w:t>
        </w:r>
      </w:ins>
      <w:del w:id="17" w:author="Unknown Author" w:date="2026-02-18T08:23:50Z">
        <w:r>
          <w:rPr>
            <w:rFonts w:cs="Times New Roman" w:ascii="Times New Roman" w:hAnsi="Times New Roman"/>
          </w:rPr>
          <w:delText>P</w:delText>
        </w:r>
      </w:del>
      <w:r>
        <w:rPr>
          <w:rFonts w:cs="Times New Roman" w:ascii="Times New Roman" w:hAnsi="Times New Roman"/>
        </w:rPr>
        <w:t>&lt;0.05</w:t>
      </w:r>
      <w:ins w:id="18" w:author="Unknown Author" w:date="2026-02-18T08:23:53Z">
        <w:r>
          <w:rPr>
            <w:rFonts w:cs="Times New Roman" w:ascii="Times New Roman" w:hAnsi="Times New Roman"/>
          </w:rPr>
          <w:t xml:space="preserve"> after correction for mutliple testing w</w:t>
        </w:r>
      </w:ins>
      <w:ins w:id="19" w:author="Unknown Author" w:date="2026-02-18T08:24:00Z">
        <w:r>
          <w:rPr>
            <w:rFonts w:cs="Times New Roman" w:ascii="Times New Roman" w:hAnsi="Times New Roman"/>
          </w:rPr>
          <w:t>ith Benjamini-Hochberg</w:t>
        </w:r>
      </w:ins>
      <w:r>
        <w:rPr>
          <w:rFonts w:cs="Times New Roman" w:ascii="Times New Roman" w:hAnsi="Times New Roman"/>
        </w:rPr>
      </w:r>
      <w:commentRangeEnd w:id="18"/>
      <w:r>
        <w:commentReference w:id="18"/>
      </w:r>
      <w:r>
        <w:rPr>
          <w:rFonts w:cs="Times New Roman" w:ascii="Times New Roman" w:hAnsi="Times New Roman"/>
        </w:rPr>
        <w: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highlight w:val="red"/>
        </w:rPr>
      </w:pPr>
      <w:r>
        <w:rPr>
          <w:rFonts w:cs="Times New Roman" w:ascii="Times New Roman" w:hAnsi="Times New Roman"/>
          <w:b/>
          <w:bCs/>
          <w:highlight w:val="red"/>
        </w:rPr>
        <w:t>Supplementary Figure 6. SynCom1.</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b/>
          <w:b/>
          <w:bCs/>
          <w:highlight w:val="red"/>
        </w:rPr>
      </w:pPr>
      <w:r>
        <w:rPr>
          <w:rFonts w:cs="Times New Roman" w:ascii="Times New Roman" w:hAnsi="Times New Roman"/>
          <w:b/>
          <w:bCs/>
          <w:highlight w:val="red"/>
        </w:rPr>
      </w:r>
    </w:p>
    <w:p>
      <w:pPr>
        <w:pStyle w:val="Normal"/>
        <w:spacing w:lineRule="auto" w:line="276"/>
        <w:jc w:val="both"/>
        <w:rPr>
          <w:rFonts w:ascii="Times New Roman" w:hAnsi="Times New Roman" w:cs="Times New Roman"/>
        </w:rPr>
      </w:pPr>
      <w:r>
        <w:rPr>
          <w:rFonts w:cs="Times New Roman" w:ascii="Times New Roman" w:hAnsi="Times New Roman"/>
          <w:b/>
          <w:bCs/>
          <w:highlight w:val="red"/>
        </w:rPr>
        <w:t>Supplementary Figure 7. SynCom2.</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Table legends</w:t>
      </w:r>
    </w:p>
    <w:p>
      <w:pPr>
        <w:pStyle w:val="Normal"/>
        <w:spacing w:lineRule="auto" w:line="276"/>
        <w:jc w:val="both"/>
        <w:rPr>
          <w:rFonts w:ascii="Times New Roman" w:hAnsi="Times New Roman" w:cs="Times New Roman"/>
        </w:rPr>
      </w:pPr>
      <w:r>
        <w:rPr>
          <w:rFonts w:cs="Times New Roman" w:ascii="Times New Roman" w:hAnsi="Times New Roman"/>
          <w:b/>
          <w:bCs/>
        </w:rPr>
        <w:t>Supplementary Table 1. Overlap of ASVs across soil types.</w:t>
      </w:r>
      <w:r>
        <w:rPr>
          <w:rFonts w:cs="Times New Roman" w:ascii="Times New Roman" w:hAnsi="Times New Roman"/>
        </w:rPr>
        <w:t xml:space="preserve"> ASVs were identified from bulk soil samples (n=3 per soil) as described in Figure 1. An ASV was considered present in a soil if its relative abundance was &gt;0 in at least 2 out of 3 samples. The table lists amplicon sequence variants (ASVs), taxonomy from Kingdom to Species, confidence of taxonomic annotation, and category of occurrence across soils. Categories indicate whether an ASV was detected only in one soil (NPK only, PK only, UF only), two soils (NPK &amp; PK, NPK &amp; UF, PK &amp; UF), or all soils (NPK, PK, UF).</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b/>
          <w:bCs/>
        </w:rPr>
        <w:t>Supplementary Table 2. ASVs contributing to soil type prediction models.</w:t>
      </w:r>
      <w:r>
        <w:rPr>
          <w:rFonts w:cs="Times New Roman" w:ascii="Times New Roman" w:hAnsi="Times New Roman"/>
        </w:rPr>
        <w:t xml:space="preserve"> Amplicon sequence variants (ASVs) selected by codacore as log-ratio components for the nested soil type prediction models shown in Figure 3. The table lists ASV identifiers, their role in the log-ratio (numerator or denominator), prediction task (NPK vs. non-NPK or PK vs. UF), plant compartment, and host species. Mean relative abundance (RA) across soils (NPK, PK, UF) is shown, along with taxonomic annotation from Kingdom to Species and confidence scores for taxonomic assignment.</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 xml:space="preserve">Supplementary Table 3. Differentially abundant (DA) ASVs in </w:t>
      </w:r>
      <w:r>
        <w:rPr>
          <w:rFonts w:cs="Times New Roman" w:ascii="Times New Roman" w:hAnsi="Times New Roman"/>
          <w:b/>
          <w:bCs/>
          <w:i/>
          <w:iCs/>
        </w:rPr>
        <w:t>Lotus</w:t>
      </w:r>
      <w:r>
        <w:rPr>
          <w:rFonts w:cs="Times New Roman" w:ascii="Times New Roman" w:hAnsi="Times New Roman"/>
          <w:b/>
          <w:bCs/>
        </w:rPr>
        <w:t xml:space="preserve"> and </w:t>
      </w:r>
      <w:r>
        <w:rPr>
          <w:rFonts w:cs="Times New Roman" w:ascii="Times New Roman" w:hAnsi="Times New Roman"/>
          <w:b/>
          <w:bCs/>
          <w:i/>
          <w:iCs/>
        </w:rPr>
        <w:t>Hordeum</w:t>
      </w:r>
      <w:r>
        <w:rPr>
          <w:rFonts w:cs="Times New Roman" w:ascii="Times New Roman" w:hAnsi="Times New Roman"/>
          <w:b/>
          <w:bCs/>
        </w:rPr>
        <w:t xml:space="preserve"> wild-type and CSSP mutants across soils. </w:t>
      </w:r>
      <w:r>
        <w:rPr>
          <w:rFonts w:cs="Times New Roman" w:ascii="Times New Roman" w:hAnsi="Times New Roman"/>
        </w:rPr>
        <w:t xml:space="preserve">The table includes four sheets. Sheet 1 (“Lotus DA overview”) lists, for each </w:t>
      </w:r>
      <w:r>
        <w:rPr>
          <w:rFonts w:cs="Times New Roman" w:ascii="Times New Roman" w:hAnsi="Times New Roman"/>
          <w:i/>
          <w:iCs/>
        </w:rPr>
        <w:t>Lotus</w:t>
      </w:r>
      <w:r>
        <w:rPr>
          <w:rFonts w:cs="Times New Roman" w:ascii="Times New Roman" w:hAnsi="Times New Roman"/>
        </w:rPr>
        <w:t xml:space="preserve"> genotype-compartment-soil combination</w:t>
      </w:r>
      <w:commentRangeStart w:id="19"/>
      <w:r>
        <w:rPr>
          <w:rFonts w:cs="Times New Roman" w:ascii="Times New Roman" w:hAnsi="Times New Roman"/>
        </w:rPr>
        <w:t>, the total number of ASVs detected and the number of DA ASVs relative to wild-type.</w:t>
      </w:r>
      <w:r>
        <w:rPr>
          <w:rFonts w:cs="Times New Roman" w:ascii="Times New Roman" w:hAnsi="Times New Roman"/>
        </w:rPr>
      </w:r>
      <w:ins w:id="20" w:author="Unknown Author" w:date="2026-02-18T08:29:43Z">
        <w:commentRangeEnd w:id="19"/>
        <w:r>
          <w:commentReference w:id="19"/>
        </w:r>
        <w:r>
          <w:rPr/>
          <w:commentReference w:id="20"/>
        </w:r>
      </w:ins>
      <w:r>
        <w:rPr>
          <w:rFonts w:cs="Times New Roman" w:ascii="Times New Roman" w:hAnsi="Times New Roman"/>
        </w:rPr>
        <w:t xml:space="preserve"> Sheet 2 (“Lotus DA ASVs”) provides ASV-level information, including ASV identifier, soil, compartment, genotype, log fold change relative to wild-type, and method of detection (DA_by_sig from MaAsLin2 or DA_by_struc_zero from structural zero analysis). Sheets 3 and 4 contain equivalent overview and ASV-level information for </w:t>
      </w:r>
      <w:r>
        <w:rPr>
          <w:rFonts w:cs="Times New Roman" w:ascii="Times New Roman" w:hAnsi="Times New Roman"/>
          <w:i/>
          <w:iCs/>
        </w:rPr>
        <w:t>Hordeum</w:t>
      </w:r>
      <w:r>
        <w:rPr>
          <w:rFonts w:cs="Times New Roman" w:ascii="Times New Roman" w:hAnsi="Times New Roman"/>
        </w:rPr>
        <w: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Table 4. Differentially exuded metabolites (DEMs) in Lotus CSSP mutants compared with wild-type.</w:t>
      </w:r>
      <w:r>
        <w:rPr>
          <w:rFonts w:cs="Times New Roman" w:ascii="Times New Roman" w:hAnsi="Times New Roman"/>
        </w:rPr>
        <w:t xml:space="preserve"> Table corresponds to the data presented in Fig. 5. Columns includes the metabolite FeatureID, the differential exudation status in each mutant relative to wild-type (-1: significantly depleted, 0: no significant change, 1: significantly enriched), and measured intensities in individual samples for all genotypes. Full annotation data are provided for two classifiers (NPC and ClassyFire), along with spectral information (ion mass, retention time, formula, aligned feature ID, etc.). </w:t>
      </w:r>
      <w:commentRangeStart w:id="21"/>
      <w:r>
        <w:rPr>
          <w:rFonts w:cs="Times New Roman" w:ascii="Times New Roman" w:hAnsi="Times New Roman"/>
        </w:rPr>
        <w:t xml:space="preserve">Statistical significance was determined using </w:t>
      </w:r>
      <w:del w:id="21" w:author="Unknown Author" w:date="2026-02-18T08:24:29Z">
        <w:r>
          <w:rPr>
            <w:rFonts w:cs="Times New Roman" w:ascii="Times New Roman" w:hAnsi="Times New Roman"/>
          </w:rPr>
          <w:delText xml:space="preserve">pairwise </w:delText>
        </w:r>
      </w:del>
      <w:r>
        <w:rPr>
          <w:rFonts w:cs="Times New Roman" w:ascii="Times New Roman" w:hAnsi="Times New Roman"/>
        </w:rPr>
        <w:t>Tobit regression with</w:t>
      </w:r>
      <w:ins w:id="22" w:author="Unknown Author" w:date="2026-02-18T08:24:45Z">
        <w:r>
          <w:rPr>
            <w:rFonts w:cs="Times New Roman" w:ascii="Times New Roman" w:hAnsi="Times New Roman"/>
          </w:rPr>
          <w:t xml:space="preserve"> correction for multiple testing with</w:t>
        </w:r>
      </w:ins>
      <w:r>
        <w:rPr>
          <w:rFonts w:cs="Times New Roman" w:ascii="Times New Roman" w:hAnsi="Times New Roman"/>
        </w:rPr>
        <w:t xml:space="preserve"> Benjamini-Hochberg</w:t>
      </w:r>
      <w:del w:id="23" w:author="Unknown Author" w:date="2026-02-18T08:24:56Z">
        <w:r>
          <w:rPr>
            <w:rFonts w:cs="Times New Roman" w:ascii="Times New Roman" w:hAnsi="Times New Roman"/>
          </w:rPr>
          <w:delText xml:space="preserve"> correction (FDR)</w:delText>
        </w:r>
      </w:del>
      <w:r>
        <w:rPr>
          <w:rFonts w:cs="Times New Roman" w:ascii="Times New Roman" w:hAnsi="Times New Roman"/>
        </w:rPr>
      </w:r>
      <w:commentRangeEnd w:id="21"/>
      <w:r>
        <w:commentReference w:id="21"/>
      </w:r>
      <w:r>
        <w:rPr>
          <w:rFonts w:cs="Times New Roman" w:ascii="Times New Roman" w:hAnsi="Times New Roman"/>
        </w:rPr>
        <w:t>.</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rPr>
      </w:pPr>
      <w:r>
        <w:rPr>
          <w:rFonts w:cs="Times New Roman" w:ascii="Times New Roman" w:hAnsi="Times New Roman"/>
          <w:b/>
          <w:bCs/>
        </w:rPr>
        <w:t xml:space="preserve">Supplementary Table 5. Differentially exuded metabolites (DEMs) in </w:t>
      </w:r>
      <w:r>
        <w:rPr>
          <w:rFonts w:cs="Times New Roman" w:ascii="Times New Roman" w:hAnsi="Times New Roman"/>
          <w:b/>
          <w:bCs/>
          <w:i/>
          <w:iCs/>
        </w:rPr>
        <w:t>Hordeum</w:t>
      </w:r>
      <w:r>
        <w:rPr>
          <w:rFonts w:cs="Times New Roman" w:ascii="Times New Roman" w:hAnsi="Times New Roman"/>
          <w:b/>
          <w:bCs/>
        </w:rPr>
        <w:t xml:space="preserve"> CSSP mutants compared with wild-type.</w:t>
      </w:r>
      <w:r>
        <w:rPr>
          <w:rFonts w:cs="Times New Roman" w:ascii="Times New Roman" w:hAnsi="Times New Roman"/>
        </w:rPr>
        <w:t xml:space="preserve"> Table corresponds to the data presented in Fig. 5. Columns includes the metabolite FeatureID, the differential exudation status in each mutant relative to wild-type (-1: significantly depleted, 0: no significant change, 1: significantly enriched), and measured intensities in individual samples for all genotypes. Full annotation data are provided for two classifiers (NPC and ClassyFire), along with spectral information (ion mass, retention time, formula, aligned feature ID, etc.). </w:t>
      </w:r>
      <w:commentRangeStart w:id="22"/>
      <w:r>
        <w:rPr>
          <w:rFonts w:cs="Times New Roman" w:ascii="Times New Roman" w:hAnsi="Times New Roman"/>
        </w:rPr>
        <w:t xml:space="preserve">Statistical significance was determined </w:t>
      </w:r>
      <w:del w:id="24" w:author="Unknown Author" w:date="2026-02-18T08:25:11Z">
        <w:r>
          <w:rPr>
            <w:rFonts w:cs="Times New Roman" w:ascii="Times New Roman" w:hAnsi="Times New Roman"/>
          </w:rPr>
          <w:delText xml:space="preserve">using </w:delText>
        </w:r>
      </w:del>
      <w:r>
        <w:rPr>
          <w:rFonts w:cs="Times New Roman" w:ascii="Times New Roman" w:hAnsi="Times New Roman"/>
        </w:rPr>
        <w:t>pairwise Tobit regression with</w:t>
      </w:r>
      <w:ins w:id="25" w:author="Unknown Author" w:date="2026-02-18T08:25:45Z">
        <w:r>
          <w:rPr>
            <w:rFonts w:cs="Times New Roman" w:ascii="Times New Roman" w:hAnsi="Times New Roman"/>
          </w:rPr>
          <w:t xml:space="preserve"> correction for multiple testing with</w:t>
        </w:r>
      </w:ins>
      <w:r>
        <w:rPr>
          <w:rFonts w:cs="Times New Roman" w:ascii="Times New Roman" w:hAnsi="Times New Roman"/>
        </w:rPr>
        <w:t xml:space="preserve"> Benjamini-Hochberg</w:t>
      </w:r>
      <w:del w:id="26" w:author="Unknown Author" w:date="2026-02-18T08:25:57Z">
        <w:r>
          <w:rPr>
            <w:rFonts w:cs="Times New Roman" w:ascii="Times New Roman" w:hAnsi="Times New Roman"/>
          </w:rPr>
          <w:delText xml:space="preserve"> correction (FDR)</w:delText>
        </w:r>
      </w:del>
      <w:r>
        <w:rPr>
          <w:rFonts w:cs="Times New Roman" w:ascii="Times New Roman" w:hAnsi="Times New Roman"/>
        </w:rPr>
        <w:t>.</w:t>
      </w:r>
      <w:commentRangeEnd w:id="22"/>
      <w:r>
        <w:commentReference w:id="22"/>
      </w:r>
      <w:r>
        <w:rPr>
          <w:rFonts w:cs="Times New Roman" w:ascii="Times New Roman" w:hAnsi="Times New Roman"/>
        </w:rPr>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highlight w:val="red"/>
        </w:rPr>
      </w:pPr>
      <w:r>
        <w:rPr>
          <w:rFonts w:cs="Times New Roman" w:ascii="Times New Roman" w:hAnsi="Times New Roman"/>
          <w:b/>
          <w:bCs/>
          <w:highlight w:val="red"/>
        </w:rPr>
        <w:t>Supplementary Table 6. SynCom Lotus DA ASVs.</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b/>
          <w:b/>
          <w:bCs/>
          <w:highlight w:val="red"/>
        </w:rPr>
      </w:pPr>
      <w:r>
        <w:rPr>
          <w:rFonts w:cs="Times New Roman" w:ascii="Times New Roman" w:hAnsi="Times New Roman"/>
          <w:b/>
          <w:bCs/>
          <w:highlight w:val="red"/>
        </w:rPr>
      </w:r>
    </w:p>
    <w:p>
      <w:pPr>
        <w:pStyle w:val="Normal"/>
        <w:spacing w:lineRule="auto" w:line="276"/>
        <w:jc w:val="both"/>
        <w:rPr>
          <w:rFonts w:ascii="Times New Roman" w:hAnsi="Times New Roman" w:cs="Times New Roman"/>
        </w:rPr>
      </w:pPr>
      <w:r>
        <w:rPr>
          <w:rFonts w:cs="Times New Roman" w:ascii="Times New Roman" w:hAnsi="Times New Roman"/>
          <w:b/>
          <w:bCs/>
          <w:highlight w:val="red"/>
        </w:rPr>
        <w:t>Supplementary Table 7. SynCom Hordeum DA ASVs.</w:t>
      </w:r>
      <w:r>
        <w:rPr>
          <w:rFonts w:cs="Times New Roman" w:ascii="Times New Roman" w:hAnsi="Times New Roman"/>
          <w:highlight w:val="red"/>
        </w:rPr>
        <w:t xml:space="preserve"> XX</w:t>
      </w:r>
    </w:p>
    <w:p>
      <w:pPr>
        <w:pStyle w:val="Normal"/>
        <w:spacing w:lineRule="auto" w:line="276"/>
        <w:jc w:val="both"/>
        <w:rPr>
          <w:rFonts w:ascii="Times New Roman" w:hAnsi="Times New Roman" w:cs="Times New Roman"/>
        </w:rPr>
      </w:pPr>
      <w:r>
        <w:rPr>
          <w:rFonts w:cs="Times New Roman" w:ascii="Times New Roman" w:hAnsi="Times New Roman"/>
        </w:rPr>
      </w:r>
    </w:p>
    <w:p>
      <w:pPr>
        <w:pStyle w:val="Normal"/>
        <w:spacing w:lineRule="auto" w:line="276"/>
        <w:jc w:val="both"/>
        <w:rPr>
          <w:rFonts w:ascii="Times New Roman" w:hAnsi="Times New Roman" w:cs="Times New Roman"/>
          <w:b/>
          <w:b/>
          <w:bCs/>
        </w:rPr>
      </w:pPr>
      <w:r>
        <w:rPr>
          <w:rFonts w:cs="Times New Roman" w:ascii="Times New Roman" w:hAnsi="Times New Roman"/>
          <w:b/>
          <w:bCs/>
        </w:rPr>
        <w:t>Supplementary Table 8. Lj-SPHERE bacterial culture collection.</w:t>
      </w:r>
      <w:r>
        <w:rPr>
          <w:rFonts w:cs="Times New Roman" w:ascii="Times New Roman" w:hAnsi="Times New Roman"/>
        </w:rPr>
        <w:t xml:space="preserve"> The table provides information on isolates from the </w:t>
      </w:r>
      <w:r>
        <w:rPr>
          <w:rFonts w:cs="Times New Roman" w:ascii="Times New Roman" w:hAnsi="Times New Roman"/>
          <w:i/>
          <w:iCs/>
        </w:rPr>
        <w:t>Lotus japonicus</w:t>
      </w:r>
      <w:r>
        <w:rPr>
          <w:rFonts w:cs="Times New Roman" w:ascii="Times New Roman" w:hAnsi="Times New Roman"/>
        </w:rPr>
        <w:t xml:space="preserve"> bacterial culture collection (Lj-SPHERE) described by Wippel </w:t>
      </w:r>
      <w:r>
        <w:rPr>
          <w:rFonts w:cs="Times New Roman" w:ascii="Times New Roman" w:hAnsi="Times New Roman"/>
          <w:i/>
          <w:iCs/>
        </w:rPr>
        <w:t>et al</w:t>
      </w:r>
      <w:r>
        <w:rPr>
          <w:rFonts w:cs="Times New Roman" w:ascii="Times New Roman" w:hAnsi="Times New Roman"/>
        </w:rPr>
        <w:t xml:space="preserve">. </w:t>
      </w:r>
      <w:r>
        <w:fldChar w:fldCharType="begin"/>
      </w:r>
      <w:r>
        <w:rPr>
          <w:rFonts w:cs="Times New Roman" w:ascii="Times New Roman" w:hAnsi="Times New Roman"/>
        </w:rPr>
        <w:instrText xml:space="preserve">ADDIN ZOTERO_ITEM CSL_CITATION {"citationID":"ABbgsU6B","properties":{"unsorted":false,"formattedCitation":"(112)","plainCitation":"(112)","noteIndex":0},"citationItems":[{"id":2,"uris":["http://zotero.org/groups/5942984/items/HKWMT3RW"],"itemData":{"id":2,"type":"article-journal","abstract":"Roots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w:instrText>
      </w:r>
      <w:r>
        <w:rPr>
          <w:rFonts w:cs="Times New Roman" w:ascii="Times New Roman" w:hAnsi="Times New Roman"/>
        </w:rPr>
      </w:r>
      <w:r>
        <w:rPr>
          <w:rFonts w:cs="Times New Roman" w:ascii="Times New Roman" w:hAnsi="Times New Roman"/>
        </w:rPr>
        <w:fldChar w:fldCharType="separate"/>
      </w:r>
      <w:r>
        <w:rPr>
          <w:rFonts w:cs="Times New Roman" w:ascii="Times New Roman" w:hAnsi="Times New Roman"/>
        </w:rPr>
        <w:t>(112)</w:t>
      </w:r>
      <w:r>
        <w:rPr>
          <w:rFonts w:cs="Times New Roman" w:ascii="Times New Roman" w:hAnsi="Times New Roman"/>
        </w:rPr>
      </w:r>
      <w:r>
        <w:rPr>
          <w:rFonts w:cs="Times New Roman" w:ascii="Times New Roman" w:hAnsi="Times New Roman"/>
        </w:rPr>
        <w:fldChar w:fldCharType="end"/>
      </w:r>
      <w:r>
        <w:rPr>
          <w:rFonts w:cs="Times New Roman" w:ascii="Times New Roman" w:hAnsi="Times New Roman"/>
        </w:rPr>
        <w:t xml:space="preserve">, which were used in the gnotobiotic </w:t>
      </w:r>
      <w:r>
        <w:rPr>
          <w:rFonts w:cs="Times New Roman" w:ascii="Times New Roman" w:hAnsi="Times New Roman"/>
          <w:i/>
          <w:iCs/>
        </w:rPr>
        <w:t>Lotus</w:t>
      </w:r>
      <w:r>
        <w:rPr>
          <w:rFonts w:cs="Times New Roman" w:ascii="Times New Roman" w:hAnsi="Times New Roman"/>
        </w:rPr>
        <w:t xml:space="preserve"> experiment (Fig. 6). Sheet 1 lists isolate metadata, including PMS (stock) ID at Aarhus University, isolate ID, collection name, taxonomic annotation from Kingdom to Genus, host species, plant compartment from which the isolate was obtained, and the soil in which the plant was grown. Sheet 2 provides 16S rRNA V5-V7 sequences for the isolates; isolates with identical V5-V7 region were grouped. Sheet 3 lists the isolate group assignments corresponding to these sequence-based clusters.</w:t>
      </w:r>
    </w:p>
    <w:p>
      <w:pPr>
        <w:pStyle w:val="Normal"/>
        <w:spacing w:lineRule="auto" w:line="276"/>
        <w:jc w:val="both"/>
        <w:rPr>
          <w:rFonts w:ascii="Times New Roman" w:hAnsi="Times New Roman" w:cs="Times New Roman"/>
          <w:b/>
          <w:b/>
          <w:bCs/>
        </w:rPr>
      </w:pPr>
      <w:r>
        <w:rPr>
          <w:rFonts w:cs="Times New Roman" w:ascii="Times New Roman" w:hAnsi="Times New Roman"/>
          <w:b/>
          <w:bCs/>
        </w:rPr>
      </w:r>
    </w:p>
    <w:p>
      <w:pPr>
        <w:pStyle w:val="Normal"/>
        <w:spacing w:lineRule="auto" w:line="276"/>
        <w:jc w:val="both"/>
        <w:rPr>
          <w:rFonts w:ascii="Times New Roman" w:hAnsi="Times New Roman" w:cs="Times New Roman"/>
          <w:b/>
          <w:b/>
          <w:bCs/>
        </w:rPr>
      </w:pPr>
      <w:r>
        <w:rPr>
          <w:rFonts w:cs="Times New Roman" w:ascii="Times New Roman" w:hAnsi="Times New Roman"/>
          <w:b/>
          <w:bCs/>
        </w:rPr>
        <w:t xml:space="preserve">Supplementary Table 9. </w:t>
      </w:r>
      <w:r>
        <w:rPr>
          <w:rFonts w:cs="Times New Roman" w:ascii="Times New Roman" w:hAnsi="Times New Roman"/>
          <w:b/>
          <w:bCs/>
          <w:i/>
          <w:iCs/>
        </w:rPr>
        <w:t>Hordeum</w:t>
      </w:r>
      <w:r>
        <w:rPr>
          <w:rFonts w:cs="Times New Roman" w:ascii="Times New Roman" w:hAnsi="Times New Roman"/>
          <w:b/>
          <w:bCs/>
        </w:rPr>
        <w:t>-derived bacterial culture collection.</w:t>
      </w:r>
      <w:r>
        <w:rPr>
          <w:rFonts w:cs="Times New Roman" w:ascii="Times New Roman" w:hAnsi="Times New Roman"/>
        </w:rPr>
        <w:t xml:space="preserve"> The table provides information on bacterial isolates obtained from </w:t>
      </w:r>
      <w:r>
        <w:rPr>
          <w:rFonts w:cs="Times New Roman" w:ascii="Times New Roman" w:hAnsi="Times New Roman"/>
          <w:i/>
          <w:iCs/>
        </w:rPr>
        <w:t>Hordeum vulgare</w:t>
      </w:r>
      <w:r>
        <w:rPr>
          <w:rFonts w:cs="Times New Roman" w:ascii="Times New Roman" w:hAnsi="Times New Roman"/>
        </w:rPr>
        <w:t xml:space="preserve"> roots, used in the gnotobiotic </w:t>
      </w:r>
      <w:r>
        <w:rPr>
          <w:rFonts w:cs="Times New Roman" w:ascii="Times New Roman" w:hAnsi="Times New Roman"/>
          <w:i/>
          <w:iCs/>
        </w:rPr>
        <w:t>Hordeum</w:t>
      </w:r>
      <w:r>
        <w:rPr>
          <w:rFonts w:cs="Times New Roman" w:ascii="Times New Roman" w:hAnsi="Times New Roman"/>
        </w:rPr>
        <w:t xml:space="preserve"> experiment (Fig. 6). Sheet 1 lists isolate metadata, including PMS (stock) ID at Aarhus University, strain ID, taxonomic annotation from Kingdom to Organism, host species, genome availability, and cultivation medium. Sheet 2 provides 16S rRNA V5-V7 sequences for the isolates.</w:t>
      </w:r>
    </w:p>
    <w:p>
      <w:pPr>
        <w:pStyle w:val="Normal"/>
        <w:spacing w:lineRule="auto" w:line="276"/>
        <w:jc w:val="both"/>
        <w:rPr>
          <w:rFonts w:ascii="Times New Roman" w:hAnsi="Times New Roman" w:cs="Times New Roman"/>
          <w:b/>
          <w:b/>
          <w:bCs/>
        </w:rPr>
      </w:pPr>
      <w:r>
        <w:rPr/>
      </w:r>
    </w:p>
    <w:sectPr>
      <w:type w:val="nextPage"/>
      <w:pgSz w:w="11906" w:h="16838"/>
      <w:pgMar w:left="1440" w:right="1440" w:gutter="0" w:header="0" w:top="1440" w:footer="0" w:bottom="1440"/>
      <w:lnNumType w:countBy="1" w:restart="continuous" w:distance="283"/>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na Marie Martyn" w:date="2026-02-17T16:09:00Z" w:initials="AMM">
    <w:p>
      <w:r>
        <w:rPr>
          <w:rFonts w:ascii="Liberation Serif" w:hAnsi="Liberation Serif" w:eastAsia="DejaVu Sans" w:cs="DejaVu Sans"/>
          <w:kern w:val="0"/>
          <w:lang w:val="en-US" w:eastAsia="en-US" w:bidi="en-US"/>
        </w:rPr>
        <w:t>@Simona: please check (should I phrase the part with who did the experiments differently to: A.M., K.T. and H.D. performed the experiments with technical support from Z.B.?</w:t>
      </w:r>
    </w:p>
  </w:comment>
  <w:comment w:id="1" w:author="Anna Marie Martyn" w:date="2026-01-27T22:02:00Z" w:initials="AMM">
    <w:p>
      <w:r>
        <w:rPr>
          <w:rFonts w:ascii="Liberation Serif" w:hAnsi="Liberation Serif" w:eastAsia="DejaVu Sans" w:cs="DejaVu Sans"/>
          <w:kern w:val="0"/>
          <w:lang w:val="en-US" w:eastAsia="en-US" w:bidi="en-US"/>
        </w:rPr>
        <w:t>@ Simona: we need to choose one</w:t>
      </w:r>
    </w:p>
  </w:comment>
  <w:comment w:id="2" w:author="Anna Marie Martyn" w:date="2026-02-17T10:40:00Z" w:initials="AMM">
    <w:p>
      <w:r>
        <w:rPr>
          <w:rFonts w:ascii="Liberation Serif" w:hAnsi="Liberation Serif" w:eastAsia="DejaVu Sans" w:cs="DejaVu Sans"/>
          <w:kern w:val="0"/>
          <w:lang w:val="en-US" w:eastAsia="en-US" w:bidi="en-US"/>
        </w:rPr>
        <w:t>@ Anna/Ib: double check significant orders mentioned here after changing from Wilcoxon to ANOVA</w:t>
      </w:r>
    </w:p>
  </w:comment>
  <w:comment w:id="3" w:author="Anna Marie Martyn" w:date="2026-02-17T12:26:00Z" w:initials="AMM">
    <w:p>
      <w:r>
        <w:rPr>
          <w:rFonts w:ascii="Liberation Serif" w:hAnsi="Liberation Serif" w:eastAsia="DejaVu Sans" w:cs="DejaVu Sans"/>
          <w:kern w:val="0"/>
          <w:lang w:val="en-US" w:eastAsia="en-US" w:bidi="en-US"/>
        </w:rPr>
        <w:t>@ Anna: double check</w:t>
      </w:r>
    </w:p>
  </w:comment>
  <w:comment w:id="4" w:author="Anna Marie Martyn" w:date="2026-01-05T21:30:00Z" w:initials="AMM">
    <w:p>
      <w:r>
        <w:rPr>
          <w:rFonts w:ascii="Liberation Serif" w:hAnsi="Liberation Serif" w:eastAsia="DejaVu Sans" w:cs="DejaVu Sans"/>
          <w:kern w:val="0"/>
          <w:lang w:val="en-US" w:eastAsia="en-US" w:bidi="en-US"/>
        </w:rPr>
        <w:t>@ Simona: Do we need an additional figure that shows the abundance of the nodule ASVs (detected earlier in WT suppl. Figure 1) across WT and mutant root compartment, or is it sufficient to leave it as is?</w:t>
      </w:r>
    </w:p>
  </w:comment>
  <w:comment w:id="5" w:author="Anna Marie Martyn" w:date="2026-02-17T09:49:00Z" w:initials="AMM">
    <w:p>
      <w:r>
        <w:rPr>
          <w:rFonts w:ascii="Liberation Serif" w:hAnsi="Liberation Serif" w:eastAsia="DejaVu Sans" w:cs="DejaVu Sans"/>
          <w:kern w:val="0"/>
          <w:lang w:val="en-US" w:eastAsia="en-US" w:bidi="en-US"/>
        </w:rPr>
        <w:t>@ Simona: 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6" w:author="Anna Marie Martyn" w:date="2026-02-17T12:40:00Z" w:initials="AMM">
    <w:p>
      <w:r>
        <w:rPr>
          <w:rFonts w:ascii="Liberation Serif" w:hAnsi="Liberation Serif" w:eastAsia="DejaVu Sans" w:cs="DejaVu Sans"/>
          <w:kern w:val="0"/>
          <w:lang w:val="en-US" w:eastAsia="en-US" w:bidi="en-US"/>
        </w:rPr>
        <w:t>@Simona: shall we say unpublished or cite Selten et al BioXriv?</w:t>
      </w:r>
    </w:p>
  </w:comment>
  <w:comment w:id="7" w:author="Anna Marie Martyn" w:date="2026-01-06T13:49:00Z" w:initials="AMM">
    <w:p>
      <w:r>
        <w:rPr>
          <w:rFonts w:ascii="Liberation Serif" w:hAnsi="Liberation Serif" w:eastAsia="DejaVu Sans" w:cs="DejaVu Sans"/>
          <w:kern w:val="0"/>
          <w:lang w:val="en-US" w:eastAsia="en-US" w:bidi="en-US"/>
        </w:rPr>
        <w:t>@Anna/Ib: double check exact percentage again</w:t>
      </w:r>
    </w:p>
  </w:comment>
  <w:comment w:id="8" w:author="Anna Marie Martyn" w:date="2026-02-17T12:36:00Z" w:initials="AMM">
    <w:p>
      <w:r>
        <w:rPr>
          <w:rFonts w:ascii="Liberation Serif" w:hAnsi="Liberation Serif" w:eastAsia="DejaVu Sans" w:cs="DejaVu Sans"/>
          <w:kern w:val="0"/>
          <w:lang w:val="en-US" w:eastAsia="en-US" w:bidi="en-US"/>
        </w:rPr>
        <w:t>@Anna: check</w:t>
      </w:r>
    </w:p>
  </w:comment>
  <w:comment w:id="9" w:author="Anna Marie Martyn" w:date="2026-02-17T10:36:00Z" w:initials="AMM">
    <w:p>
      <w:r>
        <w:rPr>
          <w:rFonts w:ascii="Liberation Serif" w:hAnsi="Liberation Serif" w:eastAsia="DejaVu Sans" w:cs="DejaVu Sans"/>
          <w:kern w:val="0"/>
          <w:lang w:val="en-US" w:eastAsia="en-US" w:bidi="en-US"/>
        </w:rPr>
        <w:t>@ Anna: check and add exact percentage</w:t>
      </w:r>
    </w:p>
  </w:comment>
  <w:comment w:id="10" w:author="Anna Marie Martyn" w:date="2026-02-17T13:35:00Z" w:initials="AMM">
    <w:p>
      <w:r>
        <w:rPr>
          <w:rFonts w:ascii="Liberation Serif" w:hAnsi="Liberation Serif" w:eastAsia="DejaVu Sans" w:cs="DejaVu Sans"/>
          <w:kern w:val="0"/>
          <w:lang w:val="en-US" w:eastAsia="en-US" w:bidi="en-US"/>
        </w:rPr>
        <w:t>@Simona: I included the NSP2 flavonoid publication here</w:t>
      </w:r>
    </w:p>
  </w:comment>
  <w:comment w:id="11" w:author="Anna Marie Martyn" w:date="2026-02-17T12:38:00Z" w:initials="AMM">
    <w:p>
      <w:r>
        <w:rPr>
          <w:rFonts w:ascii="Liberation Serif" w:hAnsi="Liberation Serif" w:eastAsia="DejaVu Sans" w:cs="DejaVu Sans"/>
          <w:kern w:val="0"/>
          <w:lang w:val="en-US" w:eastAsia="en-US" w:bidi="en-US"/>
        </w:rPr>
        <w:t>@Simona: shall we say unpublished or cite Selten et al BioXriv?</w:t>
      </w:r>
    </w:p>
  </w:comment>
  <w:comment w:id="12" w:author="Anna Marie Martyn" w:date="2026-02-17T12:41:00Z" w:initials="AMM">
    <w:p>
      <w:r>
        <w:rPr>
          <w:rFonts w:ascii="Liberation Serif" w:hAnsi="Liberation Serif" w:eastAsia="DejaVu Sans" w:cs="DejaVu Sans"/>
          <w:kern w:val="0"/>
          <w:lang w:val="en-US" w:eastAsia="en-US" w:bidi="en-US"/>
        </w:rPr>
        <w:t>@Anna/Ib: update list packages and add ref if necessary</w:t>
      </w:r>
    </w:p>
  </w:comment>
  <w:comment w:id="13" w:author="Anna Marie Martyn" w:date="2026-02-17T10:15:00Z" w:initials="AMM">
    <w:p>
      <w:r>
        <w:rPr>
          <w:rFonts w:ascii="Liberation Serif" w:hAnsi="Liberation Serif" w:eastAsia="DejaVu Sans" w:cs="DejaVu Sans"/>
          <w:kern w:val="0"/>
          <w:lang w:val="en-US" w:eastAsia="en-US" w:bidi="en-US"/>
        </w:rPr>
        <w:t>@ Camilla: check</w:t>
      </w:r>
    </w:p>
  </w:comment>
  <w:comment w:id="14" w:author="Anna Marie Martyn" w:date="2026-02-17T12:41:00Z" w:initials="AMM">
    <w:p>
      <w:r>
        <w:rPr>
          <w:rFonts w:ascii="Liberation Serif" w:hAnsi="Liberation Serif" w:eastAsia="DejaVu Sans" w:cs="DejaVu Sans"/>
          <w:kern w:val="0"/>
          <w:lang w:val="en-US" w:eastAsia="en-US" w:bidi="en-US"/>
        </w:rPr>
        <w:t>@Anna/Ib: upload and add info</w:t>
      </w:r>
    </w:p>
  </w:comment>
  <w:comment w:id="15" w:author="Anna Marie Martyn" w:date="2026-01-27T21:58:00Z" w:initials="AMM">
    <w:p>
      <w:r>
        <w:rPr>
          <w:rFonts w:ascii="Liberation Serif" w:hAnsi="Liberation Serif" w:eastAsia="DejaVu Sans" w:cs="DejaVu Sans"/>
          <w:kern w:val="0"/>
          <w:lang w:val="en-US" w:eastAsia="en-US" w:bidi="en-US"/>
        </w:rPr>
        <w:t>@ Simona please check grant codes</w:t>
      </w:r>
    </w:p>
  </w:comment>
  <w:comment w:id="16" w:author="Anna Marie Martyn" w:date="2026-02-16T21:00:00Z" w:initials="AMM">
    <w:p>
      <w:r>
        <w:rPr>
          <w:rFonts w:ascii="Liberation Serif" w:hAnsi="Liberation Serif" w:eastAsia="DejaVu Sans" w:cs="DejaVu Sans"/>
          <w:kern w:val="0"/>
          <w:lang w:val="en-US" w:eastAsia="en-US" w:bidi="en-US"/>
        </w:rPr>
        <w:t>Ib: change from Wilcoxon to ANOVA in figure</w:t>
      </w:r>
    </w:p>
  </w:comment>
  <w:comment w:id="17" w:author="Anna Marie Martyn" w:date="2026-02-17T23:25:00Z" w:initials="AMM">
    <w:p>
      <w:r>
        <w:rPr>
          <w:rFonts w:ascii="Liberation Serif" w:hAnsi="Liberation Serif" w:eastAsia="DejaVu Sans" w:cs="DejaVu Sans"/>
          <w:kern w:val="0"/>
          <w:lang w:val="en-US" w:eastAsia="en-US" w:bidi="en-US"/>
        </w:rPr>
        <w:t>@Ib: which test did you use?</w:t>
      </w:r>
    </w:p>
  </w:comment>
  <w:comment w:id="18" w:author="Anna Marie Martyn" w:date="2026-02-17T23:37:00Z" w:initials="AMM">
    <w:p>
      <w:r>
        <w:rPr>
          <w:rFonts w:ascii="Liberation Serif" w:hAnsi="Liberation Serif" w:eastAsia="DejaVu Sans" w:cs="DejaVu Sans"/>
          <w:kern w:val="0"/>
          <w:lang w:val="en-US" w:eastAsia="en-US" w:bidi="en-US"/>
        </w:rPr>
        <w:t>@Ib: give info on statistical method used here</w:t>
      </w:r>
    </w:p>
  </w:comment>
  <w:comment w:id="19" w:author="Anna Marie Martyn" w:date="2026-02-17T23:01:00Z" w:initials="AMM">
    <w:p>
      <w:r>
        <w:rPr>
          <w:rFonts w:ascii="Liberation Serif" w:hAnsi="Liberation Serif" w:eastAsia="DejaVu Sans" w:cs="DejaVu Sans"/>
          <w:kern w:val="0"/>
          <w:lang w:val="en-US" w:eastAsia="en-US" w:bidi="en-US"/>
        </w:rPr>
        <w:t>@Ib: check</w:t>
      </w:r>
    </w:p>
  </w:comment>
  <w:comment w:id="20" w:author="Unknown Author" w:date="2026-02-18T08:29:43Z" w:initials="">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2"/>
          <w:position w:val="0"/>
          <w:sz w:val="16"/>
          <w:sz w:val="16"/>
          <w:szCs w:val="24"/>
          <w:u w:val="none"/>
          <w:vertAlign w:val="baseline"/>
          <w:em w:val="none"/>
          <w:lang w:val="en-GB" w:eastAsia="en-US" w:bidi="ar-SA"/>
        </w:rPr>
        <w:t>Reply to Anna Marie Martyn (02/17/2026, 23:01): "..."</w:t>
      </w:r>
    </w:p>
    <w:p>
      <w:r>
        <w:rPr>
          <w:rFonts w:ascii="Liberation Serif" w:hAnsi="Liberation Serif" w:eastAsia="DejaVu Sans" w:cs="DejaVu Sans"/>
          <w:kern w:val="0"/>
          <w:sz w:val="20"/>
          <w:lang w:val="en-GB" w:eastAsia="en-US" w:bidi="ar-SA"/>
        </w:rPr>
        <w:t>This is correct</w:t>
      </w:r>
    </w:p>
  </w:comment>
  <w:comment w:id="21" w:author="Anna Marie Martyn" w:date="2026-02-17T23:53:00Z" w:initials="AMM">
    <w:p>
      <w:r>
        <w:rPr>
          <w:rFonts w:ascii="Liberation Serif" w:hAnsi="Liberation Serif" w:eastAsia="DejaVu Sans" w:cs="DejaVu Sans"/>
          <w:kern w:val="0"/>
          <w:lang w:val="en-US" w:eastAsia="en-US" w:bidi="en-US"/>
        </w:rPr>
        <w:t>@Ib: check</w:t>
      </w:r>
    </w:p>
  </w:comment>
  <w:comment w:id="22" w:author="Anna Marie Martyn" w:date="2026-02-17T23:53:00Z" w:initials="AMM">
    <w:p>
      <w:r>
        <w:rPr>
          <w:rFonts w:ascii="Liberation Serif" w:hAnsi="Liberation Serif" w:eastAsia="DejaVu Sans" w:cs="DejaVu Sans"/>
          <w:kern w:val="0"/>
          <w:lang w:val="en-US" w:eastAsia="en-US" w:bidi="en-US"/>
        </w:rPr>
        <w:t>@Ib, see above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4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452d"/>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paragraph" w:styleId="Heading2">
    <w:name w:val="Heading 2"/>
    <w:basedOn w:val="Normal"/>
    <w:link w:val="Heading2Char"/>
    <w:uiPriority w:val="9"/>
    <w:qFormat/>
    <w:rsid w:val="00fb055a"/>
    <w:pPr>
      <w:spacing w:beforeAutospacing="1" w:afterAutospacing="1"/>
      <w:outlineLvl w:val="1"/>
    </w:pPr>
    <w:rPr>
      <w:rFonts w:ascii="Times New Roman" w:hAnsi="Times New Roman" w:eastAsia="Times New Roman" w:cs="Times New Roman"/>
      <w:b/>
      <w:bCs/>
      <w:kern w:val="0"/>
      <w:sz w:val="36"/>
      <w:szCs w:val="36"/>
      <w:lang w:val="en-DE" w:eastAsia="en-GB"/>
      <w14:ligatures w14:val="none"/>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semiHidden/>
    <w:unhideWhenUsed/>
    <w:rsid w:val="008763ea"/>
    <w:rPr>
      <w:color w:val="0000FF"/>
      <w:u w:val="single"/>
    </w:rPr>
  </w:style>
  <w:style w:type="character" w:styleId="Appleconvertedspace" w:customStyle="1">
    <w:name w:val="apple-converted-space"/>
    <w:basedOn w:val="DefaultParagraphFont"/>
    <w:qFormat/>
    <w:rsid w:val="008763ea"/>
    <w:rPr/>
  </w:style>
  <w:style w:type="character" w:styleId="BalloonTextChar" w:customStyle="1">
    <w:name w:val="Balloon Text Char"/>
    <w:basedOn w:val="DefaultParagraphFont"/>
    <w:link w:val="BalloonText"/>
    <w:uiPriority w:val="99"/>
    <w:semiHidden/>
    <w:qFormat/>
    <w:rsid w:val="00832e40"/>
    <w:rPr>
      <w:rFonts w:ascii="Segoe UI" w:hAnsi="Segoe UI" w:cs="Segoe UI"/>
      <w:sz w:val="18"/>
      <w:szCs w:val="18"/>
    </w:rPr>
  </w:style>
  <w:style w:type="character" w:styleId="Linenumber">
    <w:name w:val="line number"/>
    <w:basedOn w:val="DefaultParagraphFont"/>
    <w:uiPriority w:val="99"/>
    <w:unhideWhenUsed/>
    <w:qFormat/>
    <w:rsid w:val="004219ca"/>
    <w:rPr>
      <w:rFonts w:ascii="Times New Roman" w:hAnsi="Times New Roman"/>
    </w:rPr>
  </w:style>
  <w:style w:type="character" w:styleId="HeaderChar" w:customStyle="1">
    <w:name w:val="Header Char"/>
    <w:basedOn w:val="DefaultParagraphFont"/>
    <w:link w:val="Header"/>
    <w:uiPriority w:val="99"/>
    <w:qFormat/>
    <w:rsid w:val="00194ecd"/>
    <w:rPr/>
  </w:style>
  <w:style w:type="character" w:styleId="FooterChar" w:customStyle="1">
    <w:name w:val="Footer Char"/>
    <w:basedOn w:val="DefaultParagraphFont"/>
    <w:link w:val="Footer"/>
    <w:uiPriority w:val="99"/>
    <w:qFormat/>
    <w:rsid w:val="00194ecd"/>
    <w:rPr/>
  </w:style>
  <w:style w:type="character" w:styleId="Annotationreference">
    <w:name w:val="annotation reference"/>
    <w:basedOn w:val="DefaultParagraphFont"/>
    <w:uiPriority w:val="99"/>
    <w:semiHidden/>
    <w:unhideWhenUsed/>
    <w:qFormat/>
    <w:rsid w:val="00e0634c"/>
    <w:rPr>
      <w:sz w:val="16"/>
      <w:szCs w:val="16"/>
    </w:rPr>
  </w:style>
  <w:style w:type="character" w:styleId="CommentTextChar" w:customStyle="1">
    <w:name w:val="Comment Text Char"/>
    <w:basedOn w:val="DefaultParagraphFont"/>
    <w:link w:val="Annotationtext"/>
    <w:uiPriority w:val="99"/>
    <w:qFormat/>
    <w:rsid w:val="00e0634c"/>
    <w:rPr>
      <w:sz w:val="20"/>
      <w:szCs w:val="20"/>
    </w:rPr>
  </w:style>
  <w:style w:type="character" w:styleId="CommentSubjectChar" w:customStyle="1">
    <w:name w:val="Comment Subject Char"/>
    <w:basedOn w:val="CommentTextChar"/>
    <w:link w:val="Annotationsubject"/>
    <w:uiPriority w:val="99"/>
    <w:semiHidden/>
    <w:qFormat/>
    <w:rsid w:val="00e0634c"/>
    <w:rPr>
      <w:b/>
      <w:bCs/>
      <w:sz w:val="20"/>
      <w:szCs w:val="20"/>
    </w:rPr>
  </w:style>
  <w:style w:type="character" w:styleId="BodyTextChar" w:customStyle="1">
    <w:name w:val="Body Text Char"/>
    <w:basedOn w:val="DefaultParagraphFont"/>
    <w:uiPriority w:val="99"/>
    <w:semiHidden/>
    <w:qFormat/>
    <w:rsid w:val="00bb08bb"/>
    <w:rPr/>
  </w:style>
  <w:style w:type="character" w:styleId="Heading2Char" w:customStyle="1">
    <w:name w:val="Heading 2 Char"/>
    <w:basedOn w:val="DefaultParagraphFont"/>
    <w:link w:val="Heading2"/>
    <w:uiPriority w:val="9"/>
    <w:qFormat/>
    <w:rsid w:val="00fb055a"/>
    <w:rPr>
      <w:rFonts w:ascii="Times New Roman" w:hAnsi="Times New Roman" w:eastAsia="Times New Roman" w:cs="Times New Roman"/>
      <w:b/>
      <w:bCs/>
      <w:kern w:val="0"/>
      <w:sz w:val="36"/>
      <w:szCs w:val="36"/>
      <w:lang w:val="en-DE" w:eastAsia="en-GB"/>
      <w14:ligatures w14:val="none"/>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semiHidden/>
    <w:unhideWhenUsed/>
    <w:rsid w:val="00bb08bb"/>
    <w:pPr>
      <w:spacing w:before="0" w:after="120"/>
    </w:pPr>
    <w:rPr/>
  </w:style>
  <w:style w:type="paragraph" w:styleId="List">
    <w:name w:val="List"/>
    <w:basedOn w:val="TextBody"/>
    <w:rsid w:val="00bb08bb"/>
    <w:pPr>
      <w:suppressAutoHyphens w:val="true"/>
      <w:spacing w:lineRule="auto" w:line="276" w:before="0" w:after="140"/>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521906"/>
    <w:pPr>
      <w:spacing w:before="0" w:after="0"/>
      <w:ind w:left="720" w:hanging="0"/>
      <w:contextualSpacing/>
    </w:pPr>
    <w:rPr/>
  </w:style>
  <w:style w:type="paragraph" w:styleId="NormalWeb">
    <w:name w:val="Normal (Web)"/>
    <w:basedOn w:val="Normal"/>
    <w:uiPriority w:val="99"/>
    <w:unhideWhenUsed/>
    <w:qFormat/>
    <w:rsid w:val="00f65633"/>
    <w:pPr>
      <w:spacing w:beforeAutospacing="1" w:afterAutospacing="1"/>
    </w:pPr>
    <w:rPr>
      <w:rFonts w:ascii="Times New Roman" w:hAnsi="Times New Roman" w:eastAsia="Times New Roman" w:cs="Times New Roman"/>
      <w:kern w:val="0"/>
      <w:lang w:eastAsia="en-GB"/>
      <w14:ligatures w14:val="none"/>
    </w:rPr>
  </w:style>
  <w:style w:type="paragraph" w:styleId="BalloonText">
    <w:name w:val="Balloon Text"/>
    <w:basedOn w:val="Normal"/>
    <w:link w:val="BalloonTextChar"/>
    <w:uiPriority w:val="99"/>
    <w:semiHidden/>
    <w:unhideWhenUsed/>
    <w:qFormat/>
    <w:rsid w:val="00832e4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HeaderChar"/>
    <w:uiPriority w:val="99"/>
    <w:unhideWhenUsed/>
    <w:rsid w:val="00194ecd"/>
    <w:pPr>
      <w:suppressLineNumbers/>
      <w:tabs>
        <w:tab w:val="clear" w:pos="720"/>
        <w:tab w:val="center" w:pos="4513" w:leader="none"/>
        <w:tab w:val="right" w:pos="9026" w:leader="none"/>
      </w:tabs>
    </w:pPr>
    <w:rPr/>
  </w:style>
  <w:style w:type="paragraph" w:styleId="Footer">
    <w:name w:val="Footer"/>
    <w:basedOn w:val="Normal"/>
    <w:link w:val="FooterChar"/>
    <w:uiPriority w:val="99"/>
    <w:unhideWhenUsed/>
    <w:rsid w:val="00194ecd"/>
    <w:pPr>
      <w:suppressLineNumbers/>
      <w:tabs>
        <w:tab w:val="clear" w:pos="720"/>
        <w:tab w:val="center" w:pos="4513" w:leader="none"/>
        <w:tab w:val="right" w:pos="9026" w:leader="none"/>
      </w:tabs>
    </w:pPr>
    <w:rPr/>
  </w:style>
  <w:style w:type="paragraph" w:styleId="Annotationtext">
    <w:name w:val="annotation text"/>
    <w:basedOn w:val="Normal"/>
    <w:link w:val="CommentTextChar"/>
    <w:uiPriority w:val="99"/>
    <w:unhideWhenUsed/>
    <w:qFormat/>
    <w:rsid w:val="00e0634c"/>
    <w:pPr/>
    <w:rPr>
      <w:sz w:val="20"/>
      <w:szCs w:val="20"/>
    </w:rPr>
  </w:style>
  <w:style w:type="paragraph" w:styleId="Annotationsubject">
    <w:name w:val="annotation subject"/>
    <w:basedOn w:val="Annotationtext"/>
    <w:next w:val="Annotationtext"/>
    <w:link w:val="CommentSubjectChar"/>
    <w:uiPriority w:val="99"/>
    <w:semiHidden/>
    <w:unhideWhenUsed/>
    <w:qFormat/>
    <w:rsid w:val="00e0634c"/>
    <w:pPr/>
    <w:rPr>
      <w:b/>
      <w:bCs/>
    </w:rPr>
  </w:style>
  <w:style w:type="paragraph" w:styleId="Revision">
    <w:name w:val="Revision"/>
    <w:uiPriority w:val="99"/>
    <w:semiHidden/>
    <w:qFormat/>
    <w:rsid w:val="00eb277e"/>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paragraph" w:styleId="Bibliography">
    <w:name w:val="Bibliography"/>
    <w:basedOn w:val="Normal"/>
    <w:next w:val="Normal"/>
    <w:uiPriority w:val="37"/>
    <w:unhideWhenUsed/>
    <w:qFormat/>
    <w:rsid w:val="007b59af"/>
    <w:pPr>
      <w:tabs>
        <w:tab w:val="clear" w:pos="720"/>
        <w:tab w:val="left" w:pos="500" w:leader="none"/>
      </w:tabs>
      <w:spacing w:before="0" w:after="240"/>
      <w:ind w:left="504" w:hanging="504"/>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730</TotalTime>
  <Application>LibreOffice/7.3.7.2$Linux_X86_64 LibreOffice_project/30$Build-2</Application>
  <AppVersion>15.0000</AppVersion>
  <Pages>29</Pages>
  <Words>12734</Words>
  <Characters>77654</Characters>
  <CharactersWithSpaces>90187</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2026-01-27T17:22:00Z</dcterms:created>
  <dc:creator>Anna Marie Martyn</dc:creator>
  <dc:description/>
  <dc:language>en-US</dc:language>
  <cp:lastModifiedBy/>
  <cp:lastPrinted>2025-03-05T15:26:00Z</cp:lastPrinted>
  <dcterms:modified xsi:type="dcterms:W3CDTF">2026-02-18T08:34:10Z</dcterms:modified>
  <cp:revision>108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id="jIIGivHf"/&gt;&lt;style id="http://www.zotero.org/styles/pnas" hasBibliography="1" bibliographyStyleHasBeenSet="1"/&gt;&lt;prefs&gt;&lt;pref name="fieldType" value="Field"/&gt;&lt;/prefs&gt;&lt;/data&gt;</vt:lpwstr>
  </property>
</Properties>
</file>