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Online</w:t>
      </w:r>
      <w:r>
        <w:t xml:space="preserve"> </w:t>
      </w:r>
      <w:r>
        <w:t xml:space="preserve">methods</w:t>
      </w:r>
      <w:r>
        <w:t xml:space="preserve"> </w:t>
      </w:r>
      <w:r>
        <w:t xml:space="preserve">for:</w:t>
      </w:r>
      <w:r>
        <w:t xml:space="preserve"> </w:t>
      </w:r>
      <w:r>
        <w:t xml:space="preserve">Transcripts</w:t>
      </w:r>
      <w:r>
        <w:t xml:space="preserve"> </w:t>
      </w:r>
      <w:r>
        <w:t xml:space="preserve">with</w:t>
      </w:r>
      <w:r>
        <w:t xml:space="preserve"> </w:t>
      </w:r>
      <w:r>
        <w:t xml:space="preserve">high</w:t>
      </w:r>
      <w:r>
        <w:t xml:space="preserve"> </w:t>
      </w:r>
      <w:r>
        <w:t xml:space="preserve">distal</w:t>
      </w:r>
      <w:r>
        <w:t xml:space="preserve"> </w:t>
      </w:r>
      <w:r>
        <w:t xml:space="preserve">heritability</w:t>
      </w:r>
      <w:r>
        <w:t xml:space="preserve"> </w:t>
      </w:r>
      <w:r>
        <w:t xml:space="preserve">mediate</w:t>
      </w:r>
      <w:r>
        <w:t xml:space="preserve"> </w:t>
      </w:r>
      <w:r>
        <w:t xml:space="preserve">genetic</w:t>
      </w:r>
      <w:r>
        <w:t xml:space="preserve"> </w:t>
      </w:r>
      <w:r>
        <w:t xml:space="preserve">effects</w:t>
      </w:r>
      <w:r>
        <w:t xml:space="preserve"> </w:t>
      </w:r>
      <w:r>
        <w:t xml:space="preserve">on</w:t>
      </w:r>
      <w:r>
        <w:t xml:space="preserve"> </w:t>
      </w:r>
      <w:r>
        <w:t xml:space="preserve">complex</w:t>
      </w:r>
      <w:r>
        <w:t xml:space="preserve"> </w:t>
      </w:r>
      <w:r>
        <w:t xml:space="preserve">traits</w:t>
      </w:r>
    </w:p>
    <w:bookmarkStart w:id="20" w:name="diversity-outbred-mice"/>
    <w:p>
      <w:pPr>
        <w:pStyle w:val="Heading2"/>
      </w:pPr>
      <w:r>
        <w:t xml:space="preserve">Diversity Outbred Mice</w:t>
      </w:r>
    </w:p>
    <w:p>
      <w:pPr>
        <w:pStyle w:val="FirstParagraph"/>
      </w:pPr>
      <w:r>
        <w:t xml:space="preserve">Mice were maintained and treated in accordance with the guidelines</w:t>
      </w:r>
      <w:r>
        <w:t xml:space="preserve"> </w:t>
      </w:r>
      <w:r>
        <w:t xml:space="preserve">approved by the Department of Biochemistry animal vivarium at the</w:t>
      </w:r>
      <w:r>
        <w:t xml:space="preserve"> </w:t>
      </w:r>
      <w:r>
        <w:t xml:space="preserve">University of Wisconsin. Animal husbandry and in vivo phenotyping</w:t>
      </w:r>
      <w:r>
        <w:t xml:space="preserve"> </w:t>
      </w:r>
      <w:r>
        <w:t xml:space="preserve">methods were previously published</w:t>
      </w:r>
      <w:r>
        <w:rPr>
          <w:vertAlign w:val="superscript"/>
        </w:rPr>
        <w:t xml:space="preserve">1,2</w:t>
      </w:r>
      <w:r>
        <w:t xml:space="preserve">.</w:t>
      </w:r>
    </w:p>
    <w:p>
      <w:pPr>
        <w:pStyle w:val="BodyText"/>
      </w:pPr>
      <w:r>
        <w:t xml:space="preserve">A population of 500 diversity outbred mice (split evenly between male</w:t>
      </w:r>
      <w:r>
        <w:t xml:space="preserve"> </w:t>
      </w:r>
      <w:r>
        <w:t xml:space="preserve">and female) from generates 18, 19, and 21, was placed on a high-fat</w:t>
      </w:r>
      <w:r>
        <w:t xml:space="preserve"> </w:t>
      </w:r>
      <w:r>
        <w:t xml:space="preserve">(44.6% kcal fat), high-sugar (34% carbohydrate), adequate protein</w:t>
      </w:r>
      <w:r>
        <w:t xml:space="preserve"> </w:t>
      </w:r>
      <w:r>
        <w:t xml:space="preserve">(17.3 % protein) diet from Envigo Teklad (catalog number TD.08811)</w:t>
      </w:r>
      <w:r>
        <w:t xml:space="preserve"> </w:t>
      </w:r>
      <w:r>
        <w:t xml:space="preserve">starting at four weeks of age as described previously</w:t>
      </w:r>
      <w:r>
        <w:rPr>
          <w:vertAlign w:val="superscript"/>
        </w:rPr>
        <w:t xml:space="preserve">2</w:t>
      </w:r>
      <w:r>
        <w:t xml:space="preserve">. Individuals were assessed longitudinally for</w:t>
      </w:r>
      <w:r>
        <w:t xml:space="preserve"> </w:t>
      </w:r>
      <w:r>
        <w:t xml:space="preserve">multiple metabolic measures including fasting glucose levels, glucose</w:t>
      </w:r>
      <w:r>
        <w:t xml:space="preserve"> </w:t>
      </w:r>
      <w:r>
        <w:t xml:space="preserve">tolerance, insulin levels, body weight, and blood lipid levels.</w:t>
      </w:r>
    </w:p>
    <w:bookmarkEnd w:id="20"/>
    <w:bookmarkStart w:id="21" w:name="trait-measurements"/>
    <w:p>
      <w:pPr>
        <w:pStyle w:val="Heading2"/>
      </w:pPr>
      <w:r>
        <w:t xml:space="preserve">Trait measurements</w:t>
      </w:r>
    </w:p>
    <w:p>
      <w:pPr>
        <w:pStyle w:val="FirstParagraph"/>
      </w:pPr>
      <w:r>
        <w:t xml:space="preserve">Trait measurements were described previously in</w:t>
      </w:r>
      <w:r>
        <w:rPr>
          <w:vertAlign w:val="superscript"/>
        </w:rPr>
        <w:t xml:space="preserve">2</w:t>
      </w:r>
      <w:r>
        <w:t xml:space="preserve">.</w:t>
      </w:r>
      <w:r>
        <w:t xml:space="preserve"> </w:t>
      </w:r>
      <w:r>
        <w:t xml:space="preserve">Briefly, body weight was measured every two weeks, and 4-hour fasting</w:t>
      </w:r>
      <w:r>
        <w:t xml:space="preserve"> </w:t>
      </w:r>
      <w:r>
        <w:t xml:space="preserve">plasma samples were collected to measure insulin, glucose, and</w:t>
      </w:r>
      <w:r>
        <w:t xml:space="preserve"> </w:t>
      </w:r>
      <w:r>
        <w:t xml:space="preserve">triglycerides (TG). At around 18 weeks of age, an oral glucose tolerance</w:t>
      </w:r>
      <w:r>
        <w:t xml:space="preserve"> </w:t>
      </w:r>
      <w:r>
        <w:t xml:space="preserve">test (oGTT) was conducted on 4-hour fasted mice to assess changes in</w:t>
      </w:r>
      <w:r>
        <w:t xml:space="preserve"> </w:t>
      </w:r>
      <w:r>
        <w:t xml:space="preserve">plasma insulin and glucose. Glucose (2 g/kg) was given via oral gavage.</w:t>
      </w:r>
      <w:r>
        <w:t xml:space="preserve"> </w:t>
      </w:r>
      <w:r>
        <w:t xml:space="preserve">Blood samples were taken from a retro-orbital bleed before glucose</w:t>
      </w:r>
      <w:r>
        <w:t xml:space="preserve"> </w:t>
      </w:r>
      <w:r>
        <w:t xml:space="preserve">administration, and at 5, 15, 30, 60, and 120 minutes afterward. The</w:t>
      </w:r>
      <w:r>
        <w:t xml:space="preserve"> </w:t>
      </w:r>
      <w:r>
        <w:t xml:space="preserve">area under the curve (AUC) was calculated for glucose and insulin.</w:t>
      </w:r>
      <w:r>
        <w:t xml:space="preserve"> </w:t>
      </w:r>
      <w:r>
        <w:t xml:space="preserve">Glucose was measured using the glucose oxidase method, and insulin was</w:t>
      </w:r>
      <w:r>
        <w:t xml:space="preserve"> </w:t>
      </w:r>
      <w:r>
        <w:t xml:space="preserve">measured by radioimmunoassay.</w:t>
      </w:r>
    </w:p>
    <w:p>
      <w:pPr>
        <w:pStyle w:val="BodyText"/>
      </w:pPr>
      <w:r>
        <w:t xml:space="preserve">HOMA-IR and HOMA-B, which are homeostatic model assessments of insulin</w:t>
      </w:r>
      <w:r>
        <w:t xml:space="preserve"> </w:t>
      </w:r>
      <w:r>
        <w:t xml:space="preserve">resistance (IR) and pancreatic islet function (B), were calculated using</w:t>
      </w:r>
      <w:r>
        <w:t xml:space="preserve"> </w:t>
      </w:r>
      <w:r>
        <w:t xml:space="preserve">fasting plasma glucose and insulin values at the start of the oGTT.</w:t>
      </w:r>
      <w:r>
        <w:t xml:space="preserve"> </w:t>
      </w:r>
      <w:r>
        <w:t xml:space="preserve">HOMA-IR = (glucose</w:t>
      </w:r>
      <w:r>
        <w:t xml:space="preserve"> </w:t>
      </w:r>
      <m:oMath>
        <m:r>
          <m:rPr>
            <m:sty m:val="p"/>
          </m:rPr>
          <m:t>×</m:t>
        </m:r>
      </m:oMath>
      <w:r>
        <w:t xml:space="preserve"> </w:t>
      </w:r>
      <w:r>
        <w:t xml:space="preserve">insulin) / 405 and HOMA-B = (360</w:t>
      </w:r>
      <w:r>
        <w:t xml:space="preserve"> </w:t>
      </w:r>
      <m:oMath>
        <m:r>
          <m:rPr>
            <m:sty m:val="p"/>
          </m:rPr>
          <m:t>×</m:t>
        </m:r>
      </m:oMath>
      <w:r>
        <w:t xml:space="preserve"> </w:t>
      </w:r>
      <w:r>
        <w:t xml:space="preserve">insulin) / (glucose - 63). Plasma glucose and insulin units</w:t>
      </w:r>
      <w:r>
        <w:t xml:space="preserve"> </w:t>
      </w:r>
      <w:r>
        <w:t xml:space="preserve">are mg/dL and mU/L, respectively.</w:t>
      </w:r>
    </w:p>
    <w:bookmarkEnd w:id="21"/>
    <w:bookmarkStart w:id="23" w:name="genotyping"/>
    <w:p>
      <w:pPr>
        <w:pStyle w:val="Heading2"/>
      </w:pPr>
      <w:r>
        <w:t xml:space="preserve">Genotyping</w:t>
      </w:r>
    </w:p>
    <w:p>
      <w:pPr>
        <w:pStyle w:val="FirstParagraph"/>
      </w:pPr>
      <w:r>
        <w:t xml:space="preserve">Genotypes at 143,259 markers was performed using the Mouse Universal</w:t>
      </w:r>
      <w:r>
        <w:t xml:space="preserve"> </w:t>
      </w:r>
      <w:r>
        <w:t xml:space="preserve">Genotyping Array (GigaMUGA)</w:t>
      </w:r>
      <w:r>
        <w:rPr>
          <w:vertAlign w:val="superscript"/>
        </w:rPr>
        <w:t xml:space="preserve">3</w:t>
      </w:r>
      <w:r>
        <w:t xml:space="preserve"> </w:t>
      </w:r>
      <w:r>
        <w:t xml:space="preserve">at Neogen (Lincoln, NE)</w:t>
      </w:r>
      <w:r>
        <w:t xml:space="preserve"> </w:t>
      </w:r>
      <w:r>
        <w:t xml:space="preserve">as described previously</w:t>
      </w:r>
      <w:r>
        <w:rPr>
          <w:vertAlign w:val="superscript"/>
        </w:rPr>
        <w:t xml:space="preserve">2,4</w:t>
      </w:r>
      <w:r>
        <w:t xml:space="preserve">. Genotypes</w:t>
      </w:r>
      <w:r>
        <w:t xml:space="preserve"> </w:t>
      </w:r>
      <w:r>
        <w:t xml:space="preserve">were converted to founder strain-haplotype reconstructions using the</w:t>
      </w:r>
      <w:r>
        <w:t xml:space="preserve"> </w:t>
      </w:r>
      <w:r>
        <w:t xml:space="preserve">R/DOQTL software</w:t>
      </w:r>
      <w:r>
        <w:rPr>
          <w:vertAlign w:val="superscript"/>
        </w:rPr>
        <w:t xml:space="preserve">5</w:t>
      </w:r>
      <w:r>
        <w:t xml:space="preserve"> </w:t>
      </w:r>
      <w:r>
        <w:t xml:space="preserve">and interpolated onto a grid with</w:t>
      </w:r>
      <w:r>
        <w:t xml:space="preserve"> </w:t>
      </w:r>
      <w:r>
        <w:t xml:space="preserve">0.02-cM spacing to yield 69,005 pseudomarkers. Individual chromosome</w:t>
      </w:r>
      <w:r>
        <w:t xml:space="preserve"> </w:t>
      </w:r>
      <w:r>
        <w:t xml:space="preserve">(Chr) haplotypes were reconstructed from RNA-seq data using a hidden</w:t>
      </w:r>
      <w:r>
        <w:t xml:space="preserve"> </w:t>
      </w:r>
      <w:r>
        <w:t xml:space="preserve">Markov model (GBRS,</w:t>
      </w:r>
      <w:r>
        <w:t xml:space="preserve"> </w:t>
      </w:r>
      <w:hyperlink r:id="rId22">
        <w:r>
          <w:rPr>
            <w:rStyle w:val="Hyperlink"/>
          </w:rPr>
          <w:t xml:space="preserve">https://github.com/churchill-lab/gbrs</w:t>
        </w:r>
      </w:hyperlink>
      <w:r>
        <w:t xml:space="preserve">).</w:t>
      </w:r>
    </w:p>
    <w:bookmarkEnd w:id="23"/>
    <w:bookmarkStart w:id="25" w:name="processed-data"/>
    <w:p>
      <w:pPr>
        <w:pStyle w:val="Heading2"/>
      </w:pPr>
      <w:r>
        <w:t xml:space="preserve">Processed Data</w:t>
      </w:r>
    </w:p>
    <w:p>
      <w:pPr>
        <w:pStyle w:val="FirstParagraph"/>
      </w:pPr>
      <w:r>
        <w:t xml:space="preserve">Genotypes, phenotypes, and pancreatic islet gene expression data were</w:t>
      </w:r>
      <w:r>
        <w:t xml:space="preserve"> </w:t>
      </w:r>
      <w:r>
        <w:t xml:space="preserve">all previously published</w:t>
      </w:r>
      <w:r>
        <w:rPr>
          <w:vertAlign w:val="superscript"/>
        </w:rPr>
        <w:t xml:space="preserve">2</w:t>
      </w:r>
      <w:r>
        <w:t xml:space="preserve">, and are available through</w:t>
      </w:r>
      <w:r>
        <w:t xml:space="preserve"> </w:t>
      </w:r>
      <w:r>
        <w:t xml:space="preserve">Dryad (</w:t>
      </w:r>
      <w:hyperlink r:id="rId24">
        <w:r>
          <w:rPr>
            <w:rStyle w:val="Hyperlink"/>
          </w:rPr>
          <w:t xml:space="preserve">doi:10.5061/dryad.pj105</w:t>
        </w:r>
      </w:hyperlink>
      <w:r>
        <w:t xml:space="preserve">; data files: Attie Islet eQTL data)</w:t>
      </w:r>
    </w:p>
    <w:bookmarkEnd w:id="25"/>
    <w:bookmarkStart w:id="26" w:name="Xdd6aaf148530a9be11b42cff252eee68ddb6e9a"/>
    <w:p>
      <w:pPr>
        <w:pStyle w:val="Heading2"/>
      </w:pPr>
      <w:r>
        <w:t xml:space="preserve">Collaborative cross recombinant inbred</w:t>
      </w:r>
      <w:r>
        <w:t xml:space="preserve"> </w:t>
      </w:r>
      <w:r>
        <w:t xml:space="preserve">mice</w:t>
      </w:r>
    </w:p>
    <w:p>
      <w:pPr>
        <w:pStyle w:val="FirstParagraph"/>
      </w:pPr>
      <w:r>
        <w:t xml:space="preserve">Mice were cared for and treated following the guidelines approved by the</w:t>
      </w:r>
      <w:r>
        <w:t xml:space="preserve"> </w:t>
      </w:r>
      <w:r>
        <w:t xml:space="preserve">Association for Assessment and Accreditation of Laboratory Animal Care</w:t>
      </w:r>
      <w:r>
        <w:t xml:space="preserve"> </w:t>
      </w:r>
      <w:r>
        <w:t xml:space="preserve">at The Jackson Laboratory. All animals were obtained from The Jackson</w:t>
      </w:r>
      <w:r>
        <w:t xml:space="preserve"> </w:t>
      </w:r>
      <w:r>
        <w:t xml:space="preserve">Laboratory. The mice were kept in a pathogen-free room at a temperature</w:t>
      </w:r>
      <w:r>
        <w:t xml:space="preserve"> </w:t>
      </w:r>
      <w:r>
        <w:t xml:space="preserve">ranging from 20 to 22°C with a 12-hour light/dark cycle. Starting at 6</w:t>
      </w:r>
      <w:r>
        <w:t xml:space="preserve"> </w:t>
      </w:r>
      <w:r>
        <w:t xml:space="preserve">weeks of age, they were fed either a custom-designed high-fat,</w:t>
      </w:r>
      <w:r>
        <w:t xml:space="preserve"> </w:t>
      </w:r>
      <w:r>
        <w:t xml:space="preserve">high-sugar (HFHS) diet (Research Diets D19070208) or a control diet</w:t>
      </w:r>
      <w:r>
        <w:t xml:space="preserve"> </w:t>
      </w:r>
      <w:r>
        <w:t xml:space="preserve">(Research Diets D19072203)</w:t>
      </w:r>
      <w:r>
        <w:t xml:space="preserve"> </w:t>
      </w:r>
      <w:r>
        <w:rPr>
          <w:iCs/>
          <w:i/>
        </w:rPr>
        <w:t xml:space="preserve">ad libitum</w:t>
      </w:r>
      <w:r>
        <w:t xml:space="preserve">. Body weight was measured</w:t>
      </w:r>
      <w:r>
        <w:t xml:space="preserve"> </w:t>
      </w:r>
      <w:r>
        <w:t xml:space="preserve">weekly until the mice were about 16 weeks old, after which measurements</w:t>
      </w:r>
      <w:r>
        <w:t xml:space="preserve"> </w:t>
      </w:r>
      <w:r>
        <w:t xml:space="preserve">were taken every other week. Food intake measurements were collected at</w:t>
      </w:r>
      <w:r>
        <w:t xml:space="preserve"> </w:t>
      </w:r>
      <w:r>
        <w:t xml:space="preserve">14 weeks, 23 weeks (for 6-month cohorts), 26 weeks (for 12-month</w:t>
      </w:r>
      <w:r>
        <w:t xml:space="preserve"> </w:t>
      </w:r>
      <w:r>
        <w:t xml:space="preserve">cohorts), 38 weeks, and 51 weeks by weighing the grain contents in the</w:t>
      </w:r>
      <w:r>
        <w:t xml:space="preserve"> </w:t>
      </w:r>
      <w:r>
        <w:t xml:space="preserve">cage over a three-day period. Fasted serum was collected at 14 weeks, 28</w:t>
      </w:r>
      <w:r>
        <w:t xml:space="preserve"> </w:t>
      </w:r>
      <w:r>
        <w:t xml:space="preserve">weeks (for 6-month cohorts), 26 weeks (for 12-month cohorts), 38 weeks,</w:t>
      </w:r>
      <w:r>
        <w:t xml:space="preserve"> </w:t>
      </w:r>
      <w:r>
        <w:t xml:space="preserve">and 56 weeks of age via retro-orbital or submental vein. In a subset of</w:t>
      </w:r>
      <w:r>
        <w:t xml:space="preserve"> </w:t>
      </w:r>
      <w:r>
        <w:t xml:space="preserve">the 12-month cohort, metformin (5 mg/mL) was administered</w:t>
      </w:r>
      <w:r>
        <w:t xml:space="preserve"> </w:t>
      </w:r>
      <w:r>
        <w:rPr>
          <w:iCs/>
          <w:i/>
        </w:rPr>
        <w:t xml:space="preserve">ad libitum</w:t>
      </w:r>
      <w:r>
        <w:t xml:space="preserve"> </w:t>
      </w:r>
      <w:r>
        <w:t xml:space="preserve">in the drinking water. The first two weeks of</w:t>
      </w:r>
      <w:r>
        <w:t xml:space="preserve"> </w:t>
      </w:r>
      <w:r>
        <w:t xml:space="preserve">treatment included monitoring water intake to ensure consumption.</w:t>
      </w:r>
      <w:r>
        <w:t xml:space="preserve"> </w:t>
      </w:r>
      <w:r>
        <w:t xml:space="preserve">Metformin treatment continued for the duration of the experiment.</w:t>
      </w:r>
    </w:p>
    <w:bookmarkEnd w:id="26"/>
    <w:bookmarkStart w:id="27" w:name="clinical-chemistries"/>
    <w:p>
      <w:pPr>
        <w:pStyle w:val="Heading2"/>
      </w:pPr>
      <w:r>
        <w:t xml:space="preserve">Clinical chemistries</w:t>
      </w:r>
    </w:p>
    <w:p>
      <w:pPr>
        <w:pStyle w:val="FirstParagraph"/>
      </w:pPr>
      <w:r>
        <w:t xml:space="preserve">CC-RIX animals were fasted for four hours before serum collection via</w:t>
      </w:r>
      <w:r>
        <w:t xml:space="preserve"> </w:t>
      </w:r>
      <w:r>
        <w:t xml:space="preserve">the retro-orbital or submental vein. Whole blood was left at room</w:t>
      </w:r>
      <w:r>
        <w:t xml:space="preserve"> </w:t>
      </w:r>
      <w:r>
        <w:t xml:space="preserve">temperature for 30-60 minutes before being centrifuged for 5 minutes at</w:t>
      </w:r>
      <w:r>
        <w:t xml:space="preserve"> </w:t>
      </w:r>
      <w:r>
        <w:t xml:space="preserve">12,500 RPM. The serum was then tested for glucose (Beckman Coulter;</w:t>
      </w:r>
      <w:r>
        <w:t xml:space="preserve"> </w:t>
      </w:r>
      <w:r>
        <w:t xml:space="preserve">OSR6121), cholesterol (Beckman Coulter; OSR6116), triglycerides (Beckman</w:t>
      </w:r>
      <w:r>
        <w:t xml:space="preserve"> </w:t>
      </w:r>
      <w:r>
        <w:t xml:space="preserve">Coulter; OSR60118), insulin (MSD; K152BZC-1), or c-peptide (MSD;</w:t>
      </w:r>
      <w:r>
        <w:t xml:space="preserve"> </w:t>
      </w:r>
      <w:r>
        <w:t xml:space="preserve">K1526JK-1).</w:t>
      </w:r>
    </w:p>
    <w:bookmarkEnd w:id="27"/>
    <w:bookmarkStart w:id="28" w:name="X56a4204c795c9dc9aa70ed58c2abeff9797171f"/>
    <w:p>
      <w:pPr>
        <w:pStyle w:val="Heading2"/>
      </w:pPr>
      <w:r>
        <w:t xml:space="preserve">Intraperitoneal glucose tolerance</w:t>
      </w:r>
      <w:r>
        <w:t xml:space="preserve"> </w:t>
      </w:r>
      <w:r>
        <w:t xml:space="preserve">testing</w:t>
      </w:r>
    </w:p>
    <w:p>
      <w:pPr>
        <w:pStyle w:val="FirstParagraph"/>
      </w:pPr>
      <w:r>
        <w:t xml:space="preserve">After a fasting period of 4-6 hours, baseline glucose measurements were</w:t>
      </w:r>
      <w:r>
        <w:t xml:space="preserve"> </w:t>
      </w:r>
      <w:r>
        <w:t xml:space="preserve">taken from CC-RIX mice using an AlphaTrak2 glucometer and test strips</w:t>
      </w:r>
      <w:r>
        <w:t xml:space="preserve"> </w:t>
      </w:r>
      <w:r>
        <w:t xml:space="preserve">(Zoetis) by making a small nick in the tail tip. A bolus intraperitoneal</w:t>
      </w:r>
      <w:r>
        <w:t xml:space="preserve"> </w:t>
      </w:r>
      <w:r>
        <w:t xml:space="preserve">injection of 20% glucose (1g/kg) was then administered, and additional</w:t>
      </w:r>
      <w:r>
        <w:t xml:space="preserve"> </w:t>
      </w:r>
      <w:r>
        <w:t xml:space="preserve">tail tip nicks were performed at 15, 30, 60, and 120 minutes</w:t>
      </w:r>
      <w:r>
        <w:t xml:space="preserve"> </w:t>
      </w:r>
      <w:r>
        <w:t xml:space="preserve">post-injection to measure glucose levels.</w:t>
      </w:r>
    </w:p>
    <w:bookmarkEnd w:id="28"/>
    <w:bookmarkStart w:id="29" w:name="dual-energy-x-ray-absorptiometry-dexa"/>
    <w:p>
      <w:pPr>
        <w:pStyle w:val="Heading2"/>
      </w:pPr>
      <w:r>
        <w:t xml:space="preserve">Dual Energy X-ray Absorptiometry</w:t>
      </w:r>
      <w:r>
        <w:t xml:space="preserve"> </w:t>
      </w:r>
      <w:r>
        <w:t xml:space="preserve">(DEXA)</w:t>
      </w:r>
    </w:p>
    <w:p>
      <w:pPr>
        <w:pStyle w:val="FirstParagraph"/>
      </w:pPr>
      <w:r>
        <w:t xml:space="preserve">To assess bone mineral density in the CC-RIX population at either 27</w:t>
      </w:r>
      <w:r>
        <w:t xml:space="preserve"> </w:t>
      </w:r>
      <w:r>
        <w:t xml:space="preserve">weeks of age (6-month cohorts) or 55 weeks of age (12-month cohorts),</w:t>
      </w:r>
      <w:r>
        <w:t xml:space="preserve"> </w:t>
      </w:r>
      <w:r>
        <w:t xml:space="preserve">the mice were weighed and anesthetized through continuous inhalation of</w:t>
      </w:r>
      <w:r>
        <w:t xml:space="preserve"> </w:t>
      </w:r>
      <w:r>
        <w:t xml:space="preserve">isoflurane. The Faxitron UltraFocus DXA system was used to emit two</w:t>
      </w:r>
      <w:r>
        <w:t xml:space="preserve"> </w:t>
      </w:r>
      <w:r>
        <w:t xml:space="preserve">energy levels, 40 kV and 80 kV, for capturing images of bone and soft</w:t>
      </w:r>
      <w:r>
        <w:t xml:space="preserve"> </w:t>
      </w:r>
      <w:r>
        <w:t xml:space="preserve">tissue.</w:t>
      </w:r>
    </w:p>
    <w:bookmarkEnd w:id="29"/>
    <w:bookmarkStart w:id="30" w:name="bulk-tissue-collection"/>
    <w:p>
      <w:pPr>
        <w:pStyle w:val="Heading2"/>
      </w:pPr>
      <w:r>
        <w:t xml:space="preserve">Bulk tissue collection</w:t>
      </w:r>
    </w:p>
    <w:p>
      <w:pPr>
        <w:pStyle w:val="FirstParagraph"/>
      </w:pPr>
      <w:r>
        <w:t xml:space="preserve">At either 28 weeks of age (for the 6-month cohort) or 56 weeks of age</w:t>
      </w:r>
      <w:r>
        <w:t xml:space="preserve"> </w:t>
      </w:r>
      <w:r>
        <w:t xml:space="preserve">(for the 12-month cohort), CC-RIX animals were humanely euthanized by</w:t>
      </w:r>
      <w:r>
        <w:t xml:space="preserve"> </w:t>
      </w:r>
      <w:r>
        <w:t xml:space="preserve">cervical dislocation. Tissues, including adipose, gastrocnemius, and the</w:t>
      </w:r>
      <w:r>
        <w:t xml:space="preserve"> </w:t>
      </w:r>
      <w:r>
        <w:t xml:space="preserve">left liver lobe, were harvested and flash-frozen in liquid nitrogen for</w:t>
      </w:r>
      <w:r>
        <w:t xml:space="preserve"> </w:t>
      </w:r>
      <w:r>
        <w:t xml:space="preserve">RNA sequencing.</w:t>
      </w:r>
    </w:p>
    <w:bookmarkEnd w:id="30"/>
    <w:bookmarkStart w:id="31" w:name="whole-pancreas-insulin-content"/>
    <w:p>
      <w:pPr>
        <w:pStyle w:val="Heading2"/>
      </w:pPr>
      <w:r>
        <w:t xml:space="preserve">Whole Pancreas Insulin</w:t>
      </w:r>
      <w:r>
        <w:t xml:space="preserve"> </w:t>
      </w:r>
      <w:r>
        <w:t xml:space="preserve">Content</w:t>
      </w:r>
    </w:p>
    <w:p>
      <w:pPr>
        <w:pStyle w:val="FirstParagraph"/>
      </w:pPr>
      <w:r>
        <w:t xml:space="preserve">The animals were humanely euthanized at 16 weeks of age and the entire</w:t>
      </w:r>
      <w:r>
        <w:t xml:space="preserve"> </w:t>
      </w:r>
      <w:r>
        <w:t xml:space="preserve">pancreas was removed, ensuring no excess fat or mesentery tissue was</w:t>
      </w:r>
      <w:r>
        <w:t xml:space="preserve"> </w:t>
      </w:r>
      <w:r>
        <w:t xml:space="preserve">included. The pancreas tissue was placed in a pre-weighed 20 mL glass</w:t>
      </w:r>
      <w:r>
        <w:t xml:space="preserve"> </w:t>
      </w:r>
      <w:r>
        <w:t xml:space="preserve">scintillation vial containing acid ethanol (75% HPLC grade ethanol</w:t>
      </w:r>
      <w:r>
        <w:t xml:space="preserve"> </w:t>
      </w:r>
      <w:r>
        <w:t xml:space="preserve">(ThermoFisher; A995-4), 1.\5% concentrated hydrochloric</w:t>
      </w:r>
      <w:r>
        <w:t xml:space="preserve"> </w:t>
      </w:r>
      <w:r>
        <w:t xml:space="preserve">acid (ThermoFisher; A144-212) in distilled water). The weight of the</w:t>
      </w:r>
      <w:r>
        <w:t xml:space="preserve"> </w:t>
      </w:r>
      <w:r>
        <w:t xml:space="preserve">pancreas was measured for normalization. Using curved scissors, the</w:t>
      </w:r>
      <w:r>
        <w:t xml:space="preserve"> </w:t>
      </w:r>
      <w:r>
        <w:t xml:space="preserve">pancreas was chopped for four minutes, and the samples were stored at</w:t>
      </w:r>
      <w:r>
        <w:t xml:space="preserve"> </w:t>
      </w:r>
      <m:oMath>
        <m:r>
          <m:rPr>
            <m:sty m:val="p"/>
          </m:rPr>
          <m:t>−</m:t>
        </m:r>
        <m:sSup>
          <m:e>
            <m:r>
              <m:t>20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C until all animals were harvested. For insulin</w:t>
      </w:r>
      <w:r>
        <w:t xml:space="preserve"> </w:t>
      </w:r>
      <w:r>
        <w:t xml:space="preserve">measurements, the contents of the scintillation vials were rinsed with 4</w:t>
      </w:r>
      <w:r>
        <w:t xml:space="preserve"> </w:t>
      </w:r>
      <w:r>
        <w:t xml:space="preserve">mL PBS (Roche; 1666789) with 1% BSA (Sigma; A7888), neutralized with 65</w:t>
      </w:r>
      <w:r>
        <w:t xml:space="preserve"> </w:t>
      </w:r>
      <w:r>
        <w:t xml:space="preserve">μL 10N NaOH (Fisher; SS255-1), and vortexed for 30</w:t>
      </w:r>
      <w:r>
        <w:t xml:space="preserve"> </w:t>
      </w:r>
      <w:r>
        <w:t xml:space="preserve">seconds. The samples were then centrifuged at</w:t>
      </w:r>
      <w:r>
        <w:t xml:space="preserve"> </w:t>
      </w:r>
      <m:oMath>
        <m:sSup>
          <m:e>
            <m:r>
              <m:t>4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C for 5</w:t>
      </w:r>
      <w:r>
        <w:t xml:space="preserve"> </w:t>
      </w:r>
      <w:r>
        <w:t xml:space="preserve">minutes at 2,000 RPM. The samples were diluted 5000X in PBS with 1%</w:t>
      </w:r>
      <w:r>
        <w:t xml:space="preserve"> </w:t>
      </w:r>
      <w:r>
        <w:t xml:space="preserve">BSA, and insulin was measured (MSD; K152BZC-1).</w:t>
      </w:r>
    </w:p>
    <w:bookmarkEnd w:id="31"/>
    <w:bookmarkStart w:id="32" w:name="rna-isolation-and-qc"/>
    <w:p>
      <w:pPr>
        <w:pStyle w:val="Heading2"/>
      </w:pPr>
      <w:r>
        <w:t xml:space="preserve">RNA isolation and QC</w:t>
      </w:r>
    </w:p>
    <w:p>
      <w:pPr>
        <w:pStyle w:val="FirstParagraph"/>
      </w:pPr>
      <w:r>
        <w:t xml:space="preserve">RNA from both DO and CC-RIX adipose, gastrocnemius, and left liver lobe</w:t>
      </w:r>
      <w:r>
        <w:t xml:space="preserve"> </w:t>
      </w:r>
      <w:r>
        <w:t xml:space="preserve">tissues was isolated using the MagMAX mirVana Total RNA Isolation Kit</w:t>
      </w:r>
      <w:r>
        <w:t xml:space="preserve"> </w:t>
      </w:r>
      <w:r>
        <w:t xml:space="preserve">(ThermoFisher; A27828) and the KingFisher Flex purification system</w:t>
      </w:r>
      <w:r>
        <w:t xml:space="preserve"> </w:t>
      </w:r>
      <w:r>
        <w:t xml:space="preserve">(ThermoFisher; 5400610). The frozen tissues were pulverized with a</w:t>
      </w:r>
      <w:r>
        <w:t xml:space="preserve"> </w:t>
      </w:r>
      <w:r>
        <w:t xml:space="preserve">Bessman Tissue Pulverizer (Spectrum Chemical) and homogenized in TRIzol™</w:t>
      </w:r>
      <w:r>
        <w:t xml:space="preserve"> </w:t>
      </w:r>
      <w:r>
        <w:t xml:space="preserve">Reagent (ThermoFisher; 15596026) using a gentleMACS dissociator</w:t>
      </w:r>
      <w:r>
        <w:t xml:space="preserve"> </w:t>
      </w:r>
      <w:r>
        <w:t xml:space="preserve">(Miltenyi Biotec Inc). After adding chloroform to the TRIzol homogenate,</w:t>
      </w:r>
      <w:r>
        <w:t xml:space="preserve"> </w:t>
      </w:r>
      <w:r>
        <w:t xml:space="preserve">the RNA-containing aqueous layer was extracted for RNA isolation,</w:t>
      </w:r>
      <w:r>
        <w:t xml:space="preserve"> </w:t>
      </w:r>
      <w:r>
        <w:t xml:space="preserve">following the manufacturer’s protocol, starting with the RNA bead</w:t>
      </w:r>
      <w:r>
        <w:t xml:space="preserve"> </w:t>
      </w:r>
      <w:r>
        <w:t xml:space="preserve">binding step using the RNeasy Mini kit (Qiagen; 74104). RNA</w:t>
      </w:r>
      <w:r>
        <w:t xml:space="preserve"> </w:t>
      </w:r>
      <w:r>
        <w:t xml:space="preserve">concentrations and quality were assessed using the Nanodrop 8000</w:t>
      </w:r>
      <w:r>
        <w:t xml:space="preserve"> </w:t>
      </w:r>
      <w:r>
        <w:t xml:space="preserve">spectrophotometer (Thermo Scientific) and the RNA 6000 Pico or RNA</w:t>
      </w:r>
      <w:r>
        <w:t xml:space="preserve"> </w:t>
      </w:r>
      <w:r>
        <w:t xml:space="preserve">ScreenTape assay (Agilent Technologies).</w:t>
      </w:r>
    </w:p>
    <w:bookmarkEnd w:id="32"/>
    <w:bookmarkStart w:id="33" w:name="library-construction"/>
    <w:p>
      <w:pPr>
        <w:pStyle w:val="Heading2"/>
      </w:pPr>
      <w:r>
        <w:t xml:space="preserve">Library construction</w:t>
      </w:r>
    </w:p>
    <w:p>
      <w:pPr>
        <w:pStyle w:val="FirstParagraph"/>
      </w:pPr>
      <w:r>
        <w:t xml:space="preserve">Before library construction, 2 μL of diluted (1:1000)</w:t>
      </w:r>
      <w:r>
        <w:t xml:space="preserve"> </w:t>
      </w:r>
      <w:r>
        <w:t xml:space="preserve">ERCC Spike-in Control Mix 1 (ThermoFisher; 4456740) was added to 100 ng</w:t>
      </w:r>
      <w:r>
        <w:t xml:space="preserve"> </w:t>
      </w:r>
      <w:r>
        <w:t xml:space="preserve">of each RNA sample. Libraries were then constructed using the KAPA mRNA</w:t>
      </w:r>
      <w:r>
        <w:t xml:space="preserve"> </w:t>
      </w:r>
      <w:r>
        <w:t xml:space="preserve">HyperPrep Kit (Roche Sequencing Store; KK8580) following the</w:t>
      </w:r>
      <w:r>
        <w:t xml:space="preserve"> </w:t>
      </w:r>
      <w:r>
        <w:t xml:space="preserve">manufacturer’s protocol. The process involves isolating polyA-containing</w:t>
      </w:r>
      <w:r>
        <w:t xml:space="preserve"> </w:t>
      </w:r>
      <w:r>
        <w:t xml:space="preserve">mRNA using oligo-dT magnetic beads, fragmenting the RNA, synthesizing</w:t>
      </w:r>
      <w:r>
        <w:t xml:space="preserve"> </w:t>
      </w:r>
      <w:r>
        <w:t xml:space="preserve">the first and second strands of cDNA, ligating Illumina-specific</w:t>
      </w:r>
      <w:r>
        <w:t xml:space="preserve"> </w:t>
      </w:r>
      <w:r>
        <w:t xml:space="preserve">adapters with unique barcode sequences for each library, and performing</w:t>
      </w:r>
      <w:r>
        <w:t xml:space="preserve"> </w:t>
      </w:r>
      <w:r>
        <w:t xml:space="preserve">PCR amplification. The quality and concentration of the libraries were</w:t>
      </w:r>
      <w:r>
        <w:t xml:space="preserve"> </w:t>
      </w:r>
      <w:r>
        <w:t xml:space="preserve">evaluated using the D5000 ScreenTape (Agilent Technologies) and the</w:t>
      </w:r>
      <w:r>
        <w:t xml:space="preserve"> </w:t>
      </w:r>
      <w:r>
        <w:t xml:space="preserve">Qubit dsDNA HS Assay (ThermoFisher; Q32851), respectively, according to</w:t>
      </w:r>
      <w:r>
        <w:t xml:space="preserve"> </w:t>
      </w:r>
      <w:r>
        <w:t xml:space="preserve">the manufacturers’ instructions.</w:t>
      </w:r>
    </w:p>
    <w:bookmarkEnd w:id="33"/>
    <w:bookmarkStart w:id="34" w:name="sequencing"/>
    <w:p>
      <w:pPr>
        <w:pStyle w:val="Heading2"/>
      </w:pPr>
      <w:r>
        <w:t xml:space="preserve">Sequencing</w:t>
      </w:r>
    </w:p>
    <w:p>
      <w:pPr>
        <w:pStyle w:val="FirstParagraph"/>
      </w:pPr>
      <w:r>
        <w:t xml:space="preserve">Libraries were sequenced on an Illumina NovaSeq 6000 using the S4</w:t>
      </w:r>
      <w:r>
        <w:t xml:space="preserve"> </w:t>
      </w:r>
      <w:r>
        <w:t xml:space="preserve">Reagent Kit (Illumina; 20028312). All tissues underwent 100 bp</w:t>
      </w:r>
      <w:r>
        <w:t xml:space="preserve"> </w:t>
      </w:r>
      <w:r>
        <w:t xml:space="preserve">paired-end sequencing, aiming for a target read depth of 30 million read</w:t>
      </w:r>
      <w:r>
        <w:t xml:space="preserve"> </w:t>
      </w:r>
      <w:r>
        <w:t xml:space="preserve">pairs.</w:t>
      </w:r>
    </w:p>
    <w:bookmarkEnd w:id="34"/>
    <w:bookmarkStart w:id="35" w:name="trait-selection-in-do"/>
    <w:p>
      <w:pPr>
        <w:pStyle w:val="Heading2"/>
      </w:pPr>
      <w:r>
        <w:t xml:space="preserve">Trait selection in DO</w:t>
      </w:r>
    </w:p>
    <w:p>
      <w:pPr>
        <w:pStyle w:val="FirstParagraph"/>
      </w:pPr>
      <w:r>
        <w:t xml:space="preserve">We filtered the measured traits in this study to a set of relatively</w:t>
      </w:r>
      <w:r>
        <w:t xml:space="preserve"> </w:t>
      </w:r>
      <w:r>
        <w:t xml:space="preserve">non-redundant measures that were well-represented in the population</w:t>
      </w:r>
      <w:r>
        <w:t xml:space="preserve"> </w:t>
      </w:r>
      <w:r>
        <w:t xml:space="preserve">(having at least 80% of individuals measured). A complete description</w:t>
      </w:r>
      <w:r>
        <w:t xml:space="preserve"> </w:t>
      </w:r>
      <w:r>
        <w:t xml:space="preserve">of trait filtering can be found on Synapse XXX in the file</w:t>
      </w:r>
      <w:r>
        <w:t xml:space="preserve"> </w:t>
      </w:r>
      <w:r>
        <w:t xml:space="preserve">1b.Trait_Selection.Rmd.</w:t>
      </w:r>
    </w:p>
    <w:p>
      <w:pPr>
        <w:pStyle w:val="BodyText"/>
      </w:pPr>
      <w:r>
        <w:t xml:space="preserve">We took two approaches for traits with multiple redundant measurements,</w:t>
      </w:r>
      <w:r>
        <w:t xml:space="preserve"> </w:t>
      </w:r>
      <w:r>
        <w:t xml:space="preserve">for example longitudinal body weights. In the case of longitudinal</w:t>
      </w:r>
      <w:r>
        <w:t xml:space="preserve"> </w:t>
      </w:r>
      <w:r>
        <w:t xml:space="preserve">measurements, we used the final measurement, as this was the closest</w:t>
      </w:r>
      <w:r>
        <w:t xml:space="preserve"> </w:t>
      </w:r>
      <w:r>
        <w:t xml:space="preserve">physiological measurement to the measurement of gene expression, which</w:t>
      </w:r>
      <w:r>
        <w:t xml:space="preserve"> </w:t>
      </w:r>
      <w:r>
        <w:t xml:space="preserve">was done at the end of the experiment. The labels for these traits have</w:t>
      </w:r>
      <w:r>
        <w:t xml:space="preserve"> </w:t>
      </w:r>
      <w:r>
        <w:t xml:space="preserve">the word</w:t>
      </w:r>
      <w:r>
        <w:t xml:space="preserve"> </w:t>
      </w:r>
      <w:r>
        <w:t xml:space="preserve">“</w:t>
      </w:r>
      <w:r>
        <w:t xml:space="preserve">Final</w:t>
      </w:r>
      <w:r>
        <w:t xml:space="preserve">”</w:t>
      </w:r>
      <w:r>
        <w:t xml:space="preserve"> </w:t>
      </w:r>
      <w:r>
        <w:t xml:space="preserve">appended to their name. For traits with multiple</w:t>
      </w:r>
      <w:r>
        <w:t xml:space="preserve"> </w:t>
      </w:r>
      <w:r>
        <w:t xml:space="preserve">highly related measurements, such as cholesterol, we used the first</w:t>
      </w:r>
      <w:r>
        <w:t xml:space="preserve"> </w:t>
      </w:r>
      <w:r>
        <w:t xml:space="preserve">principal component of the group of measurements. For example, we used</w:t>
      </w:r>
      <w:r>
        <w:t xml:space="preserve"> </w:t>
      </w:r>
      <w:r>
        <w:t xml:space="preserve">the first principal component of all LDL measurements as the measurement</w:t>
      </w:r>
      <w:r>
        <w:t xml:space="preserve"> </w:t>
      </w:r>
      <w:r>
        <w:t xml:space="preserve">of LDL. For each set of traits, we ensured the first principal component</w:t>
      </w:r>
      <w:r>
        <w:t xml:space="preserve"> </w:t>
      </w:r>
      <w:r>
        <w:t xml:space="preserve">had the correct sign by correlating it with the average of the traits.</w:t>
      </w:r>
      <w:r>
        <w:t xml:space="preserve"> </w:t>
      </w:r>
      <w:r>
        <w:t xml:space="preserve">For correlation coefficients (R) less than 0, we multiplied the</w:t>
      </w:r>
      <w:r>
        <w:t xml:space="preserve"> </w:t>
      </w:r>
      <w:r>
        <w:t xml:space="preserve">principal component by -1. The labels for these traits have the term</w:t>
      </w:r>
      <w:r>
        <w:t xml:space="preserve"> </w:t>
      </w:r>
      <w:r>
        <w:t xml:space="preserve">“</w:t>
      </w:r>
      <w:r>
        <w:t xml:space="preserve">PC1</w:t>
      </w:r>
      <w:r>
        <w:t xml:space="preserve">”</w:t>
      </w:r>
      <w:r>
        <w:t xml:space="preserve"> </w:t>
      </w:r>
      <w:r>
        <w:t xml:space="preserve">appended to their name.</w:t>
      </w:r>
    </w:p>
    <w:bookmarkEnd w:id="35"/>
    <w:bookmarkStart w:id="37" w:name="processing-of-rna-sequencing-data"/>
    <w:p>
      <w:pPr>
        <w:pStyle w:val="Heading2"/>
      </w:pPr>
      <w:r>
        <w:t xml:space="preserve">Processing of RNA sequencing</w:t>
      </w:r>
      <w:r>
        <w:t xml:space="preserve"> </w:t>
      </w:r>
      <w:r>
        <w:t xml:space="preserve">data</w:t>
      </w:r>
    </w:p>
    <w:p>
      <w:pPr>
        <w:pStyle w:val="FirstParagraph"/>
      </w:pPr>
      <w:r>
        <w:t xml:space="preserve">We used the Expectation-Maximization algorithm for Allele Specific</w:t>
      </w:r>
      <w:r>
        <w:t xml:space="preserve"> </w:t>
      </w:r>
      <w:r>
        <w:t xml:space="preserve">Expression (EMASE)</w:t>
      </w:r>
      <w:r>
        <w:rPr>
          <w:vertAlign w:val="superscript"/>
        </w:rPr>
        <w:t xml:space="preserve">6,7</w:t>
      </w:r>
      <w:r>
        <w:t xml:space="preserve"> </w:t>
      </w:r>
      <w:r>
        <w:t xml:space="preserve">to quantify</w:t>
      </w:r>
      <w:r>
        <w:t xml:space="preserve"> </w:t>
      </w:r>
      <w:r>
        <w:t xml:space="preserve">multi-parent allele-specific and total expression from RNA-seq data for</w:t>
      </w:r>
      <w:r>
        <w:t xml:space="preserve"> </w:t>
      </w:r>
      <w:r>
        <w:t xml:space="preserve">each tissue. EMASE was performed by the Genotype by RNA-seq (GBRS)</w:t>
      </w:r>
      <w:r>
        <w:t xml:space="preserve"> </w:t>
      </w:r>
      <w:r>
        <w:t xml:space="preserve">software package (</w:t>
      </w:r>
      <w:hyperlink r:id="rId36">
        <w:r>
          <w:rPr>
            <w:rStyle w:val="Hyperlink"/>
          </w:rPr>
          <w:t xml:space="preserve">https://gbrs.readthedocs.io/en/latest/</w:t>
        </w:r>
      </w:hyperlink>
      <w:r>
        <w:t xml:space="preserve">). In the</w:t>
      </w:r>
      <w:r>
        <w:t xml:space="preserve"> </w:t>
      </w:r>
      <w:r>
        <w:t xml:space="preserve">process, R1 and R2 FASTQ files were combined and aligned to a hybridized</w:t>
      </w:r>
      <w:r>
        <w:t xml:space="preserve"> </w:t>
      </w:r>
      <w:r>
        <w:t xml:space="preserve">(8-way) transcriptome generated for the 8 DO founder strains as</w:t>
      </w:r>
      <w:r>
        <w:t xml:space="preserve"> </w:t>
      </w:r>
      <w:r>
        <w:t xml:space="preserve">single-ended reads. GBRS was also used to reconstruct the mouse genotype</w:t>
      </w:r>
      <w:r>
        <w:t xml:space="preserve"> </w:t>
      </w:r>
      <w:r>
        <w:t xml:space="preserve">probabilities along ~69K markers, which was used for</w:t>
      </w:r>
      <w:r>
        <w:t xml:space="preserve"> </w:t>
      </w:r>
      <w:r>
        <w:t xml:space="preserve">confirming genotypes in the quality control (QC) process. For the QC</w:t>
      </w:r>
      <w:r>
        <w:t xml:space="preserve"> </w:t>
      </w:r>
      <w:r>
        <w:t xml:space="preserve">process, we used a Euclidean distances method (developed by Greg Keele -</w:t>
      </w:r>
      <w:r>
        <w:t xml:space="preserve"> </w:t>
      </w:r>
      <w:r>
        <w:t xml:space="preserve">Churchill Lab) to compare the GBRS genotype probabilities between the</w:t>
      </w:r>
      <w:r>
        <w:t xml:space="preserve"> </w:t>
      </w:r>
      <w:r>
        <w:t xml:space="preserve">tissues and the genotype probabilities array for all mice. The counts</w:t>
      </w:r>
      <w:r>
        <w:t xml:space="preserve"> </w:t>
      </w:r>
      <w:r>
        <w:t xml:space="preserve">matrix for each tissue was processed to filter out transcripts with less</w:t>
      </w:r>
      <w:r>
        <w:t xml:space="preserve"> </w:t>
      </w:r>
      <w:r>
        <w:t xml:space="preserve">than one read for at least half of the samples. RNA-seq batch effects</w:t>
      </w:r>
      <w:r>
        <w:t xml:space="preserve"> </w:t>
      </w:r>
      <w:r>
        <w:t xml:space="preserve">were removed by regressing out batch as a random effect and considering</w:t>
      </w:r>
      <w:r>
        <w:t xml:space="preserve"> </w:t>
      </w:r>
      <w:r>
        <w:t xml:space="preserve">sex and generation as fixed effects using lme4 R package. RNA-Seq counts</w:t>
      </w:r>
      <w:r>
        <w:t xml:space="preserve"> </w:t>
      </w:r>
      <w:r>
        <w:t xml:space="preserve">were normalized relative to total read counts using the variance</w:t>
      </w:r>
      <w:r>
        <w:t xml:space="preserve"> </w:t>
      </w:r>
      <w:r>
        <w:t xml:space="preserve">stabilizing transform (VST) as implemented in DESeq2 and using rank</w:t>
      </w:r>
      <w:r>
        <w:t xml:space="preserve"> </w:t>
      </w:r>
      <w:r>
        <w:t xml:space="preserve">normal score.</w:t>
      </w:r>
    </w:p>
    <w:bookmarkEnd w:id="37"/>
    <w:bookmarkStart w:id="38" w:name="eqtl-analysis"/>
    <w:p>
      <w:pPr>
        <w:pStyle w:val="Heading2"/>
      </w:pPr>
      <w:r>
        <w:t xml:space="preserve">eQTL analysis</w:t>
      </w:r>
    </w:p>
    <w:p>
      <w:pPr>
        <w:pStyle w:val="FirstParagraph"/>
      </w:pPr>
      <w:r>
        <w:t xml:space="preserve">We used R/qtl2</w:t>
      </w:r>
      <w:r>
        <w:rPr>
          <w:vertAlign w:val="superscript"/>
        </w:rPr>
        <w:t xml:space="preserve">8</w:t>
      </w:r>
      <w:r>
        <w:t xml:space="preserve"> </w:t>
      </w:r>
      <w:r>
        <w:t xml:space="preserve">to perform eQTL analysis. We used the</w:t>
      </w:r>
      <w:r>
        <w:t xml:space="preserve"> </w:t>
      </w:r>
      <w:r>
        <w:t xml:space="preserve">rank normal score data and used sex and DO generation as additive</w:t>
      </w:r>
      <w:r>
        <w:t xml:space="preserve"> </w:t>
      </w:r>
      <w:r>
        <w:t xml:space="preserve">covariates. We also used kinship as a random effect. We used</w:t>
      </w:r>
      <w:r>
        <w:t xml:space="preserve"> </w:t>
      </w:r>
      <w:r>
        <w:t xml:space="preserve">permutations to find a LOD threshold of 8 for significant QTLs which</w:t>
      </w:r>
      <w:r>
        <w:t xml:space="preserve"> </w:t>
      </w:r>
      <w:r>
        <w:t xml:space="preserve">corresponded to a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value of 0.05.</w:t>
      </w:r>
    </w:p>
    <w:p>
      <w:pPr>
        <w:pStyle w:val="BodyText"/>
      </w:pPr>
      <w:r>
        <w:t xml:space="preserve">To assess whether eQTL were shared across tissues, we considered</w:t>
      </w:r>
      <w:r>
        <w:t xml:space="preserve"> </w:t>
      </w:r>
      <w:r>
        <w:t xml:space="preserve">significant eQTLs within 4Mb of each other to be overlapping. We</w:t>
      </w:r>
      <w:r>
        <w:t xml:space="preserve"> </w:t>
      </w:r>
      <w:r>
        <w:t xml:space="preserve">considered local and distal eQTLs separately.</w:t>
      </w:r>
    </w:p>
    <w:bookmarkEnd w:id="38"/>
    <w:bookmarkStart w:id="39" w:name="Xda38f81f2df94ec7e63b57244459311be571e17"/>
    <w:p>
      <w:pPr>
        <w:pStyle w:val="Heading2"/>
      </w:pPr>
      <w:r>
        <w:t xml:space="preserve">Local and distal heritability of</w:t>
      </w:r>
      <w:r>
        <w:t xml:space="preserve"> </w:t>
      </w:r>
      <w:r>
        <w:t xml:space="preserve">transcripts</w:t>
      </w:r>
    </w:p>
    <w:p>
      <w:pPr>
        <w:pStyle w:val="FirstParagraph"/>
      </w:pPr>
      <w:r>
        <w:t xml:space="preserve">To estimate local and distal heritability of each transcript, we scaled</w:t>
      </w:r>
      <w:r>
        <w:t xml:space="preserve"> </w:t>
      </w:r>
      <w:r>
        <w:t xml:space="preserve">each normalized transcript to have a variance of 1. We then modeled this</w:t>
      </w:r>
      <w:r>
        <w:t xml:space="preserve"> </w:t>
      </w:r>
      <w:r>
        <w:t xml:space="preserve">transcript with the local genotype using the fit1() function in R/qtl</w:t>
      </w:r>
      <w:r>
        <w:t xml:space="preserve"> </w:t>
      </w:r>
      <w:r>
        <w:t xml:space="preserve">with a kinship correction. We used the resulting model to predict the</w:t>
      </w:r>
      <w:r>
        <w:t xml:space="preserve"> </w:t>
      </w:r>
      <w:r>
        <w:t xml:space="preserve">transcript values. The variance of the predicted transcript is its local</w:t>
      </w:r>
      <w:r>
        <w:t xml:space="preserve"> </w:t>
      </w:r>
      <w:r>
        <w:t xml:space="preserve">heritability. We then estimated the heritability of the residual of the</w:t>
      </w:r>
      <w:r>
        <w:t xml:space="preserve"> </w:t>
      </w:r>
      <w:r>
        <w:t xml:space="preserve">model fit. The variance of the residual multiplied by its heritability</w:t>
      </w:r>
      <w:r>
        <w:t xml:space="preserve"> </w:t>
      </w:r>
      <w:r>
        <w:t xml:space="preserve">is the distal heritability of the transcript.</w:t>
      </w:r>
    </w:p>
    <w:p>
      <w:pPr>
        <w:pStyle w:val="BodyText"/>
      </w:pPr>
      <w:r>
        <w:t xml:space="preserve">We compared local and distal estimates of heritability to measures of</w:t>
      </w:r>
      <w:r>
        <w:t xml:space="preserve"> </w:t>
      </w:r>
      <w:r>
        <w:t xml:space="preserve">trait relevance for each transcript. Trait relevance was the Pearson</w:t>
      </w:r>
      <w:r>
        <w:t xml:space="preserve"> </w:t>
      </w:r>
      <w:r>
        <w:t xml:space="preserve">correlation (R) between the transcript and the trait.</w:t>
      </w:r>
    </w:p>
    <w:bookmarkEnd w:id="39"/>
    <w:bookmarkStart w:id="45" w:name="high-dimensional-mediation-analysis"/>
    <w:p>
      <w:pPr>
        <w:pStyle w:val="Heading2"/>
      </w:pPr>
      <w:r>
        <w:t xml:space="preserve">High-dimensional mediation</w:t>
      </w:r>
      <w:r>
        <w:t xml:space="preserve"> </w:t>
      </w:r>
      <w:r>
        <w:t xml:space="preserve">analysis</w:t>
      </w:r>
    </w:p>
    <w:p>
      <w:pPr>
        <w:pStyle w:val="FirstParagraph"/>
      </w:pPr>
      <w:r>
        <w:t xml:space="preserve">Here we derive the objective function for high-dimensional mediation</w:t>
      </w:r>
      <w:r>
        <w:t xml:space="preserve"> </w:t>
      </w:r>
      <w:r>
        <w:t xml:space="preserve">analysis (HDMA) and present an iterative algorithm to optimize this</w:t>
      </w:r>
      <w:r>
        <w:t xml:space="preserve"> </w:t>
      </w:r>
      <w:r>
        <w:t xml:space="preserve">objective function. Our starting point is the univariate case, where we</w:t>
      </w:r>
      <w:r>
        <w:t xml:space="preserve"> </w:t>
      </w:r>
      <w:r>
        <w:t xml:space="preserve">describe perfect mediation as a constraint on the covariance matrix</w:t>
      </w:r>
      <w:r>
        <w:t xml:space="preserve"> </w:t>
      </w:r>
      <w:r>
        <w:t xml:space="preserve">among variables. We then leverage this constraint to define projections</w:t>
      </w:r>
      <w:r>
        <w:t xml:space="preserve"> </w:t>
      </w:r>
      <w:r>
        <w:t xml:space="preserve">of multivariate data that are maximally consistent with perfect</w:t>
      </w:r>
      <w:r>
        <w:t xml:space="preserve"> </w:t>
      </w:r>
      <w:r>
        <w:t xml:space="preserve">mediation (HDMA). Next, we demonstrate how to</w:t>
      </w:r>
      <w:r>
        <w:t xml:space="preserve"> </w:t>
      </w:r>
      <w:r>
        <w:rPr>
          <w:iCs/>
          <w:i/>
        </w:rPr>
        <w:t xml:space="preserve">kernelize</w:t>
      </w:r>
      <w:r>
        <w:t xml:space="preserve"> </w:t>
      </w:r>
      <w:r>
        <w:t xml:space="preserve">HDMA to</w:t>
      </w:r>
      <w:r>
        <w:t xml:space="preserve"> </w:t>
      </w:r>
      <w:r>
        <w:t xml:space="preserve">limit dimensionality of the model and enable non-linear HDMA models.</w:t>
      </w:r>
      <w:r>
        <w:t xml:space="preserve"> </w:t>
      </w:r>
      <w:r>
        <w:t xml:space="preserve">Finally, we discuss the connection between HDMA and related</w:t>
      </w:r>
      <w:r>
        <w:t xml:space="preserve"> </w:t>
      </w:r>
      <w:r>
        <w:rPr>
          <w:iCs/>
          <w:i/>
        </w:rPr>
        <w:t xml:space="preserve">multiblock</w:t>
      </w:r>
      <w:r>
        <w:t xml:space="preserve"> </w:t>
      </w:r>
      <w:r>
        <w:t xml:space="preserve">methods, including canonical correlation analysis</w:t>
      </w:r>
      <w:r>
        <w:t xml:space="preserve"> </w:t>
      </w:r>
      <w:r>
        <w:t xml:space="preserve">(CCA) and partial least squares path modeling (PLS-PM).</w:t>
      </w:r>
    </w:p>
    <w:bookmarkStart w:id="40" w:name="X7bf8ecac34e1d30c55e5b28a26cd6cbf4061843"/>
    <w:p>
      <w:pPr>
        <w:pStyle w:val="Heading3"/>
      </w:pPr>
      <w:r>
        <w:t xml:space="preserve">Perfect mediation as a constraint on covariance</w:t>
      </w:r>
      <w:r>
        <w:t xml:space="preserve"> </w:t>
      </w:r>
      <w:r>
        <w:t xml:space="preserve">matrices</w:t>
      </w:r>
    </w:p>
    <w:p>
      <w:pPr>
        <w:pStyle w:val="FirstParagraph"/>
      </w:pPr>
      <w:r>
        <w:t xml:space="preserve">Suppose we have three random variables</w:t>
      </w:r>
      <w:r>
        <w:t xml:space="preserve"> </w:t>
      </w:r>
      <m:oMath>
        <m:r>
          <m:t>x</m:t>
        </m:r>
      </m:oMath>
      <w:r>
        <w:t xml:space="preserve">,</w:t>
      </w:r>
      <w:r>
        <w:t xml:space="preserve"> </w:t>
      </w:r>
      <m:oMath>
        <m:r>
          <m:t>m</m:t>
        </m:r>
      </m:oMath>
      <w:r>
        <w:t xml:space="preserve">, and</w:t>
      </w:r>
      <w:r>
        <w:t xml:space="preserve"> </w:t>
      </w:r>
      <m:oMath>
        <m:r>
          <m:t>y</m:t>
        </m:r>
      </m:oMath>
      <w:r>
        <w:t xml:space="preserve">. Assume</w:t>
      </w:r>
      <w:r>
        <w:t xml:space="preserve"> </w:t>
      </w:r>
      <w:r>
        <w:t xml:space="preserve">they each have unit variance and that they satisfy the following</w:t>
      </w:r>
      <w:r>
        <w:t xml:space="preserve"> </w:t>
      </w:r>
      <w:r>
        <w:t xml:space="preserve">structural equation model (SEM) such that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perfectly mediates the</w:t>
      </w:r>
      <w:r>
        <w:t xml:space="preserve"> </w:t>
      </w:r>
      <w:r>
        <w:t xml:space="preserve">effect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on</w:t>
      </w:r>
      <w:r>
        <w:t xml:space="preserve"> </w:t>
      </w:r>
      <m:oMath>
        <m:r>
          <m:t>y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m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α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ϵ</m:t>
                    </m:r>
                  </m:e>
                  <m:sub>
                    <m:r>
                      <m:t>m</m:t>
                    </m:r>
                  </m:sub>
                </m:sSub>
              </m:e>
            </m:mr>
            <m:mr>
              <m:e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β</m:t>
                </m:r>
                <m:r>
                  <m:t>m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ϵ</m:t>
                    </m:r>
                  </m:e>
                  <m:sub>
                    <m:r>
                      <m:t>y</m:t>
                    </m:r>
                  </m:sub>
                </m:sSub>
              </m:e>
            </m:mr>
          </m:m>
        </m:oMath>
      </m:oMathPara>
    </w:p>
    <w:p>
      <w:pPr>
        <w:pStyle w:val="FirstParagraph"/>
      </w:pPr>
      <w:r>
        <w:t xml:space="preserve">From these structural equations, we have the</w:t>
      </w:r>
      <w:r>
        <w:t xml:space="preserve"> </w:t>
      </w:r>
      <w:r>
        <w:rPr>
          <w:iCs/>
          <w:i/>
        </w:rPr>
        <w:t xml:space="preserve">model-implied covariance</w:t>
      </w:r>
      <w:r>
        <w:rPr>
          <w:iCs/>
          <w:i/>
        </w:rPr>
        <w:t xml:space="preserve"> </w:t>
      </w:r>
      <w:r>
        <w:rPr>
          <w:iCs/>
          <w:i/>
        </w:rPr>
        <w:t xml:space="preserve">matrix</w:t>
      </w:r>
      <w:r>
        <w:t xml:space="preserve">,</w:t>
      </w:r>
      <w:r>
        <w:t xml:space="preserve"> </w:t>
      </w:r>
      <m:oMath>
        <m:r>
          <m:t>S</m:t>
        </m:r>
      </m:oMath>
      <w:r>
        <w:t xml:space="preserve">, given by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S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α</m:t>
                          </m:r>
                        </m:e>
                        <m:e>
                          <m:r>
                            <m:t>α</m:t>
                          </m:r>
                          <m:r>
                            <m:t>β</m:t>
                          </m:r>
                        </m:e>
                      </m:mr>
                      <m:mr>
                        <m:e>
                          <m:r>
                            <m:t>α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β</m:t>
                          </m:r>
                        </m:e>
                      </m:mr>
                      <m:mr>
                        <m:e>
                          <m:r>
                            <m:t>α</m:t>
                          </m:r>
                          <m:r>
                            <m:t>β</m:t>
                          </m:r>
                        </m:e>
                        <m:e>
                          <m:r>
                            <m:t>β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Note that the assumption of perfect mediation forces the covariance</w:t>
      </w:r>
      <w:r>
        <w:t xml:space="preserve"> </w:t>
      </w:r>
      <w:r>
        <w:t xml:space="preserve">between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to be</w:t>
      </w:r>
      <w:r>
        <w:t xml:space="preserve"> </w:t>
      </w:r>
      <m:oMath>
        <m:r>
          <m:t>α</m:t>
        </m:r>
        <m:r>
          <m:t>β</m:t>
        </m:r>
      </m:oMath>
      <w:r>
        <w:t xml:space="preserve">. In any finite data set,</w:t>
      </w:r>
      <w:r>
        <w:t xml:space="preserve"> </w:t>
      </w:r>
      <w:r>
        <w:t xml:space="preserve">however, the observed covariance matrix,</w:t>
      </w:r>
      <w:r>
        <w:t xml:space="preserve"> </w:t>
      </w:r>
      <m:oMath>
        <m:r>
          <m:t>Σ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sSub>
              <m:e>
                <m:r>
                  <m:t>Σ</m:t>
                </m:r>
              </m:e>
              <m:sub>
                <m:r>
                  <m:t>i</m:t>
                </m:r>
                <m:r>
                  <m:t>j</m:t>
                </m:r>
              </m:sub>
            </m:sSub>
          </m:e>
        </m:d>
      </m:oMath>
      <w:r>
        <w:t xml:space="preserve">,</w:t>
      </w:r>
      <w:r>
        <w:t xml:space="preserve"> </w:t>
      </w:r>
      <w:r>
        <w:t xml:space="preserve">will not typically satisfy this constraint.</w:t>
      </w:r>
    </w:p>
    <w:p>
      <w:pPr>
        <w:pStyle w:val="BodyText"/>
      </w:pPr>
      <w:r>
        <w:t xml:space="preserve">The general log-likelihood function for an SEM is given by</w:t>
      </w:r>
    </w:p>
    <w:p>
      <w:pPr>
        <w:pStyle w:val="BodyText"/>
      </w:pPr>
      <w:r>
        <w:t xml:space="preserve">$$\begin{aligned}
\label{eq:loglikelihood}
    L = -\log\left|S\right| - {\rm tr}\left(\Sigma S^{-1}\right),
\end{aligned}$$</w:t>
      </w:r>
    </w:p>
    <w:p>
      <w:pPr>
        <w:pStyle w:val="FirstParagraph"/>
      </w:pPr>
      <w:r>
        <w:t xml:space="preserve">where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p"/>
              </m:rPr>
              <m:t>⋅</m:t>
            </m:r>
          </m:e>
        </m:d>
      </m:oMath>
      <w:r>
        <w:t xml:space="preserve"> </w:t>
      </w:r>
      <w:r>
        <w:t xml:space="preserve">denotes the determinant of a matrix and</w:t>
      </w:r>
      <w:r>
        <w:t xml:space="preserve"> </w:t>
      </w:r>
      <w:r>
        <w:t xml:space="preserve">${\rm tr}(\cdot)$</w:t>
      </w:r>
      <w:r>
        <w:t xml:space="preserve"> </w:t>
      </w:r>
      <w:r>
        <w:t xml:space="preserve">denotes the trace. For the perfect-mediation model,</w:t>
      </w:r>
      <w:r>
        <w:t xml:space="preserve"> </w:t>
      </w:r>
      <w:r>
        <w:t xml:space="preserve">these values are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|"/>
                    <m:endChr m:val="|"/>
                    <m:sepChr m:val=""/>
                    <m:grow/>
                  </m:dPr>
                  <m:e>
                    <m:r>
                      <m:t>S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sSup>
                      <m:e>
                        <m:r>
                          <m:t>α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sSup>
                      <m:e>
                        <m:r>
                          <m:t>β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</m:e>
            </m:mr>
            <m:mr>
              <m:e>
                <m:sSup>
                  <m:e>
                    <m:r>
                      <m:t>S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/</m:t>
                          </m:r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1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sSup>
                                <m:e>
                                  <m:r>
                                    <m:t>α</m:t>
                                  </m:r>
                                </m:e>
                                <m:sup>
                                  <m: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e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α</m:t>
                          </m:r>
                          <m:r>
                            <m:rPr>
                              <m:sty m:val="p"/>
                            </m:rPr>
                            <m:t>/</m:t>
                          </m:r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1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sSup>
                                <m:e>
                                  <m:r>
                                    <m:t>α</m:t>
                                  </m:r>
                                </m:e>
                                <m:sup>
                                  <m: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e>
                          <m: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α</m:t>
                          </m:r>
                          <m:r>
                            <m:rPr>
                              <m:sty m:val="p"/>
                            </m:rPr>
                            <m:t>/</m:t>
                          </m:r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1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sSup>
                                <m:e>
                                  <m:r>
                                    <m:t>α</m:t>
                                  </m:r>
                                </m:e>
                                <m:sup>
                                  <m: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e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1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sSup>
                                <m:e>
                                  <m:r>
                                    <m:t>α</m:t>
                                  </m:r>
                                </m:e>
                                <m:sup>
                                  <m:r>
                                    <m:t>2</m:t>
                                  </m:r>
                                </m:sup>
                              </m:sSup>
                              <m:sSup>
                                <m:e>
                                  <m:r>
                                    <m:t>β</m:t>
                                  </m:r>
                                </m:e>
                                <m:sup>
                                  <m:r>
                                    <m:t>2</m:t>
                                  </m:r>
                                </m:sup>
                              </m:sSup>
                            </m:e>
                          </m:d>
                          <m:r>
                            <m:rPr>
                              <m:sty m:val="p"/>
                            </m:rPr>
                            <m:t>/</m:t>
                          </m:r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d>
                                <m:dPr>
                                  <m:begChr m:val="("/>
                                  <m:endChr m:val=")"/>
                                  <m:sepChr m:val=""/>
                                  <m:grow/>
                                </m:dPr>
                                <m:e>
                                  <m: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m:t>−</m:t>
                                  </m:r>
                                  <m:sSup>
                                    <m:e>
                                      <m:r>
                                        <m:t>α</m:t>
                                      </m:r>
                                    </m:e>
                                    <m:sup>
                                      <m: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  <m:d>
                                <m:dPr>
                                  <m:begChr m:val="("/>
                                  <m:endChr m:val=")"/>
                                  <m:sepChr m:val=""/>
                                  <m:grow/>
                                </m:dPr>
                                <m:e>
                                  <m: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m:t>−</m:t>
                                  </m:r>
                                  <m:sSup>
                                    <m:e>
                                      <m:r>
                                        <m:t>β</m:t>
                                      </m:r>
                                    </m:e>
                                    <m:sup>
                                      <m: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e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β</m:t>
                          </m:r>
                          <m:r>
                            <m:rPr>
                              <m:sty m:val="p"/>
                            </m:rPr>
                            <m:t>/</m:t>
                          </m:r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1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sSup>
                                <m:e>
                                  <m:r>
                                    <m:t>β</m:t>
                                  </m:r>
                                </m:e>
                                <m:sup>
                                  <m: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β</m:t>
                          </m:r>
                          <m:r>
                            <m:rPr>
                              <m:sty m:val="p"/>
                            </m:rPr>
                            <m:t>/</m:t>
                          </m:r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1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sSup>
                                <m:e>
                                  <m:r>
                                    <m:t>β</m:t>
                                  </m:r>
                                </m:e>
                                <m:sup>
                                  <m: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/</m:t>
                          </m:r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1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sSup>
                                <m:e>
                                  <m:r>
                                    <m:t>β</m:t>
                                  </m:r>
                                </m:e>
                                <m:sup>
                                  <m: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Plugging these into the likelihood function, we get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L</m:t>
                </m:r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log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sSup>
                          <m:e>
                            <m:r>
                              <m:t>α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sSup>
                          <m:e>
                            <m:r>
                              <m:t>β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</m:e>
                    </m:d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2</m:t>
                    </m:r>
                    <m:sSup>
                      <m:e>
                        <m:r>
                          <m:t>α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sSup>
                      <m:e>
                        <m:r>
                          <m:t>β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sSup>
                          <m:e>
                            <m:r>
                              <m:t>α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sSup>
                          <m:e>
                            <m:r>
                              <m:t>β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</m:e>
                    </m:d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2</m:t>
                    </m:r>
                    <m:r>
                      <m:t>α</m:t>
                    </m:r>
                  </m:num>
                  <m:den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sSup>
                      <m:e>
                        <m:r>
                          <m:t>α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sSub>
                  <m:e>
                    <m:r>
                      <m:t>Σ</m:t>
                    </m:r>
                  </m:e>
                  <m:sub>
                    <m:r>
                      <m:t>12</m:t>
                    </m:r>
                  </m:sub>
                </m:sSub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2</m:t>
                    </m:r>
                    <m:r>
                      <m:t>β</m:t>
                    </m:r>
                  </m:num>
                  <m:den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sSup>
                      <m:e>
                        <m:r>
                          <m:t>β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sSub>
                  <m:e>
                    <m:r>
                      <m:t>Σ</m:t>
                    </m:r>
                  </m:e>
                  <m:sub>
                    <m:r>
                      <m:t>23</m:t>
                    </m:r>
                  </m:sub>
                </m:sSub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mr>
          </m:m>
        </m:oMath>
      </m:oMathPara>
    </w:p>
    <w:p>
      <w:pPr>
        <w:pStyle w:val="FirstParagraph"/>
      </w:pPr>
      <w:r>
        <w:t xml:space="preserve">To simplify notation, we define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α</m:t>
              </m:r>
              <m:r>
                <m:rPr>
                  <m:sty m:val="p"/>
                </m:rPr>
                <m:t>,</m:t>
              </m:r>
              <m:r>
                <m:t>β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rPr>
              <m:sty m:val="p"/>
            </m:rPr>
            <m:t>log</m:t>
          </m:r>
          <m:d>
            <m:dPr>
              <m:begChr m:val="("/>
              <m:endChr m:val=")"/>
              <m:sepChr m:val=""/>
              <m:grow/>
            </m:dPr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α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β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d>
            </m:e>
          </m:d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  <m:sSup>
                <m:e>
                  <m:r>
                    <m:t>α</m:t>
                  </m:r>
                </m:e>
                <m:sup>
                  <m:r>
                    <m:t>2</m:t>
                  </m:r>
                </m:sup>
              </m:sSup>
              <m:sSup>
                <m:e>
                  <m:r>
                    <m:t>β</m:t>
                  </m:r>
                </m:e>
                <m:sup>
                  <m:r>
                    <m:t>2</m:t>
                  </m:r>
                </m:sup>
              </m:sSup>
            </m:num>
            <m:den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α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β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d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  <m:r>
                <m:t>β</m:t>
              </m:r>
            </m:num>
            <m:den>
              <m:r>
                <m:t>1</m:t>
              </m:r>
              <m:r>
                <m:rPr>
                  <m:sty m:val="p"/>
                </m:rPr>
                <m:t>−</m:t>
              </m:r>
              <m:sSup>
                <m:e>
                  <m:r>
                    <m:t>β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so, the likelihood function is now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L</m:t>
                </m:r>
                <m:r>
                  <m:rPr>
                    <m:sty m:val="p"/>
                  </m:rPr>
                  <m:t>=</m:t>
                </m:r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α</m:t>
                    </m:r>
                    <m:r>
                      <m:rPr>
                        <m:sty m:val="p"/>
                      </m:rPr>
                      <m:t>,</m:t>
                    </m:r>
                    <m:r>
                      <m:t>β</m:t>
                    </m:r>
                  </m:e>
                </m:d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2</m:t>
                    </m:r>
                    <m:r>
                      <m:t>α</m:t>
                    </m:r>
                  </m:num>
                  <m:den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sSup>
                      <m:e>
                        <m:r>
                          <m:t>α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sSub>
                  <m:e>
                    <m:r>
                      <m:t>Σ</m:t>
                    </m:r>
                  </m:e>
                  <m:sub>
                    <m:r>
                      <m:t>12</m:t>
                    </m:r>
                  </m:sub>
                </m:sSub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2</m:t>
                    </m:r>
                    <m:r>
                      <m:t>β</m:t>
                    </m:r>
                  </m:num>
                  <m:den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sSup>
                      <m:e>
                        <m:r>
                          <m:t>β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sSub>
                  <m:e>
                    <m:r>
                      <m:t>Σ</m:t>
                    </m:r>
                  </m:e>
                  <m:sub>
                    <m:r>
                      <m:t>23</m:t>
                    </m:r>
                  </m:sub>
                </m:sSub>
              </m:e>
            </m:mr>
          </m:m>
        </m:oMath>
      </m:oMathPara>
    </w:p>
    <w:p>
      <w:pPr>
        <w:pStyle w:val="FirstParagraph"/>
      </w:pPr>
      <w:r>
        <w:t xml:space="preserve">This likelihood is maximized by fitting regression coefficients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between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,</w:t>
      </w:r>
      <w:r>
        <w:t xml:space="preserve"> </w:t>
      </w:r>
      <w:r>
        <w:t xml:space="preserve">respectively.</w:t>
      </w:r>
    </w:p>
    <w:bookmarkEnd w:id="40"/>
    <w:bookmarkStart w:id="41" w:name="X91aebd6c80c878926ba0b923914207231c8d6f7"/>
    <w:p>
      <w:pPr>
        <w:pStyle w:val="Heading3"/>
      </w:pPr>
      <w:r>
        <w:t xml:space="preserve">Projecting multivariate data to identify latent</w:t>
      </w:r>
      <w:r>
        <w:t xml:space="preserve"> </w:t>
      </w:r>
      <w:r>
        <w:t xml:space="preserve">mediators</w:t>
      </w:r>
    </w:p>
    <w:p>
      <w:pPr>
        <w:pStyle w:val="FirstParagraph"/>
      </w:pPr>
      <w:r>
        <w:t xml:space="preserve">Suppose now that we have three data matrices,</w:t>
      </w:r>
      <w:r>
        <w:t xml:space="preserve"> </w:t>
      </w:r>
      <m:oMath>
        <m:r>
          <m:t>X</m:t>
        </m:r>
      </m:oMath>
      <w:r>
        <w:t xml:space="preserve">,</w:t>
      </w:r>
      <w:r>
        <w:t xml:space="preserve"> </w:t>
      </w:r>
      <m:oMath>
        <m:r>
          <m:t>M</m:t>
        </m:r>
      </m:oMath>
      <w:r>
        <w:t xml:space="preserve">, 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(individuals by variables) that are mean centered by column. The central</w:t>
      </w:r>
      <w:r>
        <w:t xml:space="preserve"> </w:t>
      </w:r>
      <w:r>
        <w:t xml:space="preserve">assumption of HDMA is that these multivariate data encode</w:t>
      </w:r>
      <w:r>
        <w:t xml:space="preserve"> </w:t>
      </w:r>
      <w:r>
        <w:rPr>
          <w:iCs/>
          <w:i/>
        </w:rPr>
        <w:t xml:space="preserve">latent variables</w:t>
      </w:r>
      <w:r>
        <w:t xml:space="preserve"> </w:t>
      </w:r>
      <w:r>
        <w:t xml:space="preserve">that are causally linked according to the</w:t>
      </w:r>
      <w:r>
        <w:t xml:space="preserve"> </w:t>
      </w:r>
      <w:r>
        <w:t xml:space="preserve">perfect-mediation model, in a sense made precise as follows.</w:t>
      </w:r>
    </w:p>
    <w:p>
      <w:pPr>
        <w:pStyle w:val="BodyText"/>
      </w:pPr>
      <w:r>
        <w:t xml:space="preserve">We use the log-likelihood function (Eqn.</w:t>
      </w:r>
      <w:r>
        <w:t xml:space="preserve"> </w:t>
      </w:r>
      <w:hyperlink w:anchor="eqn:mediation_loglikelihood">
        <w:r>
          <w:rPr>
            <w:rStyle w:val="Hyperlink"/>
          </w:rPr>
          <w:t xml:space="preserve">[eqn:mediation_loglikelihood]</w:t>
        </w:r>
      </w:hyperlink>
      <w:r>
        <w:t xml:space="preserve">) of the perfect mediation model as an</w:t>
      </w:r>
      <w:r>
        <w:t xml:space="preserve"> </w:t>
      </w:r>
      <w:r>
        <w:t xml:space="preserve">objective function to identify latent variables,</w:t>
      </w:r>
      <w:r>
        <w:t xml:space="preserve"> </w:t>
      </w:r>
      <m:oMath>
        <m:sSub>
          <m:e>
            <m:r>
              <m:t>l</m:t>
            </m:r>
          </m:e>
          <m:sub>
            <m:r>
              <m:t>X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l</m:t>
            </m:r>
          </m:e>
          <m:sub>
            <m:r>
              <m:t>M</m:t>
            </m:r>
          </m:sub>
        </m:sSub>
      </m:oMath>
      <w:r>
        <w:t xml:space="preserve">, and</w:t>
      </w:r>
      <w:r>
        <w:t xml:space="preserve"> </w:t>
      </w:r>
      <m:oMath>
        <m:sSub>
          <m:e>
            <m:r>
              <m:t>l</m:t>
            </m:r>
          </m:e>
          <m:sub>
            <m:r>
              <m:t>Y</m:t>
            </m:r>
          </m:sub>
        </m:sSub>
      </m:oMath>
      <w:r>
        <w:t xml:space="preserve">, that are are correlated as closely as possible to the</w:t>
      </w:r>
      <w:r>
        <w:t xml:space="preserve"> </w:t>
      </w:r>
      <w:r>
        <w:t xml:space="preserve">constraints of the perfect mediation model, Eqn.</w:t>
      </w:r>
      <w:r>
        <w:t xml:space="preserve"> </w:t>
      </w:r>
      <w:r>
        <w:t xml:space="preserve">(</w:t>
      </w:r>
      <w:hyperlink w:anchor="eqn:model_implied_covariance">
        <w:r>
          <w:rPr>
            <w:rStyle w:val="Hyperlink"/>
          </w:rPr>
          <w:t xml:space="preserve">[eqn:model_implied_covariance]</w:t>
        </w:r>
      </w:hyperlink>
      <w:r>
        <w:t xml:space="preserve">). We estimate these latent variables</w:t>
      </w:r>
      <w:r>
        <w:t xml:space="preserve"> </w:t>
      </w:r>
      <w:r>
        <w:t xml:space="preserve">as linear combinations of the measured variables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l</m:t>
                    </m:r>
                  </m:e>
                  <m:sub>
                    <m:r>
                      <m:t>X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t>X</m:t>
                </m:r>
                <m:r>
                  <m:t>a</m:t>
                </m:r>
              </m:e>
            </m:mr>
            <m:mr>
              <m:e>
                <m:sSub>
                  <m:e>
                    <m:r>
                      <m:t>l</m:t>
                    </m:r>
                  </m:e>
                  <m:sub>
                    <m:r>
                      <m:t>M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t>M</m:t>
                </m:r>
                <m:r>
                  <m:t>b</m:t>
                </m:r>
              </m:e>
            </m:mr>
            <m:mr>
              <m:e>
                <m:sSub>
                  <m:e>
                    <m:r>
                      <m:t>l</m:t>
                    </m:r>
                  </m:e>
                  <m:sub>
                    <m:r>
                      <m:t>Y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t>Y</m:t>
                </m:r>
                <m:r>
                  <m:t>c</m:t>
                </m:r>
              </m:e>
            </m:mr>
          </m:m>
        </m:oMath>
      </m:oMathPara>
    </w:p>
    <w:p>
      <w:pPr>
        <w:pStyle w:val="FirstParagraph"/>
      </w:pPr>
      <w:r>
        <w:t xml:space="preserve">The coefficient vectors</w:t>
      </w:r>
      <w:r>
        <w:t xml:space="preserve"> </w:t>
      </w:r>
      <m:oMath>
        <m:r>
          <m:t>a</m:t>
        </m:r>
      </m:oMath>
      <w:r>
        <w:t xml:space="preserve">,</w:t>
      </w:r>
      <w:r>
        <w:t xml:space="preserve"> </w:t>
      </w:r>
      <m:oMath>
        <m:r>
          <m:t>b</m:t>
        </m:r>
      </m:oMath>
      <w:r>
        <w:t xml:space="preserve">, and</w:t>
      </w:r>
      <w:r>
        <w:t xml:space="preserve"> </w:t>
      </w:r>
      <m:oMath>
        <m:r>
          <m:t>c</m:t>
        </m:r>
      </m:oMath>
      <w:r>
        <w:t xml:space="preserve">, are called</w:t>
      </w:r>
      <w:r>
        <w:t xml:space="preserve"> </w:t>
      </w:r>
      <w:r>
        <w:rPr>
          <w:iCs/>
          <w:i/>
        </w:rPr>
        <w:t xml:space="preserve">loadings</w:t>
      </w:r>
      <w:r>
        <w:t xml:space="preserve">, analogous to the terminology in PCA and CCA. Because</w:t>
      </w:r>
      <w:r>
        <w:t xml:space="preserve"> </w:t>
      </w:r>
      <w:r>
        <w:t xml:space="preserve">the data matrices are mean centered, we have</w:t>
      </w:r>
    </w:p>
    <w:p>
      <w:pPr>
        <w:pStyle w:val="BodyText"/>
      </w:pPr>
      <w:r>
        <w:t xml:space="preserve">$${\rm mean}(l_X) = {\rm mean}(l_M) = {\rm mean}(l_Y) = 0,$$</w:t>
      </w:r>
    </w:p>
    <w:p>
      <w:pPr>
        <w:pStyle w:val="FirstParagraph"/>
      </w:pPr>
      <w:r>
        <w:t xml:space="preserve">and we assume the loadings are scaled so that each latent variable has</w:t>
      </w:r>
      <w:r>
        <w:t xml:space="preserve"> </w:t>
      </w:r>
      <w:r>
        <w:t xml:space="preserve">unit variance</w:t>
      </w:r>
    </w:p>
    <w:p>
      <w:pPr>
        <w:pStyle w:val="BodyText"/>
      </w:pPr>
      <w:r>
        <w:t xml:space="preserve">$${\rm var}(l_X) = {\rm var}(l_M) = {\rm var}(l_Y) = 1.$$</w:t>
      </w:r>
    </w:p>
    <w:p>
      <w:pPr>
        <w:pStyle w:val="FirstParagraph"/>
      </w:pPr>
      <w:r>
        <w:t xml:space="preserve">Plugging these formulae into the objective function (Eqn.</w:t>
      </w:r>
      <w:r>
        <w:t xml:space="preserve"> </w:t>
      </w:r>
      <w:hyperlink w:anchor="eqn:mediation_loglikelihood_simple">
        <w:r>
          <w:rPr>
            <w:rStyle w:val="Hyperlink"/>
          </w:rPr>
          <w:t xml:space="preserve">[eqn:mediation_loglikelihood_simple]</w:t>
        </w:r>
      </w:hyperlink>
      <w:r>
        <w:t xml:space="preserve">), we have</w:t>
      </w:r>
    </w:p>
    <w:p>
      <w:pPr>
        <w:pStyle w:val="BodyText"/>
      </w:pPr>
      <w:r>
        <w:t xml:space="preserve">$$\begin{aligned}
    \Sigma_{12} &amp;= {\rm corr}\left(l_X, l_M\right)\\
    \Sigma_{23} &amp;= {\rm corr}\left(l_M, l_Y\right)\\
    \label{eqn:gcca_mediation}
    L(\alpha, \beta, a,b,c) &amp;= F(\alpha, \beta) + \frac{2\alpha}{1-\alpha^2} {\rm corr}\left(l_X, l_M\right) + \frac{2\beta}{1-\beta^2} {\rm corr}\left(l_M, l_Y\right) \\ 
    &amp;= F(\alpha, \beta) + \frac{2\alpha}{1-\alpha^2} {\rm corr}\left(Xa, Mb\right) + \frac{2\beta}{1-\beta^2} {\rm corr}\left(Mb, Yc\right)
\end{aligned}$$</w:t>
      </w:r>
    </w:p>
    <w:p>
      <w:pPr>
        <w:pStyle w:val="FirstParagraph"/>
      </w:pPr>
      <w:r>
        <w:t xml:space="preserve">This yields an objective function of two sets of parameters: the</w:t>
      </w:r>
      <w:r>
        <w:t xml:space="preserve"> </w:t>
      </w:r>
      <w:r>
        <w:rPr>
          <w:iCs/>
          <w:i/>
        </w:rPr>
        <w:t xml:space="preserve">structural parameters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that define the</w:t>
      </w:r>
      <w:r>
        <w:t xml:space="preserve"> </w:t>
      </w:r>
      <w:r>
        <w:t xml:space="preserve">causal model among latent variables, and the loading vectors</w:t>
      </w:r>
      <w:r>
        <w:t xml:space="preserve"> </w:t>
      </w:r>
      <m:oMath>
        <m:r>
          <m:t>a</m:t>
        </m:r>
      </m:oMath>
      <w:r>
        <w:t xml:space="preserve">,</w:t>
      </w:r>
      <w:r>
        <w:t xml:space="preserve"> </w:t>
      </w:r>
      <m:oMath>
        <m:r>
          <m:t>b</m:t>
        </m:r>
      </m:oMath>
      <w:r>
        <w:t xml:space="preserve">, and</w:t>
      </w:r>
      <w:r>
        <w:t xml:space="preserve"> </w:t>
      </w:r>
      <m:oMath>
        <m:r>
          <m:t>c</m:t>
        </m:r>
      </m:oMath>
      <w:r>
        <w:t xml:space="preserve">, that define the latent variables in terms of the</w:t>
      </w:r>
      <w:r>
        <w:t xml:space="preserve"> </w:t>
      </w:r>
      <w:r>
        <w:t xml:space="preserve">measured variables. The goal of HDMA is to optimize</w:t>
      </w:r>
      <w:r>
        <w:t xml:space="preserve"> </w:t>
      </w:r>
      <m:oMath>
        <m:r>
          <m:t>L</m:t>
        </m:r>
      </m:oMath>
      <w:r>
        <w:t xml:space="preserve"> </w:t>
      </w:r>
      <w:r>
        <w:t xml:space="preserve">as a function</w:t>
      </w:r>
      <w:r>
        <w:t xml:space="preserve"> </w:t>
      </w:r>
      <w:r>
        <w:t xml:space="preserve">of all parameters simultaneously. The form of the objective function,</w:t>
      </w:r>
      <w:r>
        <w:t xml:space="preserve"> </w:t>
      </w:r>
      <w:r>
        <w:t xml:space="preserve">Eqn.</w:t>
      </w:r>
      <w:r>
        <w:t xml:space="preserve"> </w:t>
      </w:r>
      <w:hyperlink w:anchor="eqn:gcca_mediation">
        <w:r>
          <w:rPr>
            <w:rStyle w:val="Hyperlink"/>
          </w:rPr>
          <w:t xml:space="preserve">[eqn:gcca_mediation]</w:t>
        </w:r>
      </w:hyperlink>
      <w:r>
        <w:t xml:space="preserve">, is effectively a weighted sum of</w:t>
      </w:r>
      <w:r>
        <w:t xml:space="preserve"> </w:t>
      </w:r>
      <w:r>
        <w:t xml:space="preserve">correlation coefficients, connecting it to so-called</w:t>
      </w:r>
      <w:r>
        <w:t xml:space="preserve"> </w:t>
      </w:r>
      <w:r>
        <w:rPr>
          <w:iCs/>
          <w:i/>
        </w:rPr>
        <w:t xml:space="preserve">sum-of-correlation</w:t>
      </w:r>
      <w:r>
        <w:t xml:space="preserve">, or SUMCOR, optimization problems</w:t>
      </w:r>
      <w:r>
        <w:t xml:space="preserve"> </w:t>
      </w:r>
      <w:r>
        <w:t xml:space="preserve">[</w:t>
      </w:r>
      <w:r>
        <w:t xml:space="preserve">REF</w:t>
      </w:r>
      <w:r>
        <w:t xml:space="preserve">]</w:t>
      </w:r>
      <w:r>
        <w:t xml:space="preserve">,</w:t>
      </w:r>
      <w:r>
        <w:t xml:space="preserve"> </w:t>
      </w:r>
      <w:r>
        <w:t xml:space="preserve">which we discuss further below.</w:t>
      </w:r>
    </w:p>
    <w:bookmarkEnd w:id="41"/>
    <w:bookmarkStart w:id="42" w:name="an-algorithm-for-hdma"/>
    <w:p>
      <w:pPr>
        <w:pStyle w:val="Heading3"/>
      </w:pPr>
      <w:r>
        <w:t xml:space="preserve">An algorithm for HDMA</w:t>
      </w:r>
    </w:p>
    <w:p>
      <w:pPr>
        <w:pStyle w:val="FirstParagraph"/>
      </w:pPr>
      <w:r>
        <w:t xml:space="preserve">The global optimization of</w:t>
      </w:r>
      <w:r>
        <w:t xml:space="preserve"> </w:t>
      </w:r>
      <w:hyperlink w:anchor="eqn:gcca_mediation">
        <w:r>
          <w:rPr>
            <w:rStyle w:val="Hyperlink"/>
          </w:rPr>
          <w:t xml:space="preserve">[eqn:gcca_mediation]</w:t>
        </w:r>
      </w:hyperlink>
      <w:r>
        <w:t xml:space="preserve"> </w:t>
      </w:r>
      <w:r>
        <w:t xml:space="preserve">is challenging</w:t>
      </w:r>
      <w:r>
        <w:t xml:space="preserve"> </w:t>
      </w:r>
      <w:r>
        <w:t xml:space="preserve">because it is not a convex problem. However, the decomposition of the</w:t>
      </w:r>
      <w:r>
        <w:t xml:space="preserve"> </w:t>
      </w:r>
      <w:r>
        <w:t xml:space="preserve">variables into structural and loading variables suggests an iterative</w:t>
      </w:r>
      <w:r>
        <w:t xml:space="preserve"> </w:t>
      </w:r>
      <w:r>
        <w:t xml:space="preserve">algorithm, similar to the expectation-maximization algorithm, that</w:t>
      </w:r>
      <w:r>
        <w:t xml:space="preserve"> </w:t>
      </w:r>
      <w:r>
        <w:t xml:space="preserve">converges at least to a stationary point. The overall idea is to use</w:t>
      </w:r>
      <w:r>
        <w:t xml:space="preserve"> </w:t>
      </w:r>
      <w:r>
        <w:t xml:space="preserve">block-coordinate-ascent strategy that iterates between optimizing</w:t>
      </w:r>
      <w:r>
        <w:t xml:space="preserve"> </w:t>
      </w:r>
      <m:oMath>
        <m:r>
          <m:t>a</m:t>
        </m:r>
      </m:oMath>
      <w:r>
        <w:t xml:space="preserve">,</w:t>
      </w:r>
      <w:r>
        <w:t xml:space="preserve"> </w:t>
      </w:r>
      <m:oMath>
        <m:r>
          <m:t>b</m:t>
        </m:r>
      </m:oMath>
      <w:r>
        <w:t xml:space="preserve">, and</w:t>
      </w:r>
      <w:r>
        <w:t xml:space="preserve"> </w:t>
      </w:r>
      <m:oMath>
        <m:r>
          <m:t>c</m:t>
        </m:r>
      </m:oMath>
      <w:r>
        <w:t xml:space="preserve">, then optimizing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</m:oMath>
      <w:r>
        <w:t xml:space="preserve">.</w:t>
      </w:r>
    </w:p>
    <w:p>
      <w:pPr>
        <w:pStyle w:val="BodyText"/>
      </w:pPr>
      <w:r>
        <w:t xml:space="preserve">For fixed</w:t>
      </w:r>
      <w:r>
        <w:t xml:space="preserve"> </w:t>
      </w:r>
      <m:oMath>
        <m:r>
          <m:t>a</m:t>
        </m:r>
      </m:oMath>
      <w:r>
        <w:t xml:space="preserve">,</w:t>
      </w:r>
      <w:r>
        <w:t xml:space="preserve"> </w:t>
      </w:r>
      <m:oMath>
        <m:r>
          <m:t>b</m:t>
        </m:r>
      </m:oMath>
      <w:r>
        <w:t xml:space="preserve">, and</w:t>
      </w:r>
      <w:r>
        <w:t xml:space="preserve"> </w:t>
      </w:r>
      <m:oMath>
        <m:r>
          <m:t>c</m:t>
        </m:r>
      </m:oMath>
      <w:r>
        <w:t xml:space="preserve">, the optimal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are simply given by regression coefficients between</w:t>
      </w:r>
      <w:r>
        <w:t xml:space="preserve"> </w:t>
      </w:r>
      <m:oMath>
        <m:sSub>
          <m:e>
            <m:r>
              <m:t>l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l</m:t>
            </m:r>
          </m:e>
          <m:sub>
            <m:r>
              <m:t>M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l</m:t>
            </m:r>
          </m:e>
          <m:sub>
            <m:r>
              <m:t>M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l</m:t>
            </m:r>
          </m:e>
          <m:sub>
            <m:r>
              <m:t>Y</m:t>
            </m:r>
          </m:sub>
        </m:sSub>
      </m:oMath>
      <w:r>
        <w:t xml:space="preserve">, respectively. Given these regression</w:t>
      </w:r>
      <w:r>
        <w:t xml:space="preserve"> </w:t>
      </w:r>
      <w:r>
        <w:t xml:space="preserve">coefficients,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</m:oMath>
      <w:r>
        <w:t xml:space="preserve">, we then optimize</w:t>
      </w:r>
      <w:r>
        <w:t xml:space="preserve"> </w:t>
      </w:r>
      <m:oMath>
        <m:r>
          <m:t>a</m:t>
        </m:r>
      </m:oMath>
      <w:r>
        <w:t xml:space="preserve">,</w:t>
      </w:r>
      <w:r>
        <w:t xml:space="preserve"> </w:t>
      </w:r>
      <m:oMath>
        <m:r>
          <m:t>b</m:t>
        </m:r>
      </m:oMath>
      <w:r>
        <w:t xml:space="preserve">,</w:t>
      </w:r>
      <w:r>
        <w:t xml:space="preserve"> </w:t>
      </w:r>
      <w:r>
        <w:t xml:space="preserve">and</w:t>
      </w:r>
      <w:r>
        <w:t xml:space="preserve"> </w:t>
      </w:r>
      <m:oMath>
        <m:r>
          <m:t>c</m:t>
        </m:r>
      </m:oMath>
      <w:r>
        <w:t xml:space="preserve">. For fixed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</m:oMath>
      <w:r>
        <w:t xml:space="preserve">, the term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α</m:t>
            </m:r>
            <m:r>
              <m:rPr>
                <m:sty m:val="p"/>
              </m:rPr>
              <m:t>,</m:t>
            </m:r>
            <m:r>
              <m:t>β</m:t>
            </m:r>
          </m:e>
        </m:d>
      </m:oMath>
      <w:r>
        <w:t xml:space="preserve"> </w:t>
      </w:r>
      <w:r>
        <w:t xml:space="preserve">is irrelevant, so our objective function reduces to</w:t>
      </w:r>
    </w:p>
    <w:p>
      <w:pPr>
        <w:pStyle w:val="BodyText"/>
      </w:pPr>
      <w:r>
        <w:t xml:space="preserve">$$\begin{aligned}
        L_{red}(a,b,c) = \frac{2\alpha}{1-\alpha^2} {\rm corr}\left(Xa, Mb\right) + \frac{2\beta}{1-\beta^2} {\rm corr}\left(Mb, Yc\right),
\end{aligned}$$</w:t>
      </w:r>
    </w:p>
    <w:p>
      <w:pPr>
        <w:pStyle w:val="FirstParagraph"/>
      </w:pPr>
      <w:r>
        <w:t xml:space="preserve">which is a weighted sum of correlation coefficients. This is exactly a</w:t>
      </w:r>
      <w:r>
        <w:t xml:space="preserve"> </w:t>
      </w:r>
      <w:r>
        <w:t xml:space="preserve">(weighted) SUMCOR optimization problem</w:t>
      </w:r>
      <w:r>
        <w:t xml:space="preserve"> </w:t>
      </w:r>
      <w:r>
        <w:t xml:space="preserve">[</w:t>
      </w:r>
      <w:r>
        <w:t xml:space="preserve">REF</w:t>
      </w:r>
      <w:r>
        <w:t xml:space="preserve">]</w:t>
      </w:r>
      <w:r>
        <w:t xml:space="preserve">. These optimization</w:t>
      </w:r>
      <w:r>
        <w:t xml:space="preserve"> </w:t>
      </w:r>
      <w:r>
        <w:t xml:space="preserve">problems are still not convex, but Tenenhaus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have</w:t>
      </w:r>
      <w:r>
        <w:t xml:space="preserve"> </w:t>
      </w:r>
      <w:r>
        <w:t xml:space="preserve">recently proved convergence for iterative algorithms that optimize</w:t>
      </w:r>
      <w:r>
        <w:t xml:space="preserve"> </w:t>
      </w:r>
      <w:r>
        <w:t xml:space="preserve">weighted SUMCOR problems</w:t>
      </w:r>
      <w:r>
        <w:t xml:space="preserve"> </w:t>
      </w:r>
      <w:r>
        <w:t xml:space="preserve">[</w:t>
      </w:r>
      <w:r>
        <w:t xml:space="preserve">REF</w:t>
      </w:r>
      <w:r>
        <w:t xml:space="preserve">]</w:t>
      </w:r>
      <w:r>
        <w:t xml:space="preserve">. These algorithms only guarantee</w:t>
      </w:r>
      <w:r>
        <w:t xml:space="preserve"> </w:t>
      </w:r>
      <w:r>
        <w:t xml:space="preserve">convergence to a stationary point not necessarily a maximum, as is</w:t>
      </w:r>
      <w:r>
        <w:t xml:space="preserve"> </w:t>
      </w:r>
      <w:r>
        <w:t xml:space="preserve">common in other non-convex problems, but this can be overcome with</w:t>
      </w:r>
      <w:r>
        <w:t xml:space="preserve"> </w:t>
      </w:r>
      <w:r>
        <w:t xml:space="preserve">multiple random restarts, if needed. Thus, we have a sub-routine</w:t>
      </w:r>
      <w:r>
        <w:t xml:space="preserve"> </w:t>
      </w:r>
      <m:oMath>
        <m:r>
          <m:rPr>
            <m:nor/>
            <m:sty m:val="p"/>
            <m:scr m:val="monospace"/>
          </m:rPr>
          <m:t>wSUMCOR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M</m:t>
            </m:r>
            <m:r>
              <m:rPr>
                <m:sty m:val="p"/>
              </m:rPr>
              <m:t>,</m:t>
            </m:r>
            <m:r>
              <m:t>Y</m:t>
            </m:r>
            <m:r>
              <m:rPr>
                <m:sty m:val="p"/>
              </m:rPr>
              <m:t>,</m:t>
            </m:r>
            <m:sSub>
              <m:e>
                <m:r>
                  <m:t>w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w</m:t>
                </m:r>
              </m:e>
              <m:sub>
                <m:r>
                  <m:t>2</m:t>
                </m:r>
              </m:sub>
            </m:sSub>
          </m:e>
        </m:d>
      </m:oMath>
      <w:r>
        <w:t xml:space="preserve"> </w:t>
      </w:r>
      <w:r>
        <w:t xml:space="preserve">that solves the weighted SUMCOR</w:t>
      </w:r>
      <w:r>
        <w:t xml:space="preserve"> </w:t>
      </w:r>
      <w:r>
        <w:t xml:space="preserve">problem</w:t>
      </w:r>
    </w:p>
    <w:p>
      <w:pPr>
        <w:pStyle w:val="BodyText"/>
      </w:pPr>
      <w:r>
        <w:t xml:space="preserve">$$\begin{aligned}
        L_{wSUMCOR}(a,b,c, w_1, w_2) = w_1 {\rm corr}\left(Xa, Mb\right) + w_2 {\rm corr}\left(Mb, Yc\right),
\end{aligned}$$</w:t>
      </w:r>
    </w:p>
    <w:p>
      <w:pPr>
        <w:pStyle w:val="FirstParagraph"/>
      </w:pPr>
      <w:r>
        <w:t xml:space="preserve">.</w:t>
      </w:r>
    </w:p>
    <w:p>
      <w:pPr>
        <w:pStyle w:val="BodyText"/>
      </w:pPr>
      <w:r>
        <w:t xml:space="preserve">We summarize our optimization procedure in Algorithm</w:t>
      </w:r>
      <w:r>
        <w:t xml:space="preserve"> </w:t>
      </w:r>
      <w:hyperlink w:anchor="alg:hdma">
        <w:r>
          <w:rPr>
            <w:rStyle w:val="Hyperlink"/>
          </w:rPr>
          <w:t xml:space="preserve">[alg:hdma]</w:t>
        </w:r>
      </w:hyperlink>
      <w:r>
        <w:t xml:space="preserve">.</w:t>
      </w:r>
    </w:p>
    <w:p>
      <w:pPr>
        <w:pStyle w:val="BodyText"/>
      </w:pPr>
      <m:oMath>
        <m:r>
          <m:t>X</m:t>
        </m:r>
      </m:oMath>
      <w:r>
        <w:t xml:space="preserve">,</w:t>
      </w:r>
      <w:r>
        <w:t xml:space="preserve"> </w:t>
      </w:r>
      <m:oMath>
        <m:r>
          <m:t>M</m:t>
        </m:r>
      </m:oMath>
      <w:r>
        <w:t xml:space="preserve">,</w:t>
      </w:r>
      <w:r>
        <w:t xml:space="preserve"> </w:t>
      </w:r>
      <m:oMath>
        <m:r>
          <m:t>Y</m:t>
        </m:r>
      </m:oMath>
      <w:r>
        <w:t xml:space="preserve"> </w:t>
      </w:r>
      <m:oMath>
        <m:r>
          <m:t>α</m:t>
        </m:r>
      </m:oMath>
      <w:r>
        <w:t xml:space="preserve">,</w:t>
      </w:r>
      <w:r>
        <w:t xml:space="preserve"> </w:t>
      </w:r>
      <m:oMath>
        <m:r>
          <m:t>β</m:t>
        </m:r>
      </m:oMath>
      <w:r>
        <w:t xml:space="preserve">,</w:t>
      </w:r>
      <w:r>
        <w:t xml:space="preserve"> </w:t>
      </w:r>
      <m:oMath>
        <m:r>
          <m:t>a</m:t>
        </m:r>
      </m:oMath>
      <w:r>
        <w:t xml:space="preserve">,</w:t>
      </w:r>
      <w:r>
        <w:t xml:space="preserve"> </w:t>
      </w:r>
      <m:oMath>
        <m:r>
          <m:t>b</m:t>
        </m:r>
      </m:oMath>
      <w:r>
        <w:t xml:space="preserve">,</w:t>
      </w:r>
      <w:r>
        <w:t xml:space="preserve"> </w:t>
      </w:r>
      <m:oMath>
        <m:r>
          <m:t>c</m:t>
        </m:r>
      </m:oMath>
      <w:r>
        <w:t xml:space="preserve">,</w:t>
      </w:r>
      <w:r>
        <w:t xml:space="preserve"> </w:t>
      </w:r>
      <m:oMath>
        <m:sSub>
          <m:e>
            <m:r>
              <m:t>l</m:t>
            </m:r>
          </m:e>
          <m:sub>
            <m:r>
              <m:t>X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l</m:t>
            </m:r>
          </m:e>
          <m:sub>
            <m:r>
              <m:t>M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l</m:t>
            </m:r>
          </m:e>
          <m:sub>
            <m:r>
              <m:t>Y</m:t>
            </m:r>
          </m:sub>
        </m:sSub>
      </m:oMath>
      <w:r>
        <w:t xml:space="preserve"> </w:t>
      </w:r>
      <m:oMath>
        <m:r>
          <m:t>α</m:t>
        </m:r>
        <m:r>
          <m:rPr>
            <m:sty m:val="p"/>
          </m:rPr>
          <m:t>←</m:t>
        </m:r>
        <m:r>
          <m:t>0.5</m:t>
        </m:r>
      </m:oMath>
      <w:r>
        <w:t xml:space="preserve">,</w:t>
      </w:r>
      <w:r>
        <w:t xml:space="preserve"> </w:t>
      </w:r>
      <m:oMath>
        <m:r>
          <m:t>β</m:t>
        </m:r>
        <m:r>
          <m:rPr>
            <m:sty m:val="p"/>
          </m:rPr>
          <m:t>←</m:t>
        </m:r>
        <m:r>
          <m:t>0.5</m:t>
        </m:r>
      </m:oMath>
      <w:r>
        <w:t xml:space="preserve"> </w:t>
      </w:r>
      <m:oMath>
        <m:r>
          <m:t>d</m:t>
        </m:r>
        <m:r>
          <m:rPr>
            <m:sty m:val="p"/>
          </m:rPr>
          <m:t>←</m:t>
        </m:r>
        <m:f>
          <m:fPr>
            <m:type m:val="bar"/>
          </m:fPr>
          <m:num>
            <m:r>
              <m:t>2</m:t>
            </m:r>
            <m:r>
              <m:t>α</m:t>
            </m:r>
          </m:num>
          <m:den>
            <m:r>
              <m:t>1</m:t>
            </m:r>
            <m:r>
              <m:rPr>
                <m:sty m:val="p"/>
              </m:rPr>
              <m:t>−</m:t>
            </m:r>
            <m:sSup>
              <m:e>
                <m:r>
                  <m:t>α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2</m:t>
            </m:r>
            <m:r>
              <m:t>α</m:t>
            </m:r>
          </m:num>
          <m:den>
            <m:r>
              <m:t>1</m:t>
            </m:r>
            <m:r>
              <m:rPr>
                <m:sty m:val="p"/>
              </m:rPr>
              <m:t>−</m:t>
            </m:r>
            <m:sSup>
              <m:e>
                <m:r>
                  <m:t>α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 </w:t>
      </w:r>
      <m:oMath>
        <m:sSub>
          <m:e>
            <m:r>
              <m:t>w</m:t>
            </m:r>
          </m:e>
          <m:sub>
            <m:r>
              <m:t>1</m:t>
            </m:r>
          </m:sub>
        </m:sSub>
        <m:r>
          <m:rPr>
            <m:sty m:val="p"/>
          </m:rPr>
          <m:t>←</m:t>
        </m:r>
        <m:f>
          <m:fPr>
            <m:type m:val="bar"/>
          </m:fPr>
          <m:num>
            <m:r>
              <m:t>1</m:t>
            </m:r>
          </m:num>
          <m:den>
            <m:r>
              <m:t>d</m:t>
            </m:r>
          </m:den>
        </m:f>
        <m:f>
          <m:fPr>
            <m:type m:val="bar"/>
          </m:fPr>
          <m:num>
            <m:r>
              <m:t>2</m:t>
            </m:r>
            <m:r>
              <m:t>α</m:t>
            </m:r>
          </m:num>
          <m:den>
            <m:r>
              <m:t>1</m:t>
            </m:r>
            <m:r>
              <m:rPr>
                <m:sty m:val="p"/>
              </m:rPr>
              <m:t>−</m:t>
            </m:r>
            <m:sSup>
              <m:e>
                <m:r>
                  <m:t>α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,</w:t>
      </w:r>
      <w:r>
        <w:t xml:space="preserve"> </w:t>
      </w:r>
      <m:oMath>
        <m:sSub>
          <m:e>
            <m:r>
              <m:t>w</m:t>
            </m:r>
          </m:e>
          <m:sub>
            <m:r>
              <m:t>2</m:t>
            </m:r>
          </m:sub>
        </m:sSub>
        <m:r>
          <m:rPr>
            <m:sty m:val="p"/>
          </m:rPr>
          <m:t>←</m:t>
        </m:r>
        <m:f>
          <m:fPr>
            <m:type m:val="bar"/>
          </m:fPr>
          <m:num>
            <m:r>
              <m:t>1</m:t>
            </m:r>
          </m:num>
          <m:den>
            <m:r>
              <m:t>d</m:t>
            </m:r>
          </m:den>
        </m:f>
        <m:f>
          <m:fPr>
            <m:type m:val="bar"/>
          </m:fPr>
          <m:num>
            <m:r>
              <m:t>2</m:t>
            </m:r>
            <m:r>
              <m:t>β</m:t>
            </m:r>
          </m:num>
          <m:den>
            <m:r>
              <m:t>1</m:t>
            </m:r>
            <m:r>
              <m:rPr>
                <m:sty m:val="p"/>
              </m:rPr>
              <m:t>−</m:t>
            </m:r>
            <m:sSup>
              <m:e>
                <m:r>
                  <m:t>β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  <m:r>
              <m:rPr>
                <m:sty m:val="p"/>
              </m:rPr>
              <m:t>,</m:t>
            </m:r>
            <m:r>
              <m:t>c</m:t>
            </m:r>
          </m:e>
        </m:d>
        <m:r>
          <m:rPr>
            <m:sty m:val="p"/>
          </m:rPr>
          <m:t>←</m:t>
        </m:r>
        <m:r>
          <m:rPr>
            <m:nor/>
            <m:sty m:val="p"/>
            <m:scr m:val="monospace"/>
          </m:rPr>
          <m:t>wSUMCOR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M</m:t>
            </m:r>
            <m:r>
              <m:rPr>
                <m:sty m:val="p"/>
              </m:rPr>
              <m:t>,</m:t>
            </m:r>
            <m:r>
              <m:t>Y</m:t>
            </m:r>
            <m:r>
              <m:rPr>
                <m:sty m:val="p"/>
              </m:rPr>
              <m:t>,</m:t>
            </m:r>
            <m:sSub>
              <m:e>
                <m:r>
                  <m:t>w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w</m:t>
                </m:r>
              </m:e>
              <m:sub>
                <m:r>
                  <m:t>2</m:t>
                </m:r>
              </m:sub>
            </m:sSub>
          </m:e>
        </m:d>
      </m:oMath>
      <w:r>
        <w:t xml:space="preserve"> </w:t>
      </w:r>
      <m:oMath>
        <m:sSub>
          <m:e>
            <m:r>
              <m:t>l</m:t>
            </m:r>
          </m:e>
          <m:sub>
            <m:r>
              <m:t>X</m:t>
            </m:r>
          </m:sub>
        </m:sSub>
        <m:r>
          <m:rPr>
            <m:sty m:val="p"/>
          </m:rPr>
          <m:t>←</m:t>
        </m:r>
        <m:r>
          <m:t>X</m:t>
        </m:r>
        <m:r>
          <m:t>a</m:t>
        </m:r>
      </m:oMath>
      <w:r>
        <w:t xml:space="preserve">,</w:t>
      </w:r>
      <w:r>
        <w:t xml:space="preserve"> </w:t>
      </w:r>
      <m:oMath>
        <m:sSub>
          <m:e>
            <m:r>
              <m:t>l</m:t>
            </m:r>
          </m:e>
          <m:sub>
            <m:r>
              <m:t>M</m:t>
            </m:r>
          </m:sub>
        </m:sSub>
        <m:r>
          <m:rPr>
            <m:sty m:val="p"/>
          </m:rPr>
          <m:t>←</m:t>
        </m:r>
        <m:r>
          <m:t>M</m:t>
        </m:r>
        <m:r>
          <m:t>b</m:t>
        </m:r>
      </m:oMath>
      <w:r>
        <w:t xml:space="preserve">,</w:t>
      </w:r>
      <w:r>
        <w:t xml:space="preserve"> </w:t>
      </w:r>
      <m:oMath>
        <m:sSub>
          <m:e>
            <m:r>
              <m:t>l</m:t>
            </m:r>
          </m:e>
          <m:sub>
            <m:r>
              <m:t>Y</m:t>
            </m:r>
          </m:sub>
        </m:sSub>
        <m:r>
          <m:rPr>
            <m:sty m:val="p"/>
          </m:rPr>
          <m:t>←</m:t>
        </m:r>
        <m:r>
          <m:t>Y</m:t>
        </m:r>
        <m:r>
          <m:t>c</m:t>
        </m:r>
      </m:oMath>
      <w:r>
        <w:t xml:space="preserve"> </w:t>
      </w:r>
      <w:r>
        <w:t xml:space="preserve">$\alpha \gets {\rm corr}(l_X, l_M)$</w:t>
      </w:r>
      <w:r>
        <w:t xml:space="preserve">,</w:t>
      </w:r>
      <w:r>
        <w:t xml:space="preserve"> </w:t>
      </w:r>
      <w:r>
        <w:t xml:space="preserve">$\beta \gets {\rm corr}(l_M, l_Y)$</w:t>
      </w:r>
    </w:p>
    <w:bookmarkEnd w:id="42"/>
    <w:bookmarkStart w:id="43" w:name="kernel-hdma"/>
    <w:p>
      <w:pPr>
        <w:pStyle w:val="Heading3"/>
      </w:pPr>
      <w:r>
        <w:t xml:space="preserve">Kernel HDMA</w:t>
      </w:r>
    </w:p>
    <w:p>
      <w:pPr>
        <w:pStyle w:val="FirstParagraph"/>
      </w:pPr>
      <w:r>
        <w:t xml:space="preserve">For large data matrices</w:t>
      </w:r>
      <w:r>
        <w:t xml:space="preserve"> </w:t>
      </w:r>
      <m:oMath>
        <m:r>
          <m:t>X</m:t>
        </m:r>
      </m:oMath>
      <w:r>
        <w:t xml:space="preserve">,</w:t>
      </w:r>
      <w:r>
        <w:t xml:space="preserve"> </w:t>
      </w:r>
      <m:oMath>
        <m:r>
          <m:t>M</m:t>
        </m:r>
      </m:oMath>
      <w:r>
        <w:t xml:space="preserve">, and</w:t>
      </w:r>
      <w:r>
        <w:t xml:space="preserve"> </w:t>
      </w:r>
      <m:oMath>
        <m:r>
          <m:t>Y</m:t>
        </m:r>
      </m:oMath>
      <w:r>
        <w:t xml:space="preserve">, especially with high</w:t>
      </w:r>
      <w:r>
        <w:t xml:space="preserve"> </w:t>
      </w:r>
      <w:r>
        <w:t xml:space="preserve">correlation among variables, as is common for high-throughput biological</w:t>
      </w:r>
      <w:r>
        <w:t xml:space="preserve"> </w:t>
      </w:r>
      <w:r>
        <w:t xml:space="preserve">assays (</w:t>
      </w:r>
      <w:r>
        <w:rPr>
          <w:iCs/>
          <w:i/>
        </w:rPr>
        <w:t xml:space="preserve">e.g.</w:t>
      </w:r>
      <w:r>
        <w:t xml:space="preserve">, ~1M alleles for genotypes,</w:t>
      </w:r>
      <w:r>
        <w:t xml:space="preserve"> </w:t>
      </w:r>
      <w:r>
        <w:t xml:space="preserve">~20k transcripts), we can further reduce the</w:t>
      </w:r>
      <w:r>
        <w:t xml:space="preserve"> </w:t>
      </w:r>
      <w:r>
        <w:t xml:space="preserve">dimensionality of the HDMA model by requiring that loading vectors lie</w:t>
      </w:r>
      <w:r>
        <w:t xml:space="preserve"> </w:t>
      </w:r>
      <w:r>
        <w:t xml:space="preserve">in the span of the measured individuals, namely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a</m:t>
                </m:r>
              </m:e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t>X</m:t>
                    </m:r>
                  </m:e>
                  <m:sup>
                    <m:r>
                      <m:t>T</m:t>
                    </m:r>
                  </m:sup>
                </m:sSup>
                <m:acc>
                  <m:accPr>
                    <m:chr m:val="̃"/>
                  </m:accPr>
                  <m:e>
                    <m:r>
                      <m:t>a</m:t>
                    </m:r>
                  </m:e>
                </m:acc>
              </m:e>
            </m:mr>
            <m:mr>
              <m:e>
                <m:r>
                  <m:t>b</m:t>
                </m:r>
              </m:e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t>M</m:t>
                    </m:r>
                  </m:e>
                  <m:sup>
                    <m:r>
                      <m:t>T</m:t>
                    </m:r>
                  </m:sup>
                </m:sSup>
                <m:acc>
                  <m:accPr>
                    <m:chr m:val="̃"/>
                  </m:accPr>
                  <m:e>
                    <m:r>
                      <m:t>b</m:t>
                    </m:r>
                  </m:e>
                </m:acc>
              </m:e>
            </m:mr>
            <m:mr>
              <m:e>
                <m:r>
                  <m:t>c</m:t>
                </m:r>
              </m:e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t>Y</m:t>
                    </m:r>
                  </m:e>
                  <m:sup>
                    <m:r>
                      <m:t>T</m:t>
                    </m:r>
                  </m:sup>
                </m:sSup>
                <m:acc>
                  <m:accPr>
                    <m:chr m:val="̃"/>
                  </m:accPr>
                  <m:e>
                    <m:r>
                      <m:t>c</m:t>
                    </m:r>
                  </m:e>
                </m:acc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This replaces the full feature data, say</w:t>
      </w:r>
      <w:r>
        <w:t xml:space="preserve"> </w:t>
      </w:r>
      <m:oMath>
        <m:r>
          <m:t>X</m:t>
        </m:r>
      </m:oMath>
      <w:r>
        <w:t xml:space="preserve">, with the covariances</w:t>
      </w:r>
      <w:r>
        <w:t xml:space="preserve"> </w:t>
      </w:r>
      <w:r>
        <w:t xml:space="preserve">among individuals,</w:t>
      </w:r>
      <w:r>
        <w:t xml:space="preserve"> </w:t>
      </w:r>
      <m:oMath>
        <m:sSub>
          <m:e>
            <m:r>
              <m:t>C</m:t>
            </m:r>
          </m:e>
          <m:sub>
            <m:r>
              <m:t>X</m:t>
            </m:r>
          </m:sub>
        </m:sSub>
        <m:r>
          <m:rPr>
            <m:sty m:val="p"/>
          </m:rPr>
          <m:t>=</m:t>
        </m:r>
        <m:r>
          <m:t>X</m:t>
        </m:r>
        <m:sSup>
          <m:e>
            <m:r>
              <m:t>X</m:t>
            </m:r>
          </m:e>
          <m:sup>
            <m:r>
              <m:t>T</m:t>
            </m:r>
          </m:sup>
        </m:sSup>
      </m:oMath>
      <w:r>
        <w:t xml:space="preserve">, and reduces the dimensionality from</w:t>
      </w:r>
      <w:r>
        <w:t xml:space="preserve"> </w:t>
      </w:r>
      <w:r>
        <w:t xml:space="preserve">the number of measured variables down to the number of individuals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l</m:t>
                    </m:r>
                  </m:e>
                  <m:sub>
                    <m:r>
                      <m:t>x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t>X</m:t>
                </m:r>
                <m:sSup>
                  <m:e>
                    <m:r>
                      <m:t>X</m:t>
                    </m:r>
                  </m:e>
                  <m:sup>
                    <m:r>
                      <m:t>T</m:t>
                    </m:r>
                  </m:sup>
                </m:sSup>
                <m:acc>
                  <m:accPr>
                    <m:chr m:val="̃"/>
                  </m:accPr>
                  <m:e>
                    <m:r>
                      <m:t>a</m:t>
                    </m:r>
                  </m:e>
                </m:acc>
                <m:r>
                  <m:rPr>
                    <m:sty m:val="p"/>
                  </m:rPr>
                  <m:t>=</m:t>
                </m:r>
                <m:sSub>
                  <m:e>
                    <m:r>
                      <m:t>C</m:t>
                    </m:r>
                  </m:e>
                  <m:sub>
                    <m:r>
                      <m:t>X</m:t>
                    </m:r>
                  </m:sub>
                </m:sSub>
                <m:acc>
                  <m:accPr>
                    <m:chr m:val="̃"/>
                  </m:accPr>
                  <m:e>
                    <m:r>
                      <m:t>a</m:t>
                    </m:r>
                  </m:e>
                </m:acc>
              </m:e>
            </m:mr>
            <m:mr>
              <m:e>
                <m:sSub>
                  <m:e>
                    <m:r>
                      <m:t>l</m:t>
                    </m:r>
                  </m:e>
                  <m:sub>
                    <m:r>
                      <m:t>M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t>M</m:t>
                </m:r>
                <m:sSup>
                  <m:e>
                    <m:r>
                      <m:t>M</m:t>
                    </m:r>
                  </m:e>
                  <m:sup>
                    <m:r>
                      <m:t>T</m:t>
                    </m:r>
                  </m:sup>
                </m:sSup>
                <m:acc>
                  <m:accPr>
                    <m:chr m:val="̃"/>
                  </m:accPr>
                  <m:e>
                    <m:r>
                      <m:t>b</m:t>
                    </m:r>
                  </m:e>
                </m:acc>
                <m:r>
                  <m:rPr>
                    <m:sty m:val="p"/>
                  </m:rPr>
                  <m:t>=</m:t>
                </m:r>
                <m:sSub>
                  <m:e>
                    <m:r>
                      <m:t>C</m:t>
                    </m:r>
                  </m:e>
                  <m:sub>
                    <m:r>
                      <m:t>M</m:t>
                    </m:r>
                  </m:sub>
                </m:sSub>
                <m:acc>
                  <m:accPr>
                    <m:chr m:val="̃"/>
                  </m:accPr>
                  <m:e>
                    <m:r>
                      <m:t>b</m:t>
                    </m:r>
                  </m:e>
                </m:acc>
              </m:e>
            </m:mr>
            <m:mr>
              <m:e>
                <m:sSub>
                  <m:e>
                    <m:r>
                      <m:t>l</m:t>
                    </m:r>
                  </m:e>
                  <m:sub>
                    <m:r>
                      <m:t>M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t>Y</m:t>
                </m:r>
                <m:sSup>
                  <m:e>
                    <m:r>
                      <m:t>Y</m:t>
                    </m:r>
                  </m:e>
                  <m:sup>
                    <m:r>
                      <m:t>T</m:t>
                    </m:r>
                  </m:sup>
                </m:sSup>
                <m:acc>
                  <m:accPr>
                    <m:chr m:val="̃"/>
                  </m:accPr>
                  <m:e>
                    <m:r>
                      <m:t>c</m:t>
                    </m:r>
                  </m:e>
                </m:acc>
                <m:r>
                  <m:rPr>
                    <m:sty m:val="p"/>
                  </m:rPr>
                  <m:t>=</m:t>
                </m:r>
                <m:sSub>
                  <m:e>
                    <m:r>
                      <m:t>C</m:t>
                    </m:r>
                  </m:e>
                  <m:sub>
                    <m:r>
                      <m:t>Y</m:t>
                    </m:r>
                  </m:sub>
                </m:sSub>
                <m:acc>
                  <m:accPr>
                    <m:chr m:val="̃"/>
                  </m:accPr>
                  <m:e>
                    <m:r>
                      <m:t>c</m:t>
                    </m:r>
                  </m:e>
                </m:acc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This reduction is called</w:t>
      </w:r>
      <w:r>
        <w:t xml:space="preserve"> </w:t>
      </w:r>
      <w:r>
        <w:rPr>
          <w:iCs/>
          <w:i/>
        </w:rPr>
        <w:t xml:space="preserve">kernelization</w:t>
      </w:r>
      <w:r>
        <w:t xml:space="preserve"> </w:t>
      </w:r>
      <w:r>
        <w:t xml:space="preserve">and is widely applied to</w:t>
      </w:r>
      <w:r>
        <w:t xml:space="preserve"> </w:t>
      </w:r>
      <w:r>
        <w:t xml:space="preserve">other linear models, including CCA</w:t>
      </w:r>
      <w:r>
        <w:t xml:space="preserve"> </w:t>
      </w:r>
      <w:r>
        <w:t xml:space="preserve">[</w:t>
      </w:r>
      <w:r>
        <w:t xml:space="preserve">REF</w:t>
      </w:r>
      <w:r>
        <w:t xml:space="preserve">]</w:t>
      </w:r>
      <w:r>
        <w:t xml:space="preserve">, linear regression</w:t>
      </w:r>
      <w:r>
        <w:t xml:space="preserve"> </w:t>
      </w:r>
      <w:r>
        <w:t xml:space="preserve">[</w:t>
      </w:r>
      <w:r>
        <w:t xml:space="preserve">REF</w:t>
      </w:r>
      <w:r>
        <w:t xml:space="preserve">]</w:t>
      </w:r>
      <w:r>
        <w:t xml:space="preserve">, and classification</w:t>
      </w:r>
      <w:r>
        <w:t xml:space="preserve"> </w:t>
      </w:r>
      <w:r>
        <w:t xml:space="preserve">[</w:t>
      </w:r>
      <w:r>
        <w:t xml:space="preserve">REF</w:t>
      </w:r>
      <w:r>
        <w:t xml:space="preserve">]</w:t>
      </w:r>
      <w:r>
        <w:t xml:space="preserve">.</w:t>
      </w:r>
    </w:p>
    <w:p>
      <w:pPr>
        <w:pStyle w:val="BodyText"/>
      </w:pPr>
      <w:r>
        <w:t xml:space="preserve">It is interesting to note that kernelization is often used to convert a</w:t>
      </w:r>
      <w:r>
        <w:t xml:space="preserve"> </w:t>
      </w:r>
      <w:r>
        <w:t xml:space="preserve">linear model to a non-linear model by replacing the covariance matrices,</w:t>
      </w:r>
      <w:r>
        <w:t xml:space="preserve"> </w:t>
      </w:r>
      <w:r>
        <w:rPr>
          <w:iCs/>
          <w:i/>
        </w:rPr>
        <w:t xml:space="preserve">e.g.</w:t>
      </w:r>
      <w:r>
        <w:t xml:space="preserve"> </w:t>
      </w:r>
      <m:oMath>
        <m:sSub>
          <m:e>
            <m:r>
              <m:t>C</m:t>
            </m:r>
          </m:e>
          <m:sub>
            <m:r>
              <m:t>X</m:t>
            </m:r>
          </m:sub>
        </m:sSub>
      </m:oMath>
      <w:r>
        <w:t xml:space="preserve">, with more complex</w:t>
      </w:r>
      <w:r>
        <w:t xml:space="preserve"> </w:t>
      </w:r>
      <w:r>
        <w:rPr>
          <w:iCs/>
          <w:i/>
        </w:rPr>
        <w:t xml:space="preserve">kernel matrices</w:t>
      </w:r>
      <w:r>
        <w:t xml:space="preserve"> </w:t>
      </w:r>
      <m:oMath>
        <m:sSub>
          <m:e>
            <m:r>
              <m:t>K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that encode similarity measures among individuals that are</w:t>
      </w:r>
      <w:r>
        <w:t xml:space="preserve"> </w:t>
      </w:r>
      <w:r>
        <w:t xml:space="preserve">non-linear functions of the measured variables. Promoting a linear model</w:t>
      </w:r>
      <w:r>
        <w:t xml:space="preserve"> </w:t>
      </w:r>
      <w:r>
        <w:t xml:space="preserve">to a non-linear model in this way is called the</w:t>
      </w:r>
      <w:r>
        <w:t xml:space="preserve"> </w:t>
      </w:r>
      <w:r>
        <w:rPr>
          <w:iCs/>
          <w:i/>
        </w:rPr>
        <w:t xml:space="preserve">kernel trick</w:t>
      </w:r>
      <w:r>
        <w:t xml:space="preserve"> </w:t>
      </w:r>
      <w:r>
        <w:t xml:space="preserve">and is widely used in the machine learning field. The above</w:t>
      </w:r>
      <w:r>
        <w:t xml:space="preserve"> </w:t>
      </w:r>
      <w:r>
        <w:t xml:space="preserve">considerations show that HDMA is kernelizable in the same way as other</w:t>
      </w:r>
      <w:r>
        <w:t xml:space="preserve"> </w:t>
      </w:r>
      <w:r>
        <w:t xml:space="preserve">linear models, although the exploration of non-linear models is outside</w:t>
      </w:r>
      <w:r>
        <w:t xml:space="preserve"> </w:t>
      </w:r>
      <w:r>
        <w:t xml:space="preserve">the scope of this study.</w:t>
      </w:r>
    </w:p>
    <w:bookmarkEnd w:id="43"/>
    <w:bookmarkStart w:id="44" w:name="implementation-details"/>
    <w:p>
      <w:pPr>
        <w:pStyle w:val="Heading3"/>
      </w:pPr>
      <w:r>
        <w:t xml:space="preserve">Implementation details</w:t>
      </w:r>
    </w:p>
    <w:p>
      <w:pPr>
        <w:pStyle w:val="FirstParagraph"/>
      </w:pPr>
      <w:r>
        <w:t xml:space="preserve">We have implemented HDMA (Algorithm</w:t>
      </w:r>
      <w:r>
        <w:t xml:space="preserve"> </w:t>
      </w:r>
      <w:hyperlink w:anchor="alg:hdma">
        <w:r>
          <w:rPr>
            <w:rStyle w:val="Hyperlink"/>
          </w:rPr>
          <w:t xml:space="preserve">[alg:hdma]</w:t>
        </w:r>
      </w:hyperlink>
      <w:r>
        <w:t xml:space="preserve">) in the R programming</w:t>
      </w:r>
      <w:r>
        <w:t xml:space="preserve"> </w:t>
      </w:r>
      <w:r>
        <w:t xml:space="preserve">language. Tenenhaus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have implemented their optimizers in</w:t>
      </w:r>
      <w:r>
        <w:t xml:space="preserve"> </w:t>
      </w:r>
      <w:r>
        <w:t xml:space="preserve">the Regularized Generalized Canonical Correlation Analysis (RGCCA) R</w:t>
      </w:r>
      <w:r>
        <w:t xml:space="preserve"> </w:t>
      </w:r>
      <w:r>
        <w:t xml:space="preserve">package</w:t>
      </w:r>
      <w:r>
        <w:t xml:space="preserve"> </w:t>
      </w:r>
      <w:r>
        <w:t xml:space="preserve">[</w:t>
      </w:r>
      <w:r>
        <w:t xml:space="preserve">REF</w:t>
      </w:r>
      <w:r>
        <w:t xml:space="preserve">]</w:t>
      </w:r>
      <w:r>
        <w:t xml:space="preserve">, which we use as the subroutine</w:t>
      </w:r>
      <w:r>
        <w:t xml:space="preserve"> </w:t>
      </w:r>
      <w:r>
        <w:rPr>
          <w:rStyle w:val="VerbatimChar"/>
        </w:rPr>
        <w:t xml:space="preserve">wSUMCOR</w:t>
      </w:r>
      <w:r>
        <w:t xml:space="preserve">. As</w:t>
      </w:r>
      <w:r>
        <w:t xml:space="preserve"> </w:t>
      </w:r>
      <w:r>
        <w:t xml:space="preserve">Tenenhaus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discuss</w:t>
      </w:r>
      <w:r>
        <w:t xml:space="preserve"> </w:t>
      </w:r>
      <w:r>
        <w:t xml:space="preserve">[</w:t>
      </w:r>
      <w:r>
        <w:t xml:space="preserve">REF</w:t>
      </w:r>
      <w:r>
        <w:t xml:space="preserve">]</w:t>
      </w:r>
      <w:r>
        <w:t xml:space="preserve"> </w:t>
      </w:r>
      <w:r>
        <w:t xml:space="preserve">optimizing the empirical</w:t>
      </w:r>
      <w:r>
        <w:t xml:space="preserve"> </w:t>
      </w:r>
      <w:r>
        <w:t xml:space="preserve">correlation coefficient</w:t>
      </w:r>
      <w:r>
        <w:t xml:space="preserve"> </w:t>
      </w:r>
      <w:r>
        <w:rPr>
          <w:iCs/>
          <w:i/>
        </w:rPr>
        <w:t xml:space="preserve">per se</w:t>
      </w:r>
      <w:r>
        <w:t xml:space="preserve"> </w:t>
      </w:r>
      <w:r>
        <w:t xml:space="preserve">is numerically unstable due to</w:t>
      </w:r>
      <w:r>
        <w:t xml:space="preserve"> </w:t>
      </w:r>
      <w:r>
        <w:t xml:space="preserve">the inversion of the covariance matrices of the measured variables</w:t>
      </w:r>
      <w:r>
        <w:t xml:space="preserve"> </w:t>
      </w:r>
      <w:r>
        <w:t xml:space="preserve">(</w:t>
      </w:r>
      <w:r>
        <w:rPr>
          <w:iCs/>
          <w:i/>
        </w:rPr>
        <w:t xml:space="preserve">e.g.</w:t>
      </w:r>
      <w:r>
        <w:t xml:space="preserve">, the transcript-transcript covariance matrix). To</w:t>
      </w:r>
      <w:r>
        <w:t xml:space="preserve"> </w:t>
      </w:r>
      <w:r>
        <w:t xml:space="preserve">overcome this, the RGCCA package uses a regularized form of the</w:t>
      </w:r>
      <w:r>
        <w:t xml:space="preserve"> </w:t>
      </w:r>
      <w:r>
        <w:t xml:space="preserve">covariance matrix developed by Schaeffer and Strimmer</w:t>
      </w:r>
      <w:r>
        <w:t xml:space="preserve"> </w:t>
      </w:r>
      <w:r>
        <w:t xml:space="preserve">[</w:t>
      </w:r>
      <w:r>
        <w:t xml:space="preserve">REF</w:t>
      </w:r>
      <w:r>
        <w:t xml:space="preserve">]</w:t>
      </w:r>
      <w:r>
        <w:t xml:space="preserve">, which</w:t>
      </w:r>
      <w:r>
        <w:t xml:space="preserve"> </w:t>
      </w:r>
      <w:r>
        <w:t xml:space="preserve">can be estimated rapidly using an analytic formula.</w:t>
      </w:r>
    </w:p>
    <w:p>
      <w:pPr>
        <w:pStyle w:val="BodyText"/>
      </w:pPr>
      <w:r>
        <w:t xml:space="preserve">As a convergence criterion, we stop the iterations when both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change by less than</w:t>
      </w:r>
      <w:r>
        <w:t xml:space="preserve"> </w:t>
      </w:r>
      <m:oMath>
        <m:sSup>
          <m:e>
            <m:r>
              <m:t>10</m:t>
            </m:r>
          </m:e>
          <m:sup>
            <m:r>
              <m:rPr>
                <m:sty m:val="p"/>
              </m:rPr>
              <m:t>−</m:t>
            </m:r>
            <m:r>
              <m:t>6</m:t>
            </m:r>
          </m:sup>
        </m:sSup>
      </m:oMath>
      <w:r>
        <w:t xml:space="preserve"> </w:t>
      </w:r>
      <w:r>
        <w:t xml:space="preserve">from their previous value</w:t>
      </w:r>
      <w:r>
        <w:t xml:space="preserve"> </w:t>
      </w:r>
      <w:r>
        <w:t xml:space="preserve">in one iteration.</w:t>
      </w:r>
    </w:p>
    <w:p>
      <w:pPr>
        <w:pStyle w:val="BodyText"/>
      </w:pPr>
      <w:r>
        <w:t xml:space="preserve">All code required to run HDMA is available at XXX.</w:t>
      </w:r>
    </w:p>
    <w:bookmarkEnd w:id="44"/>
    <w:bookmarkEnd w:id="45"/>
    <w:bookmarkStart w:id="47" w:name="enrichment-of-biological-terms"/>
    <w:p>
      <w:pPr>
        <w:pStyle w:val="Heading2"/>
      </w:pPr>
      <w:r>
        <w:t xml:space="preserve">Enrichment of biological</w:t>
      </w:r>
      <w:r>
        <w:t xml:space="preserve"> </w:t>
      </w:r>
      <w:r>
        <w:t xml:space="preserve">terms</w:t>
      </w:r>
    </w:p>
    <w:p>
      <w:pPr>
        <w:pStyle w:val="FirstParagraph"/>
      </w:pPr>
      <w:r>
        <w:t xml:space="preserve">We performed gene set enrichment analysis (GSEA)</w:t>
      </w:r>
      <w:r>
        <w:rPr>
          <w:vertAlign w:val="superscript"/>
        </w:rPr>
        <w:t xml:space="preserve">9</w:t>
      </w:r>
      <w:r>
        <w:t xml:space="preserve"> </w:t>
      </w:r>
      <w:r>
        <w:t xml:space="preserve">using the transcript loadings in each tissue as gene weights. GSEA</w:t>
      </w:r>
      <w:r>
        <w:t xml:space="preserve"> </w:t>
      </w:r>
      <w:r>
        <w:t xml:space="preserve">determines enrichment of pathways based on where the contained genes</w:t>
      </w:r>
      <w:r>
        <w:t xml:space="preserve"> </w:t>
      </w:r>
      <w:r>
        <w:t xml:space="preserve">appear in a ranked list of genes. If the genes in the pathway are more</w:t>
      </w:r>
      <w:r>
        <w:t xml:space="preserve"> </w:t>
      </w:r>
      <w:r>
        <w:t xml:space="preserve">concentrated near the top (or the bottom) of the list than expected by</w:t>
      </w:r>
      <w:r>
        <w:t xml:space="preserve"> </w:t>
      </w:r>
      <w:r>
        <w:t xml:space="preserve">chance, the pathway can be interpreted as being enriched with positively</w:t>
      </w:r>
      <w:r>
        <w:t xml:space="preserve"> </w:t>
      </w:r>
      <w:r>
        <w:t xml:space="preserve">(negatively) loaded transcripts. We used the R package fgsea</w:t>
      </w:r>
      <w:r>
        <w:rPr>
          <w:vertAlign w:val="superscript"/>
        </w:rPr>
        <w:t xml:space="preserve">10</w:t>
      </w:r>
      <w:r>
        <w:t xml:space="preserve"> </w:t>
      </w:r>
      <w:r>
        <w:t xml:space="preserve">to calculate normalized enrichment scores for all GO terms</w:t>
      </w:r>
      <w:r>
        <w:t xml:space="preserve"> </w:t>
      </w:r>
      <w:r>
        <w:t xml:space="preserve">and all KEGG pathways.</w:t>
      </w:r>
    </w:p>
    <w:p>
      <w:pPr>
        <w:pStyle w:val="BodyText"/>
      </w:pPr>
      <w:r>
        <w:t xml:space="preserve">We downloaded all KEGG</w:t>
      </w:r>
      <w:r>
        <w:rPr>
          <w:vertAlign w:val="superscript"/>
        </w:rPr>
        <w:t xml:space="preserve">11</w:t>
      </w:r>
      <w:r>
        <w:t xml:space="preserve"> </w:t>
      </w:r>
      <w:r>
        <w:t xml:space="preserve">pathways for</w:t>
      </w:r>
      <w:r>
        <w:t xml:space="preserve"> </w:t>
      </w:r>
      <w:r>
        <w:rPr>
          <w:iCs/>
          <w:i/>
        </w:rPr>
        <w:t xml:space="preserve">Mus musculus</w:t>
      </w:r>
      <w:r>
        <w:t xml:space="preserve"> </w:t>
      </w:r>
      <w:r>
        <w:t xml:space="preserve">using the R package clusterProfiler</w:t>
      </w:r>
      <w:r>
        <w:rPr>
          <w:vertAlign w:val="superscript"/>
        </w:rPr>
        <w:t xml:space="preserve">11</w:t>
      </w:r>
      <w:r>
        <w:t xml:space="preserve">. We then used fgsea to calculate enrichment scores</w:t>
      </w:r>
      <w:r>
        <w:t xml:space="preserve"> </w:t>
      </w:r>
      <w:r>
        <w:t xml:space="preserve">in each tissue using the transcript loadings in each tissue as our</w:t>
      </w:r>
      <w:r>
        <w:t xml:space="preserve"> </w:t>
      </w:r>
      <w:r>
        <w:t xml:space="preserve">ranked list of genes. We reported the normalized enrichment score (NES)</w:t>
      </w:r>
      <w:r>
        <w:t xml:space="preserve"> </w:t>
      </w:r>
      <w:r>
        <w:t xml:space="preserve">for the 10 pathways with the largest positive NES and the 10 pathways</w:t>
      </w:r>
      <w:r>
        <w:t xml:space="preserve"> </w:t>
      </w:r>
      <w:r>
        <w:t xml:space="preserve">with the largest negative NES.</w:t>
      </w:r>
    </w:p>
    <w:p>
      <w:pPr>
        <w:pStyle w:val="BodyText"/>
      </w:pPr>
      <w:r>
        <w:t xml:space="preserve">We used the R package pathview</w:t>
      </w:r>
      <w:r>
        <w:rPr>
          <w:vertAlign w:val="superscript"/>
        </w:rPr>
        <w:t xml:space="preserve">12</w:t>
      </w:r>
      <w:r>
        <w:t xml:space="preserve"> </w:t>
      </w:r>
      <w:r>
        <w:t xml:space="preserve">to visualize the</w:t>
      </w:r>
      <w:r>
        <w:t xml:space="preserve"> </w:t>
      </w:r>
      <w:r>
        <w:t xml:space="preserve">loadings from each tissue in interesting pathways. We scaled the</w:t>
      </w:r>
      <w:r>
        <w:t xml:space="preserve"> </w:t>
      </w:r>
      <w:r>
        <w:t xml:space="preserve">loadings in each tissue by the maximum absolute value of loadings across</w:t>
      </w:r>
      <w:r>
        <w:t xml:space="preserve"> </w:t>
      </w:r>
      <w:r>
        <w:t xml:space="preserve">all tissues to compare them across tissues.</w:t>
      </w:r>
    </w:p>
    <w:p>
      <w:pPr>
        <w:pStyle w:val="BodyText"/>
      </w:pPr>
      <w:r>
        <w:t xml:space="preserve">We downloaded GO term annotations from Mouse Genome Informatics at the</w:t>
      </w:r>
      <w:r>
        <w:t xml:space="preserve"> </w:t>
      </w:r>
      <w:r>
        <w:t xml:space="preserve">Jackson Laboratory</w:t>
      </w:r>
      <w:r>
        <w:rPr>
          <w:vertAlign w:val="superscript"/>
        </w:rPr>
        <w:t xml:space="preserve">13</w:t>
      </w:r>
      <w:r>
        <w:t xml:space="preserve"> </w:t>
      </w:r>
      <w:hyperlink r:id="rId46">
        <w:r>
          <w:rPr>
            <w:rStyle w:val="Hyperlink"/>
          </w:rPr>
          <w:t xml:space="preserve">https://www.informatics.jax.org/downloads/reports/index.html</w:t>
        </w:r>
      </w:hyperlink>
      <w:r>
        <w:t xml:space="preserve"> </w:t>
      </w:r>
      <w:r>
        <w:t xml:space="preserve">We</w:t>
      </w:r>
      <w:r>
        <w:t xml:space="preserve"> </w:t>
      </w:r>
      <w:r>
        <w:t xml:space="preserve">removed gene-annotation pairs labeled with NOT, indicating that these</w:t>
      </w:r>
      <w:r>
        <w:t xml:space="preserve"> </w:t>
      </w:r>
      <w:r>
        <w:t xml:space="preserve">genes were known not to be involved in these GO terms. We also limited</w:t>
      </w:r>
      <w:r>
        <w:t xml:space="preserve"> </w:t>
      </w:r>
      <w:r>
        <w:t xml:space="preserve">our search to GO terms with between 80 and 3000 genes. We used the R</w:t>
      </w:r>
      <w:r>
        <w:t xml:space="preserve"> </w:t>
      </w:r>
      <w:r>
        <w:t xml:space="preserve">package annotate</w:t>
      </w:r>
      <w:r>
        <w:rPr>
          <w:vertAlign w:val="superscript"/>
        </w:rPr>
        <w:t xml:space="preserve">14</w:t>
      </w:r>
      <w:r>
        <w:t xml:space="preserve"> </w:t>
      </w:r>
      <w:r>
        <w:t xml:space="preserve">to identify the ontology of each term</w:t>
      </w:r>
      <w:r>
        <w:t xml:space="preserve"> </w:t>
      </w:r>
      <w:r>
        <w:t xml:space="preserve">and the R package pRoloc</w:t>
      </w:r>
      <w:r>
        <w:rPr>
          <w:vertAlign w:val="superscript"/>
        </w:rPr>
        <w:t xml:space="preserve">15</w:t>
      </w:r>
      <w:r>
        <w:t xml:space="preserve"> </w:t>
      </w:r>
      <w:r>
        <w:t xml:space="preserve">to convert between GO terms</w:t>
      </w:r>
      <w:r>
        <w:t xml:space="preserve"> </w:t>
      </w:r>
      <w:r>
        <w:t xml:space="preserve">and names. As with the KEGG pathways, we used fgsea to calculate a</w:t>
      </w:r>
      <w:r>
        <w:t xml:space="preserve"> </w:t>
      </w:r>
      <w:r>
        <w:t xml:space="preserve">normalized enrichment score for each GO term and collected loadings for</w:t>
      </w:r>
      <w:r>
        <w:t xml:space="preserve"> </w:t>
      </w:r>
      <w:r>
        <w:t xml:space="preserve">the transcripts in each term to compare across tissues.</w:t>
      </w:r>
    </w:p>
    <w:bookmarkEnd w:id="47"/>
    <w:bookmarkStart w:id="48" w:name="twas-in-do-mice"/>
    <w:p>
      <w:pPr>
        <w:pStyle w:val="Heading2"/>
      </w:pPr>
      <w:r>
        <w:t xml:space="preserve">TWAS in DO mice</w:t>
      </w:r>
    </w:p>
    <w:p>
      <w:pPr>
        <w:pStyle w:val="FirstParagraph"/>
      </w:pPr>
      <w:r>
        <w:t xml:space="preserve">We performed a transcriptome-wide analysis (TWAS)</w:t>
      </w:r>
      <w:r>
        <w:rPr>
          <w:vertAlign w:val="superscript"/>
        </w:rPr>
        <w:t xml:space="preserve">16,17</w:t>
      </w:r>
      <w:r>
        <w:t xml:space="preserve"> </w:t>
      </w:r>
      <w:r>
        <w:t xml:space="preserve">in the DO mice to compare to the results of</w:t>
      </w:r>
      <w:r>
        <w:t xml:space="preserve"> </w:t>
      </w:r>
      <w:r>
        <w:t xml:space="preserve">high-dimensional mediation. To perform TWAS, we fit a linear model to</w:t>
      </w:r>
      <w:r>
        <w:t xml:space="preserve"> </w:t>
      </w:r>
      <w:r>
        <w:t xml:space="preserve">explain variation in each transcript across the population using the</w:t>
      </w:r>
      <w:r>
        <w:t xml:space="preserve"> </w:t>
      </w:r>
      <w:r>
        <w:t xml:space="preserve">genotype at the nearest marker to the gene transcription start site</w:t>
      </w:r>
      <w:r>
        <w:t xml:space="preserve"> </w:t>
      </w:r>
      <w:r>
        <w:t xml:space="preserve">(TSS). We used kinship as a random effect and sex, diet, and DO</w:t>
      </w:r>
      <w:r>
        <w:t xml:space="preserve"> </w:t>
      </w:r>
      <w:r>
        <w:t xml:space="preserve">generation as fixed effects. The predicted transcript from each of these</w:t>
      </w:r>
      <w:r>
        <w:t xml:space="preserve"> </w:t>
      </w:r>
      <w:r>
        <w:t xml:space="preserve">models was the imputed transcript based only on the local genotype.</w:t>
      </w:r>
    </w:p>
    <w:p>
      <w:pPr>
        <w:pStyle w:val="BodyText"/>
      </w:pPr>
      <w:r>
        <w:rPr>
          <w:bCs/>
          <w:b/>
        </w:rPr>
        <w:t xml:space="preserve">equation</w:t>
      </w:r>
    </w:p>
    <w:p>
      <w:pPr>
        <w:pStyle w:val="BodyText"/>
      </w:pPr>
      <w:r>
        <w:t xml:space="preserve">We correlated each imputed transcript with each of the metabolic</w:t>
      </w:r>
      <w:r>
        <w:t xml:space="preserve"> </w:t>
      </w:r>
      <w:r>
        <w:t xml:space="preserve">phenotypes after adjusting phenotypes for sex, diet, and DO generation.</w:t>
      </w:r>
      <w:r>
        <w:t xml:space="preserve"> </w:t>
      </w:r>
      <w:r>
        <w:t xml:space="preserve">To calculate significance of these correlations, we performed</w:t>
      </w:r>
      <w:r>
        <w:t xml:space="preserve"> </w:t>
      </w:r>
      <w:r>
        <w:t xml:space="preserve">permutation testing by shuffling labels of individual mice and</w:t>
      </w:r>
      <w:r>
        <w:t xml:space="preserve"> </w:t>
      </w:r>
      <w:r>
        <w:t xml:space="preserve">recalculating correlation values. Significant correlations were those</w:t>
      </w:r>
      <w:r>
        <w:t xml:space="preserve"> </w:t>
      </w:r>
      <w:r>
        <w:t xml:space="preserve">more extreme than any of the permuted values, corresponding to an</w:t>
      </w:r>
      <w:r>
        <w:t xml:space="preserve"> </w:t>
      </w:r>
      <w:r>
        <w:t xml:space="preserve">empirical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value of 0. These are transcripts whose locally encoded</w:t>
      </w:r>
      <w:r>
        <w:t xml:space="preserve"> </w:t>
      </w:r>
      <w:r>
        <w:t xml:space="preserve">expression level was significantly correlated with one of the metabolic</w:t>
      </w:r>
      <w:r>
        <w:t xml:space="preserve"> </w:t>
      </w:r>
      <w:r>
        <w:t xml:space="preserve">traits. This suggests an association between the genetically encoded</w:t>
      </w:r>
      <w:r>
        <w:t xml:space="preserve"> </w:t>
      </w:r>
      <w:r>
        <w:t xml:space="preserve">transcript level and the trait but does not identify a direction of</w:t>
      </w:r>
      <w:r>
        <w:t xml:space="preserve"> </w:t>
      </w:r>
      <w:r>
        <w:t xml:space="preserve">causation.</w:t>
      </w:r>
    </w:p>
    <w:bookmarkEnd w:id="48"/>
    <w:bookmarkStart w:id="49" w:name="literature-support-for-genes"/>
    <w:p>
      <w:pPr>
        <w:pStyle w:val="Heading2"/>
      </w:pPr>
      <w:r>
        <w:t xml:space="preserve">Literature support for</w:t>
      </w:r>
      <w:r>
        <w:t xml:space="preserve"> </w:t>
      </w:r>
      <w:r>
        <w:t xml:space="preserve">genes</w:t>
      </w:r>
    </w:p>
    <w:p>
      <w:pPr>
        <w:pStyle w:val="FirstParagraph"/>
      </w:pPr>
      <w:r>
        <w:t xml:space="preserve">To determine whether each gene among those with large loadings or large</w:t>
      </w:r>
      <w:r>
        <w:t xml:space="preserve"> </w:t>
      </w:r>
      <w:r>
        <w:t xml:space="preserve">heritability had a supported connection to obesity or diabetes in the</w:t>
      </w:r>
      <w:r>
        <w:t xml:space="preserve"> </w:t>
      </w:r>
      <w:r>
        <w:t xml:space="preserve">literature, we used the R package easyPubMed</w:t>
      </w:r>
      <w:r>
        <w:rPr>
          <w:vertAlign w:val="superscript"/>
        </w:rPr>
        <w:t xml:space="preserve">18</w:t>
      </w:r>
      <w:r>
        <w:t xml:space="preserve">. We</w:t>
      </w:r>
      <w:r>
        <w:t xml:space="preserve"> </w:t>
      </w:r>
      <w:r>
        <w:t xml:space="preserve">searched for the terms (</w:t>
      </w:r>
      <w:r>
        <w:t xml:space="preserve">“</w:t>
      </w:r>
      <w:r>
        <w:t xml:space="preserve">diabetes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obesity</w:t>
      </w:r>
      <w:r>
        <w:t xml:space="preserve">”</w:t>
      </w:r>
      <w:r>
        <w:t xml:space="preserve">) along with the</w:t>
      </w:r>
      <w:r>
        <w:t xml:space="preserve"> </w:t>
      </w:r>
      <w:r>
        <w:t xml:space="preserve">tissue name (adipose, islet, liver, or muscle), and the gene name. We</w:t>
      </w:r>
      <w:r>
        <w:t xml:space="preserve"> </w:t>
      </w:r>
      <w:r>
        <w:t xml:space="preserve">restricted the gene name to appear in the title or abstract as some</w:t>
      </w:r>
      <w:r>
        <w:t xml:space="preserve"> </w:t>
      </w:r>
      <w:r>
        <w:t xml:space="preserve">short names appeared at random in contact information. We checked each</w:t>
      </w:r>
      <w:r>
        <w:t xml:space="preserve"> </w:t>
      </w:r>
      <w:r>
        <w:t xml:space="preserve">gene with apparent literature support by hand to verify that support,</w:t>
      </w:r>
      <w:r>
        <w:t xml:space="preserve"> </w:t>
      </w:r>
      <w:r>
        <w:t xml:space="preserve">and we removed spurious associations. For example, FAU is used as an</w:t>
      </w:r>
      <w:r>
        <w:t xml:space="preserve"> </w:t>
      </w:r>
      <w:r>
        <w:t xml:space="preserve">acronym for fatty acid uptake and CAD is used as an acronym for coronary</w:t>
      </w:r>
      <w:r>
        <w:t xml:space="preserve"> </w:t>
      </w:r>
      <w:r>
        <w:t xml:space="preserve">artery disease. Both terms co-occur with the terms diabetes and obesity</w:t>
      </w:r>
      <w:r>
        <w:t xml:space="preserve"> </w:t>
      </w:r>
      <w:r>
        <w:t xml:space="preserve">in a manner independent of the genes</w:t>
      </w:r>
      <w:r>
        <w:t xml:space="preserve"> </w:t>
      </w:r>
      <w:r>
        <w:rPr>
          <w:iCs/>
          <w:i/>
        </w:rPr>
        <w:t xml:space="preserve">Fau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Cad</w:t>
      </w:r>
      <w:r>
        <w:t xml:space="preserve">.</w:t>
      </w:r>
      <w:r>
        <w:t xml:space="preserve"> </w:t>
      </w:r>
      <w:r>
        <w:t xml:space="preserve">Other genes that co-occurred with diabetes and obesity, but not as a</w:t>
      </w:r>
      <w:r>
        <w:t xml:space="preserve"> </w:t>
      </w:r>
      <w:r>
        <w:t xml:space="preserve">functional connection were similarly removed. For example, the gene</w:t>
      </w:r>
      <w:r>
        <w:t xml:space="preserve"> </w:t>
      </w:r>
      <w:r>
        <w:rPr>
          <w:iCs/>
          <w:i/>
        </w:rPr>
        <w:t xml:space="preserve">Rpl27</w:t>
      </w:r>
      <w:r>
        <w:t xml:space="preserve"> </w:t>
      </w:r>
      <w:r>
        <w:t xml:space="preserve">is used as a reference gene for quantification of the</w:t>
      </w:r>
      <w:r>
        <w:t xml:space="preserve"> </w:t>
      </w:r>
      <w:r>
        <w:t xml:space="preserve">expression of other genes, and co-occurrence with diabetes and obesity</w:t>
      </w:r>
      <w:r>
        <w:t xml:space="preserve"> </w:t>
      </w:r>
      <w:r>
        <w:t xml:space="preserve">is a coincidence. We counted the abstracts associated with diabetes or</w:t>
      </w:r>
      <w:r>
        <w:t xml:space="preserve"> </w:t>
      </w:r>
      <w:r>
        <w:t xml:space="preserve">obesity and each gene name and determined that a gene had literature</w:t>
      </w:r>
      <w:r>
        <w:t xml:space="preserve"> </w:t>
      </w:r>
      <w:r>
        <w:t xml:space="preserve">support when it had at least two abstracts linking it to the terms</w:t>
      </w:r>
      <w:r>
        <w:t xml:space="preserve"> </w:t>
      </w:r>
      <w:r>
        <w:t xml:space="preserve">diabetes or obesity in the respective tissue.</w:t>
      </w:r>
    </w:p>
    <w:bookmarkEnd w:id="49"/>
    <w:bookmarkStart w:id="50" w:name="tissue-specific-clusters"/>
    <w:p>
      <w:pPr>
        <w:pStyle w:val="Heading2"/>
      </w:pPr>
      <w:r>
        <w:t xml:space="preserve">Tissue-specific clusters</w:t>
      </w:r>
    </w:p>
    <w:p>
      <w:pPr>
        <w:pStyle w:val="FirstParagraph"/>
      </w:pPr>
      <w:r>
        <w:t xml:space="preserve">To compare the top loading genes across tissues, we selected genes with</w:t>
      </w:r>
      <w:r>
        <w:t xml:space="preserve"> </w:t>
      </w:r>
      <w:r>
        <w:t xml:space="preserve">a loading at least 2.5 standard deviations from the mean across all</w:t>
      </w:r>
      <w:r>
        <w:t xml:space="preserve"> </w:t>
      </w:r>
      <w:r>
        <w:t xml:space="preserve">tissues. We made a matrix consisting of the union of these sets</w:t>
      </w:r>
      <w:r>
        <w:t xml:space="preserve"> </w:t>
      </w:r>
      <w:r>
        <w:t xml:space="preserve">populated with the tissue-specific loading for each gene. We used the</w:t>
      </w:r>
      <w:r>
        <w:t xml:space="preserve"> </w:t>
      </w:r>
      <w:r>
        <w:t xml:space="preserve">pam() function in the R package cluster</w:t>
      </w:r>
      <w:r>
        <w:rPr>
          <w:vertAlign w:val="superscript"/>
        </w:rPr>
        <w:t xml:space="preserve">19</w:t>
      </w:r>
      <w:r>
        <w:t xml:space="preserve"> </w:t>
      </w:r>
      <w:r>
        <w:t xml:space="preserve">to cluster the</w:t>
      </w:r>
      <w:r>
        <w:t xml:space="preserve"> </w:t>
      </w:r>
      <w:r>
        <w:t xml:space="preserve">loading profiles around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medoids. We tested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through 20</w:t>
      </w:r>
      <w:r>
        <w:t xml:space="preserve"> </w:t>
      </w:r>
      <w:r>
        <w:t xml:space="preserve">and used silhouette andlysis to compare the separation of the clusters.</w:t>
      </w:r>
      <w:r>
        <w:t xml:space="preserve"> </w:t>
      </w:r>
      <w:r>
        <w:t xml:space="preserve">The best separation was achieved with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12</m:t>
        </m:r>
      </m:oMath>
      <w:r>
        <w:t xml:space="preserve"> </w:t>
      </w:r>
      <w:r>
        <w:t xml:space="preserve">clusters. For each</w:t>
      </w:r>
      <w:r>
        <w:t xml:space="preserve"> </w:t>
      </w:r>
      <w:r>
        <w:t xml:space="preserve">cluster we used the R package gprofiler2</w:t>
      </w:r>
      <w:r>
        <w:rPr>
          <w:vertAlign w:val="superscript"/>
        </w:rPr>
        <w:t xml:space="preserve">20</w:t>
      </w:r>
      <w:r>
        <w:t xml:space="preserve"> </w:t>
      </w:r>
      <w:r>
        <w:t xml:space="preserve">to identify</w:t>
      </w:r>
      <w:r>
        <w:t xml:space="preserve"> </w:t>
      </w:r>
      <w:r>
        <w:t xml:space="preserve">enriched GO terms and KEGG pathways for the genes in each cluster.</w:t>
      </w:r>
    </w:p>
    <w:bookmarkEnd w:id="50"/>
    <w:bookmarkStart w:id="51" w:name="cc-rix-mice"/>
    <w:p>
      <w:pPr>
        <w:pStyle w:val="Heading2"/>
      </w:pPr>
      <w:r>
        <w:t xml:space="preserve">CC-RIX mice</w:t>
      </w:r>
    </w:p>
    <w:bookmarkEnd w:id="51"/>
    <w:bookmarkStart w:id="53" w:name="cc-rix-genotypes"/>
    <w:p>
      <w:pPr>
        <w:pStyle w:val="Heading2"/>
      </w:pPr>
      <w:r>
        <w:t xml:space="preserve">CC-RIX genotypes</w:t>
      </w:r>
    </w:p>
    <w:p>
      <w:pPr>
        <w:pStyle w:val="FirstParagraph"/>
      </w:pPr>
      <w:r>
        <w:t xml:space="preserve">We used the most recent common ancestor (MRCA) genotypes for the</w:t>
      </w:r>
      <w:r>
        <w:t xml:space="preserve"> </w:t>
      </w:r>
      <w:r>
        <w:t xml:space="preserve">Collaborative Cross (CC) mice available on the University of North</w:t>
      </w:r>
      <w:r>
        <w:t xml:space="preserve"> </w:t>
      </w:r>
      <w:r>
        <w:t xml:space="preserve">Carolina website:</w:t>
      </w:r>
      <w:r>
        <w:t xml:space="preserve"> </w:t>
      </w:r>
      <w:hyperlink r:id="rId52">
        <w:r>
          <w:rPr>
            <w:rStyle w:val="Hyperlink"/>
          </w:rPr>
          <w:t xml:space="preserve">http://www.csbio.unc.edu/CCstatus/CCGenomes/</w:t>
        </w:r>
      </w:hyperlink>
    </w:p>
    <w:p>
      <w:pPr>
        <w:pStyle w:val="BodyText"/>
      </w:pPr>
      <w:r>
        <w:t xml:space="preserve">To generate CC-RIX genotypes, we averaged the haplotype probabilities</w:t>
      </w:r>
      <w:r>
        <w:t xml:space="preserve"> </w:t>
      </w:r>
      <w:r>
        <w:t xml:space="preserve">for the two parental strains at each locus.</w:t>
      </w:r>
    </w:p>
    <w:bookmarkEnd w:id="53"/>
    <w:bookmarkStart w:id="54" w:name="imputation-of-gene-expression-in-cc-rix"/>
    <w:p>
      <w:pPr>
        <w:pStyle w:val="Heading2"/>
      </w:pPr>
      <w:r>
        <w:t xml:space="preserve">Imputation of gene expression in</w:t>
      </w:r>
      <w:r>
        <w:t xml:space="preserve"> </w:t>
      </w:r>
      <w:r>
        <w:t xml:space="preserve">CC-RIX</w:t>
      </w:r>
    </w:p>
    <w:p>
      <w:pPr>
        <w:pStyle w:val="FirstParagraph"/>
      </w:pPr>
      <w:r>
        <w:t xml:space="preserve">To impute gene expression in the CC-RIX, we performed the following</w:t>
      </w:r>
      <w:r>
        <w:t xml:space="preserve"> </w:t>
      </w:r>
      <w:r>
        <w:t xml:space="preserve">steps for each transcript in each tissue (adipose, liver, and skeletal</w:t>
      </w:r>
      <w:r>
        <w:t xml:space="preserve"> </w:t>
      </w:r>
      <w:r>
        <w:t xml:space="preserve">muscle): 1. Calculate diploid CC-RIX genotype for all CC-RIX individuals</w:t>
      </w:r>
      <w:r>
        <w:t xml:space="preserve"> </w:t>
      </w:r>
      <w:r>
        <w:t xml:space="preserve">at the marker nearest the transcription start site of the transcript. 2.</w:t>
      </w:r>
      <w:r>
        <w:t xml:space="preserve"> </w:t>
      </w:r>
      <w:r>
        <w:t xml:space="preserve">Multiply the genotype probabilities by the eQTL coefficients identified</w:t>
      </w:r>
      <w:r>
        <w:t xml:space="preserve"> </w:t>
      </w:r>
      <w:r>
        <w:t xml:space="preserve">in the DO population.</w:t>
      </w:r>
    </w:p>
    <w:p>
      <w:pPr>
        <w:pStyle w:val="BodyText"/>
      </w:pPr>
      <w:r>
        <w:t xml:space="preserve">To check the accuracy of the imputation, we correlated each imputed</w:t>
      </w:r>
      <w:r>
        <w:t xml:space="preserve"> </w:t>
      </w:r>
      <w:r>
        <w:t xml:space="preserve">transcript with the measured transcript. The average Pearson correlation</w:t>
      </w:r>
      <w:r>
        <w:t xml:space="preserve"> </w:t>
      </w:r>
      <w:r>
        <w:t xml:space="preserve">(r) was close to 0.5 for all three tissues (Supp. Fig. S7A), and as</w:t>
      </w:r>
      <w:r>
        <w:t xml:space="preserve"> </w:t>
      </w:r>
      <w:r>
        <w:t xml:space="preserve">expected, the correlation between the imputed transcript and the</w:t>
      </w:r>
      <w:r>
        <w:t xml:space="preserve"> </w:t>
      </w:r>
      <w:r>
        <w:t xml:space="preserve">measured transcript was highly positively dependent on the local eQTL</w:t>
      </w:r>
      <w:r>
        <w:t xml:space="preserve"> </w:t>
      </w:r>
      <w:r>
        <w:t xml:space="preserve">LOD score of the transcript (Supp. Fig. S7B).</w:t>
      </w:r>
    </w:p>
    <w:bookmarkEnd w:id="54"/>
    <w:bookmarkStart w:id="55" w:name="prediction-of-cc-rix-traits"/>
    <w:p>
      <w:pPr>
        <w:pStyle w:val="Heading2"/>
      </w:pPr>
      <w:r>
        <w:t xml:space="preserve">Prediction of CC-RIX</w:t>
      </w:r>
      <w:r>
        <w:t xml:space="preserve"> </w:t>
      </w:r>
      <w:r>
        <w:t xml:space="preserve">traits</w:t>
      </w:r>
    </w:p>
    <w:p>
      <w:pPr>
        <w:pStyle w:val="FirstParagraph"/>
      </w:pPr>
      <w:r>
        <w:t xml:space="preserve">We used both measured expression and imputed expression combined with</w:t>
      </w:r>
      <w:r>
        <w:t xml:space="preserve"> </w:t>
      </w:r>
      <w:r>
        <w:t xml:space="preserve">the results from HDM in the to predict phenotype in the CC-RIX. The</w:t>
      </w:r>
      <w:r>
        <w:t xml:space="preserve"> </w:t>
      </w:r>
      <w:r>
        <w:t xml:space="preserve">traits measured in the DO and the CC-RIX were not identical, so we</w:t>
      </w:r>
      <w:r>
        <w:t xml:space="preserve"> </w:t>
      </w:r>
      <w:r>
        <w:t xml:space="preserve">limited our prediction to body weight, which was measured in both</w:t>
      </w:r>
      <w:r>
        <w:t xml:space="preserve"> </w:t>
      </w:r>
      <w:r>
        <w:t xml:space="preserve">populations, and was the largest contributor to the phenotype score in</w:t>
      </w:r>
      <w:r>
        <w:t xml:space="preserve"> </w:t>
      </w:r>
      <w:r>
        <w:t xml:space="preserve">the DO.</w:t>
      </w:r>
    </w:p>
    <w:p>
      <w:pPr>
        <w:pStyle w:val="BodyText"/>
      </w:pPr>
      <w:r>
        <w:t xml:space="preserve">For each CC-RIX individual, we multiplied the transcript abundances</w:t>
      </w:r>
      <w:r>
        <w:t xml:space="preserve"> </w:t>
      </w:r>
      <w:r>
        <w:t xml:space="preserve">across the transcriptome by the loadings derived from the HDM in the DO</w:t>
      </w:r>
      <w:r>
        <w:t xml:space="preserve"> </w:t>
      </w:r>
      <w:r>
        <w:t xml:space="preserve">population (Fig. 7A). This resulted in a vector with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elements,</w:t>
      </w:r>
      <w:r>
        <w:t xml:space="preserve"> </w:t>
      </w:r>
      <w:r>
        <w:t xml:space="preserve">where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the number of transcripts in the trancriptome. Each</w:t>
      </w:r>
      <w:r>
        <w:t xml:space="preserve"> </w:t>
      </w:r>
      <w:r>
        <w:t xml:space="preserve">element was a weighted value that combined the relative abundance of the</w:t>
      </w:r>
      <w:r>
        <w:t xml:space="preserve"> </w:t>
      </w:r>
      <w:r>
        <w:t xml:space="preserve">transcript with how that abundance affected the phenotype. We averaged</w:t>
      </w:r>
      <w:r>
        <w:t xml:space="preserve"> </w:t>
      </w:r>
      <w:r>
        <w:t xml:space="preserve">the values in this vector to calculate an overall predicted phenotype</w:t>
      </w:r>
      <w:r>
        <w:t xml:space="preserve"> </w:t>
      </w:r>
      <w:r>
        <w:t xml:space="preserve">score for the individual CC-RIX animal.</w:t>
      </w:r>
    </w:p>
    <w:p>
      <w:pPr>
        <w:pStyle w:val="BodyText"/>
      </w:pPr>
      <w:r>
        <w:t xml:space="preserve">After calculating this predicted phenotype value across all CC-RIX</w:t>
      </w:r>
      <w:r>
        <w:t xml:space="preserve"> </w:t>
      </w:r>
      <w:r>
        <w:t xml:space="preserve">animals, we correlated the predicted values from each tissue with</w:t>
      </w:r>
      <w:r>
        <w:t xml:space="preserve"> </w:t>
      </w:r>
      <w:r>
        <w:t xml:space="preserve">measured body weight (Fig. 7B).</w:t>
      </w:r>
    </w:p>
    <w:bookmarkEnd w:id="55"/>
    <w:bookmarkStart w:id="56" w:name="cell-type-specificity"/>
    <w:p>
      <w:pPr>
        <w:pStyle w:val="Heading2"/>
      </w:pPr>
      <w:r>
        <w:t xml:space="preserve">Cell type specificity</w:t>
      </w:r>
    </w:p>
    <w:p>
      <w:pPr>
        <w:pStyle w:val="FirstParagraph"/>
      </w:pPr>
      <w:r>
        <w:t xml:space="preserve">We investigated whether the loadings derived from HDM reflected tissue</w:t>
      </w:r>
      <w:r>
        <w:t xml:space="preserve"> </w:t>
      </w:r>
      <w:r>
        <w:t xml:space="preserve">composition changes in the DO mice prone to obesity on the high-fat</w:t>
      </w:r>
      <w:r>
        <w:t xml:space="preserve"> </w:t>
      </w:r>
      <w:r>
        <w:t xml:space="preserve">diet. To do this, we acquired lists of cell-type specific transcripts</w:t>
      </w:r>
      <w:r>
        <w:t xml:space="preserve"> </w:t>
      </w:r>
      <w:r>
        <w:t xml:space="preserve">from the literature. In adipose tissue, we looked at cell-type specific</w:t>
      </w:r>
      <w:r>
        <w:t xml:space="preserve"> </w:t>
      </w:r>
      <w:r>
        <w:t xml:space="preserve">transcripts for macrophages, leukocytes, adipocyte progenitors, and</w:t>
      </w:r>
      <w:r>
        <w:t xml:space="preserve"> </w:t>
      </w:r>
      <w:r>
        <w:t xml:space="preserve">adipocytes as defined in</w:t>
      </w:r>
      <w:r>
        <w:t xml:space="preserve"> </w:t>
      </w:r>
      <w:r>
        <w:t xml:space="preserve">[</w:t>
      </w:r>
      <w:r>
        <w:t xml:space="preserve">29087381</w:t>
      </w:r>
      <w:r>
        <w:t xml:space="preserve">]</w:t>
      </w:r>
      <w:r>
        <w:t xml:space="preserve">. In pancreatic islets, we looked</w:t>
      </w:r>
      <w:r>
        <w:t xml:space="preserve"> </w:t>
      </w:r>
      <w:r>
        <w:t xml:space="preserve">at cell-type specific transcripts for alpha cells, beta cells, delta</w:t>
      </w:r>
      <w:r>
        <w:t xml:space="preserve"> </w:t>
      </w:r>
      <w:r>
        <w:t xml:space="preserve">cells, ductal cells, mast cells, macrophages, acinar cells, stellate</w:t>
      </w:r>
      <w:r>
        <w:t xml:space="preserve"> </w:t>
      </w:r>
      <w:r>
        <w:t xml:space="preserve">cells, gamma and epsilon cells, and endothelial cells as defined by</w:t>
      </w:r>
      <w:r>
        <w:t xml:space="preserve"> </w:t>
      </w:r>
      <w:r>
        <w:t xml:space="preserve">[</w:t>
      </w:r>
      <w:r>
        <w:t xml:space="preserve">36778506</w:t>
      </w:r>
      <w:r>
        <w:t xml:space="preserve">]</w:t>
      </w:r>
      <w:r>
        <w:t xml:space="preserve">. Both studies defined cell-type specific transcripts</w:t>
      </w:r>
      <w:r>
        <w:t xml:space="preserve"> </w:t>
      </w:r>
      <w:r>
        <w:t xml:space="preserve">based on human cell types. We collected the loadings for each set of</w:t>
      </w:r>
      <w:r>
        <w:t xml:space="preserve"> </w:t>
      </w:r>
      <w:r>
        <w:t xml:space="preserve">cell-type specific transcripts in the respective tissue and asked</w:t>
      </w:r>
      <w:r>
        <w:t xml:space="preserve"> </w:t>
      </w:r>
      <w:r>
        <w:t xml:space="preserve">whether the mean loading for the cell type differed significantly from 0</w:t>
      </w:r>
      <w:r>
        <w:t xml:space="preserve"> </w:t>
      </w:r>
      <w:r>
        <w:t xml:space="preserve">(Fig. 8). A significant positive loading for the cell type would suggest</w:t>
      </w:r>
      <w:r>
        <w:t xml:space="preserve"> </w:t>
      </w:r>
      <w:r>
        <w:t xml:space="preserve">a genetic predisposition to have a higher proportion of that cell type</w:t>
      </w:r>
      <w:r>
        <w:t xml:space="preserve"> </w:t>
      </w:r>
      <w:r>
        <w:t xml:space="preserve">in the tissue. To determine whether each mean loading differed</w:t>
      </w:r>
      <w:r>
        <w:t xml:space="preserve"> </w:t>
      </w:r>
      <w:r>
        <w:t xml:space="preserve">significantly from 0, we performed permutation tests. We randomly</w:t>
      </w:r>
      <w:r>
        <w:t xml:space="preserve"> </w:t>
      </w:r>
      <w:r>
        <w:t xml:space="preserve">sampled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genes outside of the cell-type specific, where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was</w:t>
      </w:r>
      <w:r>
        <w:t xml:space="preserve"> </w:t>
      </w:r>
      <w:r>
        <w:t xml:space="preserve">the number of genes in the set. We compared the distribution of loading</w:t>
      </w:r>
      <w:r>
        <w:t xml:space="preserve"> </w:t>
      </w:r>
      <w:r>
        <w:t xml:space="preserve">means over 10,000 random draws to that seen in the observed data. We</w:t>
      </w:r>
      <w:r>
        <w:t xml:space="preserve"> </w:t>
      </w:r>
      <w:r>
        <w:t xml:space="preserve">used a significance threshold of 0.01.</w:t>
      </w:r>
    </w:p>
    <w:bookmarkEnd w:id="56"/>
    <w:bookmarkStart w:id="57" w:name="X729ad63acc6713e670929761563426c121fd2bb"/>
    <w:p>
      <w:pPr>
        <w:pStyle w:val="Heading2"/>
      </w:pPr>
      <w:r>
        <w:t xml:space="preserve">Comparison of transcriptomic signatures to human</w:t>
      </w:r>
      <w:r>
        <w:t xml:space="preserve"> </w:t>
      </w:r>
      <w:r>
        <w:t xml:space="preserve">transcriptomic</w:t>
      </w:r>
      <w:r>
        <w:t xml:space="preserve"> </w:t>
      </w:r>
      <w:r>
        <w:t xml:space="preserve">signatures</w:t>
      </w:r>
    </w:p>
    <w:p>
      <w:pPr>
        <w:pStyle w:val="FirstParagraph"/>
      </w:pPr>
      <w:r>
        <w:t xml:space="preserve">To compare the transcriptomic signatures identified in the DO mice to</w:t>
      </w:r>
      <w:r>
        <w:t xml:space="preserve"> </w:t>
      </w:r>
      <w:r>
        <w:t xml:space="preserve">those seen in human patients, we downloaded human gene expression data</w:t>
      </w:r>
      <w:r>
        <w:t xml:space="preserve"> </w:t>
      </w:r>
      <w:r>
        <w:t xml:space="preserve">from the Gene Expression Omnibus (GEO)</w:t>
      </w:r>
      <w:r>
        <w:rPr>
          <w:vertAlign w:val="superscript"/>
        </w:rPr>
        <w:t xml:space="preserve">21,22</w:t>
      </w:r>
      <w:r>
        <w:t xml:space="preserve">. We focused on adipose tissue because</w:t>
      </w:r>
      <w:r>
        <w:t xml:space="preserve"> </w:t>
      </w:r>
      <w:r>
        <w:t xml:space="preserve">this had the strongest relationship to obesity and insulin resistance in</w:t>
      </w:r>
      <w:r>
        <w:t xml:space="preserve"> </w:t>
      </w:r>
      <w:r>
        <w:t xml:space="preserve">the DO. We downloaded the following human gene expression data sets:</w:t>
      </w:r>
    </w:p>
    <w:p>
      <w:pPr>
        <w:numPr>
          <w:ilvl w:val="0"/>
          <w:numId w:val="1001"/>
        </w:numPr>
      </w:pPr>
      <w:r>
        <w:t xml:space="preserve">Accession number GSE152517 - Performed bulk RNA sequencing on visceral</w:t>
      </w:r>
      <w:r>
        <w:t xml:space="preserve"> </w:t>
      </w:r>
      <w:r>
        <w:t xml:space="preserve">adipose tissue resected from seven diabetic and seven non-diabetic</w:t>
      </w:r>
      <w:r>
        <w:t xml:space="preserve"> </w:t>
      </w:r>
      <w:r>
        <w:t xml:space="preserve">obese individuals.</w:t>
      </w:r>
    </w:p>
    <w:p>
      <w:pPr>
        <w:numPr>
          <w:ilvl w:val="0"/>
          <w:numId w:val="1001"/>
        </w:numPr>
      </w:pPr>
      <w:r>
        <w:t xml:space="preserve">Accession number GSE44000 - Used Agilent-014850 4X44K human whole</w:t>
      </w:r>
      <w:r>
        <w:t xml:space="preserve"> </w:t>
      </w:r>
      <w:r>
        <w:t xml:space="preserve">genome platform arrays (GPL6480) to measure gene expression in</w:t>
      </w:r>
      <w:r>
        <w:t xml:space="preserve"> </w:t>
      </w:r>
      <w:r>
        <w:t xml:space="preserve">purified adipocytes derived from the subcutaneous adipose tissue of</w:t>
      </w:r>
      <w:r>
        <w:t xml:space="preserve"> </w:t>
      </w:r>
      <w:r>
        <w:t xml:space="preserve">seven obese (BMI&gt;30) and seven lean (BMI&lt;25)</w:t>
      </w:r>
      <w:r>
        <w:t xml:space="preserve"> </w:t>
      </w:r>
      <w:r>
        <w:t xml:space="preserve">post-menopausal women.</w:t>
      </w:r>
    </w:p>
    <w:p>
      <w:pPr>
        <w:numPr>
          <w:ilvl w:val="0"/>
          <w:numId w:val="1001"/>
        </w:numPr>
      </w:pPr>
      <w:r>
        <w:t xml:space="preserve">Accession number GSE205668 - Subcutaneous adipose tissue was resected</w:t>
      </w:r>
      <w:r>
        <w:t xml:space="preserve"> </w:t>
      </w:r>
      <w:r>
        <w:t xml:space="preserve">during elective surgery from 35 normal weight, and 26 obese children.</w:t>
      </w:r>
      <w:r>
        <w:t xml:space="preserve"> </w:t>
      </w:r>
      <w:r>
        <w:t xml:space="preserve">Gene expression was measured by RNA sequencing with an Illumina HiSeq</w:t>
      </w:r>
      <w:r>
        <w:t xml:space="preserve"> </w:t>
      </w:r>
      <w:r>
        <w:t xml:space="preserve">2500.</w:t>
      </w:r>
    </w:p>
    <w:p>
      <w:pPr>
        <w:numPr>
          <w:ilvl w:val="0"/>
          <w:numId w:val="1001"/>
        </w:numPr>
      </w:pPr>
      <w:r>
        <w:t xml:space="preserve">Accession number GSE29231 - Visceral adipose biopsies were taken from</w:t>
      </w:r>
      <w:r>
        <w:t xml:space="preserve"> </w:t>
      </w:r>
      <w:r>
        <w:t xml:space="preserve">three female patients with type 2 diabetes, and three non-diabetic</w:t>
      </w:r>
      <w:r>
        <w:t xml:space="preserve"> </w:t>
      </w:r>
      <w:r>
        <w:t xml:space="preserve">female patients. Expression was measured with Illumina HumanHT-12 v3</w:t>
      </w:r>
      <w:r>
        <w:t xml:space="preserve"> </w:t>
      </w:r>
      <w:r>
        <w:t xml:space="preserve">Expression BeadChip arrays.</w:t>
      </w:r>
    </w:p>
    <w:p>
      <w:pPr>
        <w:pStyle w:val="FirstParagraph"/>
      </w:pPr>
      <w:r>
        <w:t xml:space="preserve">We downloaded each data set from GEO using the R package GEOquery</w:t>
      </w:r>
      <w:r>
        <w:rPr>
          <w:vertAlign w:val="superscript"/>
        </w:rPr>
        <w:t xml:space="preserve">23</w:t>
      </w:r>
      <w:r>
        <w:t xml:space="preserve">. In each case, we verified that gene expression was log</w:t>
      </w:r>
      <w:r>
        <w:t xml:space="preserve"> </w:t>
      </w:r>
      <w:r>
        <w:t xml:space="preserve">transformed and performed the transformation ourselves if it had not</w:t>
      </w:r>
      <w:r>
        <w:t xml:space="preserve"> </w:t>
      </w:r>
      <w:r>
        <w:t xml:space="preserve">already been done. When covariates such as age and sex were available in</w:t>
      </w:r>
      <w:r>
        <w:t xml:space="preserve"> </w:t>
      </w:r>
      <w:r>
        <w:t xml:space="preserve">the metadata files, we regressed out these variables. We mean centered</w:t>
      </w:r>
      <w:r>
        <w:t xml:space="preserve"> </w:t>
      </w:r>
      <w:r>
        <w:t xml:space="preserve">and standardized gene expression across transcripts.</w:t>
      </w:r>
    </w:p>
    <w:p>
      <w:pPr>
        <w:pStyle w:val="BodyText"/>
      </w:pPr>
      <w:r>
        <w:t xml:space="preserve">We matched the human gene expression to the mouse gene expression by</w:t>
      </w:r>
      <w:r>
        <w:t xml:space="preserve"> </w:t>
      </w:r>
      <w:r>
        <w:t xml:space="preserve">pairing orthologs as defined in The Jackson Laboratory’s mouse genome</w:t>
      </w:r>
      <w:r>
        <w:t xml:space="preserve"> </w:t>
      </w:r>
      <w:r>
        <w:t xml:space="preserve">informatics data base (MGI)</w:t>
      </w:r>
      <w:r>
        <w:rPr>
          <w:vertAlign w:val="superscript"/>
        </w:rPr>
        <w:t xml:space="preserve">24</w:t>
      </w:r>
      <w:r>
        <w:t xml:space="preserve">. We multiplied each</w:t>
      </w:r>
      <w:r>
        <w:t xml:space="preserve"> </w:t>
      </w:r>
      <w:r>
        <w:t xml:space="preserve">transcript in the human data by the adipose tissue loading of its</w:t>
      </w:r>
      <w:r>
        <w:t xml:space="preserve"> </w:t>
      </w:r>
      <w:r>
        <w:t xml:space="preserve">ortholog in the DO mice. This resulted in a vector of weighted</w:t>
      </w:r>
      <w:r>
        <w:t xml:space="preserve"> </w:t>
      </w:r>
      <w:r>
        <w:t xml:space="preserve">transcript values for each patient based on their own transcriptional</w:t>
      </w:r>
      <w:r>
        <w:t xml:space="preserve"> </w:t>
      </w:r>
      <w:r>
        <w:t xml:space="preserve">profile and the obesity-related transcriptional signature from the DO</w:t>
      </w:r>
      <w:r>
        <w:t xml:space="preserve"> </w:t>
      </w:r>
      <w:r>
        <w:t xml:space="preserve">analysis. The mean of this vector for an individual was the prediction</w:t>
      </w:r>
      <w:r>
        <w:t xml:space="preserve"> </w:t>
      </w:r>
      <w:r>
        <w:t xml:space="preserve">of their obesity status. Higher values indicate a prediction of higher</w:t>
      </w:r>
      <w:r>
        <w:t xml:space="preserve"> </w:t>
      </w:r>
      <w:r>
        <w:t xml:space="preserve">obesity or risk of metabolic disease based on adipose gene expression.</w:t>
      </w:r>
      <w:r>
        <w:t xml:space="preserve"> </w:t>
      </w:r>
      <w:r>
        <w:t xml:space="preserve">We then compared the values across groups, either obese and non-obese,</w:t>
      </w:r>
      <w:r>
        <w:t xml:space="preserve"> </w:t>
      </w:r>
      <w:r>
        <w:t xml:space="preserve">or diabetic and non-diabetic depending on the groups in each study.</w:t>
      </w:r>
    </w:p>
    <w:bookmarkEnd w:id="57"/>
    <w:bookmarkStart w:id="87" w:name="connectivity-map-queries"/>
    <w:p>
      <w:pPr>
        <w:pStyle w:val="Heading2"/>
      </w:pPr>
      <w:r>
        <w:t xml:space="preserve">Connectivity Map Queries</w:t>
      </w:r>
    </w:p>
    <w:p>
      <w:pPr>
        <w:pStyle w:val="FirstParagraph"/>
      </w:pPr>
      <w:r>
        <w:t xml:space="preserve">We queried the transcript loading signatures from adipose tissue and</w:t>
      </w:r>
      <w:r>
        <w:t xml:space="preserve"> </w:t>
      </w:r>
      <w:r>
        <w:t xml:space="preserve">pancreatic islets with the CMAP database. These tissues are the most</w:t>
      </w:r>
      <w:r>
        <w:t xml:space="preserve"> </w:t>
      </w:r>
      <w:r>
        <w:t xml:space="preserve">related to metabolic disease and diabetes respectively.</w:t>
      </w:r>
    </w:p>
    <w:p>
      <w:pPr>
        <w:pStyle w:val="BodyText"/>
      </w:pPr>
      <w:r>
        <w:t xml:space="preserve">The gene expression profiles in the Connectivity Map database are</w:t>
      </w:r>
      <w:r>
        <w:t xml:space="preserve"> </w:t>
      </w:r>
      <w:r>
        <w:t xml:space="preserve">derived from human cell lines and human primary cultures and are indexed</w:t>
      </w:r>
      <w:r>
        <w:t xml:space="preserve"> </w:t>
      </w:r>
      <w:r>
        <w:t xml:space="preserve">by Entrez gene IDs. To query the CMAP database, we identified the Entrez</w:t>
      </w:r>
      <w:r>
        <w:t xml:space="preserve"> </w:t>
      </w:r>
      <w:r>
        <w:t xml:space="preserve">gene IDs for the human orthologs of the mouse genes expressed in each</w:t>
      </w:r>
      <w:r>
        <w:t xml:space="preserve"> </w:t>
      </w:r>
      <w:r>
        <w:t xml:space="preserve">tissue. Each CMAP query takes the 150 most up-regulated and the 150 most</w:t>
      </w:r>
      <w:r>
        <w:t xml:space="preserve"> </w:t>
      </w:r>
      <w:r>
        <w:t xml:space="preserve">down-regulated genes in a signature, however, not all human genes are</w:t>
      </w:r>
      <w:r>
        <w:t xml:space="preserve"> </w:t>
      </w:r>
      <w:r>
        <w:t xml:space="preserve">included in their database. To ensure we had as many genes as possible</w:t>
      </w:r>
      <w:r>
        <w:t xml:space="preserve"> </w:t>
      </w:r>
      <w:r>
        <w:t xml:space="preserve">in the query, we selected the top and bottom 200 genes with the most</w:t>
      </w:r>
      <w:r>
        <w:t xml:space="preserve"> </w:t>
      </w:r>
      <w:r>
        <w:t xml:space="preserve">extreme positive and negative loadings respectively. We pasted these</w:t>
      </w:r>
      <w:r>
        <w:t xml:space="preserve"> </w:t>
      </w:r>
      <w:r>
        <w:t xml:space="preserve">into the CLUE query application available at</w:t>
      </w:r>
      <w:r>
        <w:t xml:space="preserve"> </w:t>
      </w:r>
      <w:hyperlink r:id="rId58">
        <w:r>
          <w:rPr>
            <w:rStyle w:val="Hyperlink"/>
          </w:rPr>
          <w:t xml:space="preserve">https://clue.io/query</w:t>
        </w:r>
      </w:hyperlink>
      <w:r>
        <w:t xml:space="preserve">.</w:t>
      </w:r>
    </w:p>
    <w:p>
      <w:pPr>
        <w:pStyle w:val="BodyText"/>
      </w:pPr>
      <w:r>
        <w:t xml:space="preserve">We filtered the results in two ways: First, we looked at the most</w:t>
      </w:r>
      <w:r>
        <w:t xml:space="preserve"> </w:t>
      </w:r>
      <w:r>
        <w:t xml:space="preserve">significantly anti-correlated (</w:t>
      </w:r>
      <m:oMath>
        <m:r>
          <m:rPr>
            <m:sty m:val="p"/>
          </m:rPr>
          <m:t>−</m:t>
        </m:r>
        <m:r>
          <m:t>l</m:t>
        </m:r>
        <m:r>
          <m:t>o</m:t>
        </m:r>
        <m:sSub>
          <m:e>
            <m:r>
              <m:t>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F</m:t>
            </m:r>
            <m:r>
              <m:rPr>
                <m:sty m:val="p"/>
              </m:rPr>
              <m:t>D</m:t>
            </m:r>
            <m:r>
              <m:rPr>
                <m:sty m:val="p"/>
              </m:rPr>
              <m:t>R</m:t>
            </m:r>
            <m:r>
              <m:t>q</m:t>
            </m:r>
          </m:e>
        </m:d>
        <m:r>
          <m:rPr>
            <m:sty m:val="p"/>
          </m:rPr>
          <m:t>&gt;</m:t>
        </m:r>
        <m:r>
          <m:t>15</m:t>
        </m:r>
      </m:oMath>
      <w:r>
        <w:t xml:space="preserve">) hits</w:t>
      </w:r>
      <w:r>
        <w:t xml:space="preserve"> </w:t>
      </w:r>
      <w:r>
        <w:t xml:space="preserve">across all cell types. Second, we looked at the most anti-correlated</w:t>
      </w:r>
      <w:r>
        <w:t xml:space="preserve"> </w:t>
      </w:r>
      <w:r>
        <w:t xml:space="preserve">within the most related cell type to the query and considered hits</w:t>
      </w:r>
      <w:r>
        <w:t xml:space="preserve"> </w:t>
      </w:r>
      <w:r>
        <w:t xml:space="preserve">regardless of</w:t>
      </w:r>
      <w:r>
        <w:t xml:space="preserve"> </w:t>
      </w:r>
      <m:oMath>
        <m:r>
          <m:rPr>
            <m:sty m:val="p"/>
          </m:rPr>
          <m:t>−</m:t>
        </m:r>
        <m:r>
          <m:t>l</m:t>
        </m:r>
        <m:r>
          <m:t>o</m:t>
        </m:r>
        <m:sSub>
          <m:e>
            <m:r>
              <m:t>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F</m:t>
            </m:r>
            <m:r>
              <m:rPr>
                <m:sty m:val="p"/>
              </m:rPr>
              <m:t>D</m:t>
            </m:r>
            <m:r>
              <m:rPr>
                <m:sty m:val="p"/>
              </m:rPr>
              <m:t>R</m:t>
            </m:r>
            <m:r>
              <m:t>p</m:t>
            </m:r>
          </m:e>
        </m:d>
      </m:oMath>
      <w:r>
        <w:t xml:space="preserve">. For adipose tissue we</w:t>
      </w:r>
      <w:r>
        <w:t xml:space="preserve"> </w:t>
      </w:r>
      <w:r>
        <w:t xml:space="preserve">looked in normal adipocytes, abbreviated ASC in the CMAP database, and</w:t>
      </w:r>
      <w:r>
        <w:t xml:space="preserve"> </w:t>
      </w:r>
      <w:r>
        <w:t xml:space="preserve">for pancreatic islets we looked in pancreatic cancer cells, abbreviated</w:t>
      </w:r>
      <w:r>
        <w:t xml:space="preserve"> </w:t>
      </w:r>
      <w:r>
        <w:t xml:space="preserve">YAPC in the CMAP database.</w:t>
      </w:r>
    </w:p>
    <w:bookmarkStart w:id="86" w:name="refs"/>
    <w:bookmarkStart w:id="59" w:name="ref-pmid31343992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Keller, M. P.</w:t>
      </w:r>
      <w:r>
        <w:t xml:space="preserve"> </w:t>
      </w:r>
      <w:r>
        <w:rPr>
          <w:iCs/>
          <w:i/>
        </w:rPr>
        <w:t xml:space="preserve">et al.</w:t>
      </w:r>
      <w:r>
        <w:t xml:space="preserve"> Gene loci associated with insulin secretion in islets from nondiabetic mice.</w:t>
      </w:r>
      <w:r>
        <w:t xml:space="preserve"> </w:t>
      </w:r>
      <w:r>
        <w:rPr>
          <w:iCs/>
          <w:i/>
        </w:rPr>
        <w:t xml:space="preserve">The Journal of Clinical Investigation</w:t>
      </w:r>
      <w:r>
        <w:t xml:space="preserve"> </w:t>
      </w:r>
      <w:r>
        <w:rPr>
          <w:bCs/>
          <w:b/>
        </w:rPr>
        <w:t xml:space="preserve">129</w:t>
      </w:r>
      <w:r>
        <w:t xml:space="preserve">, 4419–4432 (2019).</w:t>
      </w:r>
    </w:p>
    <w:bookmarkEnd w:id="59"/>
    <w:bookmarkStart w:id="60" w:name="ref-pmid29567659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Keller, M. P.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G</w:t>
      </w:r>
      <w:r>
        <w:t xml:space="preserve">enetic</w:t>
      </w:r>
      <w:r>
        <w:t xml:space="preserve"> </w:t>
      </w:r>
      <w:r>
        <w:t xml:space="preserve">D</w:t>
      </w:r>
      <w:r>
        <w:t xml:space="preserve">rivers of</w:t>
      </w:r>
      <w:r>
        <w:t xml:space="preserve"> </w:t>
      </w:r>
      <w:r>
        <w:t xml:space="preserve">P</w:t>
      </w:r>
      <w:r>
        <w:t xml:space="preserve">ancreatic</w:t>
      </w:r>
      <w:r>
        <w:t xml:space="preserve"> </w:t>
      </w:r>
      <w:r>
        <w:t xml:space="preserve">I</w:t>
      </w:r>
      <w:r>
        <w:t xml:space="preserve">slet</w:t>
      </w:r>
      <w:r>
        <w:t xml:space="preserve"> </w:t>
      </w:r>
      <w:r>
        <w:t xml:space="preserve">F</w:t>
      </w:r>
      <w:r>
        <w:t xml:space="preserve">unction</w:t>
      </w:r>
      <w:r>
        <w:t xml:space="preserve">.</w:t>
      </w:r>
      <w:r>
        <w:t xml:space="preserve"> </w:t>
      </w:r>
      <w:r>
        <w:rPr>
          <w:iCs/>
          <w:i/>
        </w:rPr>
        <w:t xml:space="preserve">Genetics</w:t>
      </w:r>
      <w:r>
        <w:t xml:space="preserve"> </w:t>
      </w:r>
      <w:r>
        <w:rPr>
          <w:bCs/>
          <w:b/>
        </w:rPr>
        <w:t xml:space="preserve">209</w:t>
      </w:r>
      <w:r>
        <w:t xml:space="preserve">, 335–356 (2018).</w:t>
      </w:r>
    </w:p>
    <w:bookmarkEnd w:id="60"/>
    <w:bookmarkStart w:id="61" w:name="ref-pmid26684931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Morgan, A. P.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T</w:t>
      </w:r>
      <w:r>
        <w:t xml:space="preserve">he</w:t>
      </w:r>
      <w:r>
        <w:t xml:space="preserve"> </w:t>
      </w:r>
      <w:r>
        <w:t xml:space="preserve">M</w:t>
      </w:r>
      <w:r>
        <w:t xml:space="preserve">ouse</w:t>
      </w:r>
      <w:r>
        <w:t xml:space="preserve"> </w:t>
      </w:r>
      <w:r>
        <w:t xml:space="preserve">U</w:t>
      </w:r>
      <w:r>
        <w:t xml:space="preserve">niversal</w:t>
      </w:r>
      <w:r>
        <w:t xml:space="preserve"> </w:t>
      </w:r>
      <w:r>
        <w:t xml:space="preserve">G</w:t>
      </w:r>
      <w:r>
        <w:t xml:space="preserve">enotyping</w:t>
      </w:r>
      <w:r>
        <w:t xml:space="preserve"> </w:t>
      </w:r>
      <w:r>
        <w:t xml:space="preserve">A</w:t>
      </w:r>
      <w:r>
        <w:t xml:space="preserve">rray:</w:t>
      </w:r>
      <w:r>
        <w:t xml:space="preserve"> </w:t>
      </w:r>
      <w:r>
        <w:t xml:space="preserve">F</w:t>
      </w:r>
      <w:r>
        <w:t xml:space="preserve">rom</w:t>
      </w:r>
      <w:r>
        <w:t xml:space="preserve"> </w:t>
      </w:r>
      <w:r>
        <w:t xml:space="preserve">S</w:t>
      </w:r>
      <w:r>
        <w:t xml:space="preserve">ubstrains to</w:t>
      </w:r>
      <w:r>
        <w:t xml:space="preserve"> </w:t>
      </w:r>
      <w:r>
        <w:t xml:space="preserve">S</w:t>
      </w:r>
      <w:r>
        <w:t xml:space="preserve">ubspecies</w:t>
      </w:r>
      <w:r>
        <w:t xml:space="preserve">.</w:t>
      </w:r>
      <w:r>
        <w:t xml:space="preserve"> </w:t>
      </w:r>
      <w:r>
        <w:rPr>
          <w:iCs/>
          <w:i/>
        </w:rPr>
        <w:t xml:space="preserve">G3 (Bethesda)</w:t>
      </w:r>
      <w:r>
        <w:t xml:space="preserve"> </w:t>
      </w:r>
      <w:r>
        <w:rPr>
          <w:bCs/>
          <w:b/>
        </w:rPr>
        <w:t xml:space="preserve">6</w:t>
      </w:r>
      <w:r>
        <w:t xml:space="preserve">, 263–279 (2015).</w:t>
      </w:r>
    </w:p>
    <w:bookmarkEnd w:id="61"/>
    <w:bookmarkStart w:id="62" w:name="ref-pmid22345611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Svenson, K. L.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H</w:t>
      </w:r>
      <w:r>
        <w:t xml:space="preserve">igh-resolution genetic mapping using the</w:t>
      </w:r>
      <w:r>
        <w:t xml:space="preserve"> </w:t>
      </w:r>
      <w:r>
        <w:t xml:space="preserve">M</w:t>
      </w:r>
      <w:r>
        <w:t xml:space="preserve">ouse</w:t>
      </w:r>
      <w:r>
        <w:t xml:space="preserve"> </w:t>
      </w:r>
      <w:r>
        <w:t xml:space="preserve">D</w:t>
      </w:r>
      <w:r>
        <w:t xml:space="preserve">iversity outbred population</w:t>
      </w:r>
      <w:r>
        <w:t xml:space="preserve">.</w:t>
      </w:r>
      <w:r>
        <w:t xml:space="preserve"> </w:t>
      </w:r>
      <w:r>
        <w:rPr>
          <w:iCs/>
          <w:i/>
        </w:rPr>
        <w:t xml:space="preserve">Genetics</w:t>
      </w:r>
      <w:r>
        <w:t xml:space="preserve"> </w:t>
      </w:r>
      <w:r>
        <w:rPr>
          <w:bCs/>
          <w:b/>
        </w:rPr>
        <w:t xml:space="preserve">190</w:t>
      </w:r>
      <w:r>
        <w:t xml:space="preserve">, 437–447 (2012).</w:t>
      </w:r>
    </w:p>
    <w:bookmarkEnd w:id="62"/>
    <w:bookmarkStart w:id="63" w:name="ref-pmid25237114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Gatti, D. M.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Q</w:t>
      </w:r>
      <w:r>
        <w:t xml:space="preserve">uantitative trait locus mapping methods for diversity outbred mice</w:t>
      </w:r>
      <w:r>
        <w:t xml:space="preserve">.</w:t>
      </w:r>
      <w:r>
        <w:t xml:space="preserve"> </w:t>
      </w:r>
      <w:r>
        <w:rPr>
          <w:iCs/>
          <w:i/>
        </w:rPr>
        <w:t xml:space="preserve">G3 (Bethesda)</w:t>
      </w:r>
      <w:r>
        <w:t xml:space="preserve"> </w:t>
      </w:r>
      <w:r>
        <w:rPr>
          <w:bCs/>
          <w:b/>
        </w:rPr>
        <w:t xml:space="preserve">4</w:t>
      </w:r>
      <w:r>
        <w:t xml:space="preserve">, 1623–1633 (2014).</w:t>
      </w:r>
    </w:p>
    <w:bookmarkEnd w:id="63"/>
    <w:bookmarkStart w:id="64" w:name="ref-pmid29444201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Raghupathy, N.</w:t>
      </w:r>
      <w:r>
        <w:t xml:space="preserve"> </w:t>
      </w:r>
      <w:r>
        <w:rPr>
          <w:iCs/>
          <w:i/>
        </w:rPr>
        <w:t xml:space="preserve">et al.</w:t>
      </w:r>
      <w:r>
        <w:t xml:space="preserve"> Hierarchical analysis of RNA-seq reads improves the accuracy of allele-specific expression.</w:t>
      </w:r>
      <w:r>
        <w:t xml:space="preserve"> </w:t>
      </w:r>
      <w:r>
        <w:rPr>
          <w:iCs/>
          <w:i/>
        </w:rPr>
        <w:t xml:space="preserve">Bioinformatics</w:t>
      </w:r>
      <w:r>
        <w:t xml:space="preserve"> </w:t>
      </w:r>
      <w:r>
        <w:rPr>
          <w:bCs/>
          <w:b/>
        </w:rPr>
        <w:t xml:space="preserve">34</w:t>
      </w:r>
      <w:r>
        <w:t xml:space="preserve">, 2177–2184 (2018).</w:t>
      </w:r>
    </w:p>
    <w:bookmarkEnd w:id="64"/>
    <w:bookmarkStart w:id="65" w:name="ref-pmid25236449"/>
    <w:p>
      <w:pPr>
        <w:pStyle w:val="Bibliography"/>
      </w:pPr>
      <w:r>
        <w:t xml:space="preserve">7.</w:t>
      </w:r>
      <w:r>
        <w:t xml:space="preserve"> </w:t>
      </w:r>
      <w:r>
        <w:t xml:space="preserve">	</w:t>
      </w:r>
      <w:r>
        <w:t xml:space="preserve">Munger, S. C.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R</w:t>
      </w:r>
      <w:r>
        <w:t xml:space="preserve">N</w:t>
      </w:r>
      <w:r>
        <w:t xml:space="preserve">A</w:t>
      </w:r>
      <w:r>
        <w:t xml:space="preserve">-</w:t>
      </w:r>
      <w:r>
        <w:t xml:space="preserve">S</w:t>
      </w:r>
      <w:r>
        <w:t xml:space="preserve">eq alignment to individualized genomes improves transcript abundance estimates in multiparent populations</w:t>
      </w:r>
      <w:r>
        <w:t xml:space="preserve">.</w:t>
      </w:r>
      <w:r>
        <w:t xml:space="preserve"> </w:t>
      </w:r>
      <w:r>
        <w:rPr>
          <w:iCs/>
          <w:i/>
        </w:rPr>
        <w:t xml:space="preserve">Genetics</w:t>
      </w:r>
      <w:r>
        <w:t xml:space="preserve"> </w:t>
      </w:r>
      <w:r>
        <w:rPr>
          <w:bCs/>
          <w:b/>
        </w:rPr>
        <w:t xml:space="preserve">198</w:t>
      </w:r>
      <w:r>
        <w:t xml:space="preserve">, 59–73 (2014).</w:t>
      </w:r>
    </w:p>
    <w:bookmarkEnd w:id="65"/>
    <w:bookmarkStart w:id="66" w:name="ref-pmid30591514"/>
    <w:p>
      <w:pPr>
        <w:pStyle w:val="Bibliography"/>
      </w:pPr>
      <w:r>
        <w:t xml:space="preserve">8.</w:t>
      </w:r>
      <w:r>
        <w:t xml:space="preserve"> </w:t>
      </w:r>
      <w:r>
        <w:t xml:space="preserve">	</w:t>
      </w:r>
      <w:r>
        <w:t xml:space="preserve">Broman, K. W.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R</w:t>
      </w:r>
      <w:r>
        <w:t xml:space="preserve">/qtl2:</w:t>
      </w:r>
      <w:r>
        <w:t xml:space="preserve"> </w:t>
      </w:r>
      <w:r>
        <w:t xml:space="preserve">S</w:t>
      </w:r>
      <w:r>
        <w:t xml:space="preserve">oftware for</w:t>
      </w:r>
      <w:r>
        <w:t xml:space="preserve"> </w:t>
      </w:r>
      <w:r>
        <w:t xml:space="preserve">M</w:t>
      </w:r>
      <w:r>
        <w:t xml:space="preserve">apping</w:t>
      </w:r>
      <w:r>
        <w:t xml:space="preserve"> </w:t>
      </w:r>
      <w:r>
        <w:t xml:space="preserve">Q</w:t>
      </w:r>
      <w:r>
        <w:t xml:space="preserve">uantitative</w:t>
      </w:r>
      <w:r>
        <w:t xml:space="preserve"> </w:t>
      </w:r>
      <w:r>
        <w:t xml:space="preserve">T</w:t>
      </w:r>
      <w:r>
        <w:t xml:space="preserve">rait</w:t>
      </w:r>
      <w:r>
        <w:t xml:space="preserve"> </w:t>
      </w:r>
      <w:r>
        <w:t xml:space="preserve">L</w:t>
      </w:r>
      <w:r>
        <w:t xml:space="preserve">oci with</w:t>
      </w:r>
      <w:r>
        <w:t xml:space="preserve"> </w:t>
      </w:r>
      <w:r>
        <w:t xml:space="preserve">H</w:t>
      </w:r>
      <w:r>
        <w:t xml:space="preserve">igh-</w:t>
      </w:r>
      <w:r>
        <w:t xml:space="preserve">D</w:t>
      </w:r>
      <w:r>
        <w:t xml:space="preserve">imensional</w:t>
      </w:r>
      <w:r>
        <w:t xml:space="preserve"> </w:t>
      </w:r>
      <w:r>
        <w:t xml:space="preserve">D</w:t>
      </w:r>
      <w:r>
        <w:t xml:space="preserve">ata and</w:t>
      </w:r>
      <w:r>
        <w:t xml:space="preserve"> </w:t>
      </w:r>
      <w:r>
        <w:t xml:space="preserve">M</w:t>
      </w:r>
      <w:r>
        <w:t xml:space="preserve">ultiparent</w:t>
      </w:r>
      <w:r>
        <w:t xml:space="preserve"> </w:t>
      </w:r>
      <w:r>
        <w:t xml:space="preserve">P</w:t>
      </w:r>
      <w:r>
        <w:t xml:space="preserve">opulations</w:t>
      </w:r>
      <w:r>
        <w:t xml:space="preserve">.</w:t>
      </w:r>
      <w:r>
        <w:t xml:space="preserve"> </w:t>
      </w:r>
      <w:r>
        <w:rPr>
          <w:iCs/>
          <w:i/>
        </w:rPr>
        <w:t xml:space="preserve">Genetics</w:t>
      </w:r>
      <w:r>
        <w:t xml:space="preserve"> </w:t>
      </w:r>
      <w:r>
        <w:rPr>
          <w:bCs/>
          <w:b/>
        </w:rPr>
        <w:t xml:space="preserve">211</w:t>
      </w:r>
      <w:r>
        <w:t xml:space="preserve">, 495–502 (2019).</w:t>
      </w:r>
    </w:p>
    <w:bookmarkEnd w:id="66"/>
    <w:bookmarkStart w:id="67" w:name="ref-pmid16199517"/>
    <w:p>
      <w:pPr>
        <w:pStyle w:val="Bibliography"/>
      </w:pPr>
      <w:r>
        <w:t xml:space="preserve">9.</w:t>
      </w:r>
      <w:r>
        <w:t xml:space="preserve"> </w:t>
      </w:r>
      <w:r>
        <w:t xml:space="preserve">	</w:t>
      </w:r>
      <w:r>
        <w:t xml:space="preserve">Subramanian, A.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G</w:t>
      </w:r>
      <w:r>
        <w:t xml:space="preserve">ene set enrichment analysis: a knowledge-based approach for interpreting genome-wide expression profiles</w:t>
      </w:r>
      <w:r>
        <w:t xml:space="preserve">.</w:t>
      </w:r>
      <w:r>
        <w:t xml:space="preserve"> </w:t>
      </w:r>
      <w:r>
        <w:rPr>
          <w:iCs/>
          <w:i/>
        </w:rPr>
        <w:t xml:space="preserve">Proc Natl Acad Sci U S A</w:t>
      </w:r>
      <w:r>
        <w:t xml:space="preserve"> </w:t>
      </w:r>
      <w:r>
        <w:rPr>
          <w:bCs/>
          <w:b/>
        </w:rPr>
        <w:t xml:space="preserve">102</w:t>
      </w:r>
      <w:r>
        <w:t xml:space="preserve">, 15545–15550 (2005).</w:t>
      </w:r>
    </w:p>
    <w:bookmarkEnd w:id="67"/>
    <w:bookmarkStart w:id="69" w:name="ref-fgsea"/>
    <w:p>
      <w:pPr>
        <w:pStyle w:val="Bibliography"/>
      </w:pPr>
      <w:r>
        <w:t xml:space="preserve">10.</w:t>
      </w:r>
      <w:r>
        <w:t xml:space="preserve"> </w:t>
      </w:r>
      <w:r>
        <w:t xml:space="preserve">	</w:t>
      </w:r>
      <w:r>
        <w:t xml:space="preserve">Korotkevich, G., Sukhov, V. &amp; Sergushichev, A. Fast gene set enrichment analysis.</w:t>
      </w:r>
      <w:r>
        <w:t xml:space="preserve"> </w:t>
      </w:r>
      <w:r>
        <w:rPr>
          <w:iCs/>
          <w:i/>
        </w:rPr>
        <w:t xml:space="preserve">bioRxiv</w:t>
      </w:r>
      <w:r>
        <w:t xml:space="preserve"> </w:t>
      </w:r>
      <w:r>
        <w:t xml:space="preserve">(2019) doi:</w:t>
      </w:r>
      <w:hyperlink r:id="rId68">
        <w:r>
          <w:rPr>
            <w:rStyle w:val="Hyperlink"/>
          </w:rPr>
          <w:t xml:space="preserve">10.1101/060012</w:t>
        </w:r>
      </w:hyperlink>
      <w:r>
        <w:t xml:space="preserve">.</w:t>
      </w:r>
    </w:p>
    <w:bookmarkEnd w:id="69"/>
    <w:bookmarkStart w:id="70" w:name="ref-pmid36300620"/>
    <w:p>
      <w:pPr>
        <w:pStyle w:val="Bibliography"/>
      </w:pPr>
      <w:r>
        <w:t xml:space="preserve">11.</w:t>
      </w:r>
      <w:r>
        <w:t xml:space="preserve"> </w:t>
      </w:r>
      <w:r>
        <w:t xml:space="preserve">	</w:t>
      </w:r>
      <w:r>
        <w:t xml:space="preserve">Kanehisa, M., Furumichi, M., Sato, Y., Kawashima, M. &amp; Ishiguro-Watanabe, M.</w:t>
      </w:r>
      <w:r>
        <w:t xml:space="preserve"> </w:t>
      </w:r>
      <w:r>
        <w:t xml:space="preserve">K</w:t>
      </w:r>
      <w:r>
        <w:t xml:space="preserve">E</w:t>
      </w:r>
      <w:r>
        <w:t xml:space="preserve">G</w:t>
      </w:r>
      <w:r>
        <w:t xml:space="preserve">G</w:t>
      </w:r>
      <w:r>
        <w:t xml:space="preserve"> </w:t>
      </w:r>
      <w:r>
        <w:t xml:space="preserve">for taxonomy-based analysis of pathways and genomes</w:t>
      </w:r>
      <w:r>
        <w:t xml:space="preserve">.</w:t>
      </w:r>
      <w:r>
        <w:t xml:space="preserve"> </w:t>
      </w:r>
      <w:r>
        <w:rPr>
          <w:iCs/>
          <w:i/>
        </w:rPr>
        <w:t xml:space="preserve">Nucleic Acids Res</w:t>
      </w:r>
      <w:r>
        <w:t xml:space="preserve"> </w:t>
      </w:r>
      <w:r>
        <w:rPr>
          <w:bCs/>
          <w:b/>
        </w:rPr>
        <w:t xml:space="preserve">51</w:t>
      </w:r>
      <w:r>
        <w:t xml:space="preserve">, D587–D592 (2023).</w:t>
      </w:r>
    </w:p>
    <w:bookmarkEnd w:id="70"/>
    <w:bookmarkStart w:id="71" w:name="ref-pmid23740750"/>
    <w:p>
      <w:pPr>
        <w:pStyle w:val="Bibliography"/>
      </w:pPr>
      <w:r>
        <w:t xml:space="preserve">12.</w:t>
      </w:r>
      <w:r>
        <w:t xml:space="preserve"> </w:t>
      </w:r>
      <w:r>
        <w:t xml:space="preserve">	</w:t>
      </w:r>
      <w:r>
        <w:t xml:space="preserve">Luo, W. &amp; Brouwer, C.</w:t>
      </w:r>
      <w:r>
        <w:t xml:space="preserve"> </w:t>
      </w:r>
      <w:r>
        <w:t xml:space="preserve">P</w:t>
      </w:r>
      <w:r>
        <w:t xml:space="preserve">athview: an</w:t>
      </w:r>
      <w:r>
        <w:t xml:space="preserve"> </w:t>
      </w:r>
      <w:r>
        <w:t xml:space="preserve">R</w:t>
      </w:r>
      <w:r>
        <w:t xml:space="preserve">/</w:t>
      </w:r>
      <w:r>
        <w:t xml:space="preserve">B</w:t>
      </w:r>
      <w:r>
        <w:t xml:space="preserve">ioconductor package for pathway-based data integration and visualization</w:t>
      </w:r>
      <w:r>
        <w:t xml:space="preserve">.</w:t>
      </w:r>
      <w:r>
        <w:t xml:space="preserve"> </w:t>
      </w:r>
      <w:r>
        <w:rPr>
          <w:iCs/>
          <w:i/>
        </w:rPr>
        <w:t xml:space="preserve">Bioinformatics</w:t>
      </w:r>
      <w:r>
        <w:t xml:space="preserve"> </w:t>
      </w:r>
      <w:r>
        <w:rPr>
          <w:bCs/>
          <w:b/>
        </w:rPr>
        <w:t xml:space="preserve">29</w:t>
      </w:r>
      <w:r>
        <w:t xml:space="preserve">, 1830–1831 (2013).</w:t>
      </w:r>
    </w:p>
    <w:bookmarkEnd w:id="71"/>
    <w:bookmarkStart w:id="72" w:name="ref-pmid33231642"/>
    <w:p>
      <w:pPr>
        <w:pStyle w:val="Bibliography"/>
      </w:pPr>
      <w:r>
        <w:t xml:space="preserve">13.</w:t>
      </w:r>
      <w:r>
        <w:t xml:space="preserve"> </w:t>
      </w:r>
      <w:r>
        <w:t xml:space="preserve">	</w:t>
      </w:r>
      <w:r>
        <w:t xml:space="preserve">Blake, J. A.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M</w:t>
      </w:r>
      <w:r>
        <w:t xml:space="preserve">ouse</w:t>
      </w:r>
      <w:r>
        <w:t xml:space="preserve"> </w:t>
      </w:r>
      <w:r>
        <w:t xml:space="preserve">G</w:t>
      </w:r>
      <w:r>
        <w:t xml:space="preserve">enome</w:t>
      </w:r>
      <w:r>
        <w:t xml:space="preserve"> </w:t>
      </w:r>
      <w:r>
        <w:t xml:space="preserve">D</w:t>
      </w:r>
      <w:r>
        <w:t xml:space="preserve">atabase (</w:t>
      </w:r>
      <w:r>
        <w:t xml:space="preserve">M</w:t>
      </w:r>
      <w:r>
        <w:t xml:space="preserve">G</w:t>
      </w:r>
      <w:r>
        <w:t xml:space="preserve">D</w:t>
      </w:r>
      <w:r>
        <w:t xml:space="preserve">):</w:t>
      </w:r>
      <w:r>
        <w:t xml:space="preserve"> </w:t>
      </w:r>
      <w:r>
        <w:t xml:space="preserve">K</w:t>
      </w:r>
      <w:r>
        <w:t xml:space="preserve">nowledgebase for mouse-human comparative biology</w:t>
      </w:r>
      <w:r>
        <w:t xml:space="preserve">.</w:t>
      </w:r>
      <w:r>
        <w:t xml:space="preserve"> </w:t>
      </w:r>
      <w:r>
        <w:rPr>
          <w:iCs/>
          <w:i/>
        </w:rPr>
        <w:t xml:space="preserve">Nucleic Acids Res</w:t>
      </w:r>
      <w:r>
        <w:t xml:space="preserve"> </w:t>
      </w:r>
      <w:r>
        <w:rPr>
          <w:bCs/>
          <w:b/>
        </w:rPr>
        <w:t xml:space="preserve">49</w:t>
      </w:r>
      <w:r>
        <w:t xml:space="preserve">, D981–D987 (2021).</w:t>
      </w:r>
    </w:p>
    <w:bookmarkEnd w:id="72"/>
    <w:bookmarkStart w:id="73" w:name="ref-R_annotate"/>
    <w:p>
      <w:pPr>
        <w:pStyle w:val="Bibliography"/>
      </w:pPr>
      <w:r>
        <w:t xml:space="preserve">14.</w:t>
      </w:r>
      <w:r>
        <w:t xml:space="preserve"> </w:t>
      </w:r>
      <w:r>
        <w:t xml:space="preserve">	</w:t>
      </w:r>
      <w:r>
        <w:t xml:space="preserve">Gentry, J.</w:t>
      </w:r>
      <w:r>
        <w:t xml:space="preserve"> </w:t>
      </w:r>
      <w:r>
        <w:rPr>
          <w:iCs/>
          <w:i/>
        </w:rPr>
        <w:t xml:space="preserve">Annotate: Annotation for Microarrays</w:t>
      </w:r>
      <w:r>
        <w:t xml:space="preserve">. (2024).</w:t>
      </w:r>
    </w:p>
    <w:bookmarkEnd w:id="73"/>
    <w:bookmarkStart w:id="74" w:name="ref-pmid24413670"/>
    <w:p>
      <w:pPr>
        <w:pStyle w:val="Bibliography"/>
      </w:pPr>
      <w:r>
        <w:t xml:space="preserve">15.</w:t>
      </w:r>
      <w:r>
        <w:t xml:space="preserve"> </w:t>
      </w:r>
      <w:r>
        <w:t xml:space="preserve">	</w:t>
      </w:r>
      <w:r>
        <w:t xml:space="preserve">Gatto, L., Breckels, L. M., Wieczorek, S., Burger, T. &amp; Lilley, K. S.</w:t>
      </w:r>
      <w:r>
        <w:t xml:space="preserve"> </w:t>
      </w:r>
      <w:r>
        <w:t xml:space="preserve">M</w:t>
      </w:r>
      <w:r>
        <w:t xml:space="preserve">ass-spectrometry-based spatial proteomics data analysis using p</w:t>
      </w:r>
      <w:r>
        <w:t xml:space="preserve">R</w:t>
      </w:r>
      <w:r>
        <w:t xml:space="preserve">oloc and p</w:t>
      </w:r>
      <w:r>
        <w:t xml:space="preserve">R</w:t>
      </w:r>
      <w:r>
        <w:t xml:space="preserve">olocdata</w:t>
      </w:r>
      <w:r>
        <w:t xml:space="preserve">.</w:t>
      </w:r>
      <w:r>
        <w:t xml:space="preserve"> </w:t>
      </w:r>
      <w:r>
        <w:rPr>
          <w:iCs/>
          <w:i/>
        </w:rPr>
        <w:t xml:space="preserve">Bioinformatics</w:t>
      </w:r>
      <w:r>
        <w:t xml:space="preserve"> </w:t>
      </w:r>
      <w:r>
        <w:rPr>
          <w:bCs/>
          <w:b/>
        </w:rPr>
        <w:t xml:space="preserve">30</w:t>
      </w:r>
      <w:r>
        <w:t xml:space="preserve">, 1322–1324 (2014).</w:t>
      </w:r>
    </w:p>
    <w:bookmarkEnd w:id="74"/>
    <w:bookmarkStart w:id="75" w:name="ref-pmid26258848"/>
    <w:p>
      <w:pPr>
        <w:pStyle w:val="Bibliography"/>
      </w:pPr>
      <w:r>
        <w:t xml:space="preserve">16.</w:t>
      </w:r>
      <w:r>
        <w:t xml:space="preserve"> </w:t>
      </w:r>
      <w:r>
        <w:t xml:space="preserve">	</w:t>
      </w:r>
      <w:r>
        <w:t xml:space="preserve">Gamazon, E. R.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A</w:t>
      </w:r>
      <w:r>
        <w:t xml:space="preserve"> </w:t>
      </w:r>
      <w:r>
        <w:t xml:space="preserve">gene-based association method for mapping traits using reference transcriptome data</w:t>
      </w:r>
      <w:r>
        <w:t xml:space="preserve">.</w:t>
      </w:r>
      <w:r>
        <w:t xml:space="preserve"> </w:t>
      </w:r>
      <w:r>
        <w:rPr>
          <w:iCs/>
          <w:i/>
        </w:rPr>
        <w:t xml:space="preserve">Nat Genet</w:t>
      </w:r>
      <w:r>
        <w:t xml:space="preserve"> </w:t>
      </w:r>
      <w:r>
        <w:rPr>
          <w:bCs/>
          <w:b/>
        </w:rPr>
        <w:t xml:space="preserve">47</w:t>
      </w:r>
      <w:r>
        <w:t xml:space="preserve">, 1091–1098 (2015).</w:t>
      </w:r>
    </w:p>
    <w:bookmarkEnd w:id="75"/>
    <w:bookmarkStart w:id="76" w:name="ref-pmid26854917"/>
    <w:p>
      <w:pPr>
        <w:pStyle w:val="Bibliography"/>
      </w:pPr>
      <w:r>
        <w:t xml:space="preserve">17.</w:t>
      </w:r>
      <w:r>
        <w:t xml:space="preserve"> </w:t>
      </w:r>
      <w:r>
        <w:t xml:space="preserve">	</w:t>
      </w:r>
      <w:r>
        <w:t xml:space="preserve">Gusev, A.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I</w:t>
      </w:r>
      <w:r>
        <w:t xml:space="preserve">ntegrative approaches for large-scale transcriptome-wide association studies</w:t>
      </w:r>
      <w:r>
        <w:t xml:space="preserve">.</w:t>
      </w:r>
      <w:r>
        <w:t xml:space="preserve"> </w:t>
      </w:r>
      <w:r>
        <w:rPr>
          <w:iCs/>
          <w:i/>
        </w:rPr>
        <w:t xml:space="preserve">Nat Genet</w:t>
      </w:r>
      <w:r>
        <w:t xml:space="preserve"> </w:t>
      </w:r>
      <w:r>
        <w:rPr>
          <w:bCs/>
          <w:b/>
        </w:rPr>
        <w:t xml:space="preserve">48</w:t>
      </w:r>
      <w:r>
        <w:t xml:space="preserve">, 245–252 (2016).</w:t>
      </w:r>
    </w:p>
    <w:bookmarkEnd w:id="76"/>
    <w:bookmarkStart w:id="78" w:name="ref-easyPubMed"/>
    <w:p>
      <w:pPr>
        <w:pStyle w:val="Bibliography"/>
      </w:pPr>
      <w:r>
        <w:t xml:space="preserve">18.</w:t>
      </w:r>
      <w:r>
        <w:t xml:space="preserve"> </w:t>
      </w:r>
      <w:r>
        <w:t xml:space="preserve">	</w:t>
      </w:r>
      <w:r>
        <w:t xml:space="preserve">Fantini, D.</w:t>
      </w:r>
      <w:r>
        <w:t xml:space="preserve"> </w:t>
      </w:r>
      <w:hyperlink r:id="rId77">
        <w:r>
          <w:rPr>
            <w:rStyle w:val="Hyperlink"/>
            <w:iCs/>
            <w:i/>
          </w:rPr>
          <w:t xml:space="preserve">easyPubMed: Search and Retrieve Scientific Publication Records from PubMed</w:t>
        </w:r>
      </w:hyperlink>
      <w:r>
        <w:t xml:space="preserve">. (2019).</w:t>
      </w:r>
    </w:p>
    <w:bookmarkEnd w:id="78"/>
    <w:bookmarkStart w:id="80" w:name="ref-Rcluster"/>
    <w:p>
      <w:pPr>
        <w:pStyle w:val="Bibliography"/>
      </w:pPr>
      <w:r>
        <w:t xml:space="preserve">19.</w:t>
      </w:r>
      <w:r>
        <w:t xml:space="preserve"> </w:t>
      </w:r>
      <w:r>
        <w:t xml:space="preserve">	</w:t>
      </w:r>
      <w:r>
        <w:t xml:space="preserve">Maechler, M., Rousseeuw, P., Struyf, A., Hubert, M. &amp; Hornik, K.</w:t>
      </w:r>
      <w:r>
        <w:t xml:space="preserve"> </w:t>
      </w:r>
      <w:hyperlink r:id="rId79">
        <w:r>
          <w:rPr>
            <w:rStyle w:val="Hyperlink"/>
            <w:iCs/>
            <w:i/>
          </w:rPr>
          <w:t xml:space="preserve">Cluster: Cluster Analysis Basics and Extensions</w:t>
        </w:r>
      </w:hyperlink>
      <w:r>
        <w:t xml:space="preserve">. (2023).</w:t>
      </w:r>
    </w:p>
    <w:bookmarkEnd w:id="80"/>
    <w:bookmarkStart w:id="81" w:name="ref-Rgprofiler2"/>
    <w:p>
      <w:pPr>
        <w:pStyle w:val="Bibliography"/>
      </w:pPr>
      <w:r>
        <w:t xml:space="preserve">20.</w:t>
      </w:r>
      <w:r>
        <w:t xml:space="preserve"> </w:t>
      </w:r>
      <w:r>
        <w:t xml:space="preserve">	</w:t>
      </w:r>
      <w:r>
        <w:t xml:space="preserve">Kolberg, L., Raudvere, U., Kuzmin, I., Vilo, J. &amp; Peterson, H. gprofiler2– an r package for gene list functional enrichment analysis and namespace conversion toolset g:profiler.</w:t>
      </w:r>
      <w:r>
        <w:t xml:space="preserve"> </w:t>
      </w:r>
      <w:r>
        <w:rPr>
          <w:iCs/>
          <w:i/>
        </w:rPr>
        <w:t xml:space="preserve">F1000Research</w:t>
      </w:r>
      <w:r>
        <w:t xml:space="preserve"> </w:t>
      </w:r>
      <w:r>
        <w:rPr>
          <w:bCs/>
          <w:b/>
        </w:rPr>
        <w:t xml:space="preserve">9 (ELIXIR)</w:t>
      </w:r>
      <w:r>
        <w:t xml:space="preserve">, (2020).</w:t>
      </w:r>
    </w:p>
    <w:bookmarkEnd w:id="81"/>
    <w:bookmarkStart w:id="82" w:name="ref-pmid37933855"/>
    <w:p>
      <w:pPr>
        <w:pStyle w:val="Bibliography"/>
      </w:pPr>
      <w:r>
        <w:t xml:space="preserve">21.</w:t>
      </w:r>
      <w:r>
        <w:t xml:space="preserve"> </w:t>
      </w:r>
      <w:r>
        <w:t xml:space="preserve">	</w:t>
      </w:r>
      <w:r>
        <w:t xml:space="preserve">Clough, E.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N</w:t>
      </w:r>
      <w:r>
        <w:t xml:space="preserve">C</w:t>
      </w:r>
      <w:r>
        <w:t xml:space="preserve">B</w:t>
      </w:r>
      <w:r>
        <w:t xml:space="preserve">I</w:t>
      </w:r>
      <w:r>
        <w:t xml:space="preserve"> </w:t>
      </w:r>
      <w:r>
        <w:t xml:space="preserve">G</w:t>
      </w:r>
      <w:r>
        <w:t xml:space="preserve">E</w:t>
      </w:r>
      <w:r>
        <w:t xml:space="preserve">O</w:t>
      </w:r>
      <w:r>
        <w:t xml:space="preserve">: archive for gene expression and epigenomics data sets: 23-year update</w:t>
      </w:r>
      <w:r>
        <w:t xml:space="preserve">.</w:t>
      </w:r>
      <w:r>
        <w:t xml:space="preserve"> </w:t>
      </w:r>
      <w:r>
        <w:rPr>
          <w:iCs/>
          <w:i/>
        </w:rPr>
        <w:t xml:space="preserve">Nucleic Acids Res</w:t>
      </w:r>
      <w:r>
        <w:t xml:space="preserve"> </w:t>
      </w:r>
      <w:r>
        <w:rPr>
          <w:bCs/>
          <w:b/>
        </w:rPr>
        <w:t xml:space="preserve">52</w:t>
      </w:r>
      <w:r>
        <w:t xml:space="preserve">, D138–D144 (2024).</w:t>
      </w:r>
    </w:p>
    <w:bookmarkEnd w:id="82"/>
    <w:bookmarkStart w:id="83" w:name="ref-pmid11752295"/>
    <w:p>
      <w:pPr>
        <w:pStyle w:val="Bibliography"/>
      </w:pPr>
      <w:r>
        <w:t xml:space="preserve">22.</w:t>
      </w:r>
      <w:r>
        <w:t xml:space="preserve"> </w:t>
      </w:r>
      <w:r>
        <w:t xml:space="preserve">	</w:t>
      </w:r>
      <w:r>
        <w:t xml:space="preserve">Edgar, R., Domrachev, M. &amp; Lash, A. E.</w:t>
      </w:r>
      <w:r>
        <w:t xml:space="preserve"> </w:t>
      </w:r>
      <w:r>
        <w:t xml:space="preserve">G</w:t>
      </w:r>
      <w:r>
        <w:t xml:space="preserve">ene</w:t>
      </w:r>
      <w:r>
        <w:t xml:space="preserve"> </w:t>
      </w:r>
      <w:r>
        <w:t xml:space="preserve">E</w:t>
      </w:r>
      <w:r>
        <w:t xml:space="preserve">xpression</w:t>
      </w:r>
      <w:r>
        <w:t xml:space="preserve"> </w:t>
      </w:r>
      <w:r>
        <w:t xml:space="preserve">O</w:t>
      </w:r>
      <w:r>
        <w:t xml:space="preserve">mnibus:</w:t>
      </w:r>
      <w:r>
        <w:t xml:space="preserve"> </w:t>
      </w:r>
      <w:r>
        <w:t xml:space="preserve">N</w:t>
      </w:r>
      <w:r>
        <w:t xml:space="preserve">C</w:t>
      </w:r>
      <w:r>
        <w:t xml:space="preserve">B</w:t>
      </w:r>
      <w:r>
        <w:t xml:space="preserve">I</w:t>
      </w:r>
      <w:r>
        <w:t xml:space="preserve"> </w:t>
      </w:r>
      <w:r>
        <w:t xml:space="preserve">gene expression and hybridization array data repository</w:t>
      </w:r>
      <w:r>
        <w:t xml:space="preserve">.</w:t>
      </w:r>
      <w:r>
        <w:t xml:space="preserve"> </w:t>
      </w:r>
      <w:r>
        <w:rPr>
          <w:iCs/>
          <w:i/>
        </w:rPr>
        <w:t xml:space="preserve">Nucleic Acids Res</w:t>
      </w:r>
      <w:r>
        <w:t xml:space="preserve"> </w:t>
      </w:r>
      <w:r>
        <w:rPr>
          <w:bCs/>
          <w:b/>
        </w:rPr>
        <w:t xml:space="preserve">30</w:t>
      </w:r>
      <w:r>
        <w:t xml:space="preserve">, 207–210 (2002).</w:t>
      </w:r>
    </w:p>
    <w:bookmarkEnd w:id="83"/>
    <w:bookmarkStart w:id="84" w:name="ref-geoquery"/>
    <w:p>
      <w:pPr>
        <w:pStyle w:val="Bibliography"/>
      </w:pPr>
      <w:r>
        <w:t xml:space="preserve">23.</w:t>
      </w:r>
      <w:r>
        <w:t xml:space="preserve"> </w:t>
      </w:r>
      <w:r>
        <w:t xml:space="preserve">	</w:t>
      </w:r>
      <w:r>
        <w:t xml:space="preserve">Davis, S. &amp; Meltzer, P. GEOquery: A bridge between the gene expression omnibus (GEO) and BioConductor.</w:t>
      </w:r>
      <w:r>
        <w:t xml:space="preserve"> </w:t>
      </w:r>
      <w:r>
        <w:rPr>
          <w:iCs/>
          <w:i/>
        </w:rPr>
        <w:t xml:space="preserve">Bioinformatics</w:t>
      </w:r>
      <w:r>
        <w:t xml:space="preserve"> </w:t>
      </w:r>
      <w:r>
        <w:rPr>
          <w:bCs/>
          <w:b/>
        </w:rPr>
        <w:t xml:space="preserve">14</w:t>
      </w:r>
      <w:r>
        <w:t xml:space="preserve">, 1846–1847 (2007).</w:t>
      </w:r>
    </w:p>
    <w:bookmarkEnd w:id="84"/>
    <w:bookmarkStart w:id="85" w:name="ref-pmid38531069"/>
    <w:p>
      <w:pPr>
        <w:pStyle w:val="Bibliography"/>
      </w:pPr>
      <w:r>
        <w:t xml:space="preserve">24.</w:t>
      </w:r>
      <w:r>
        <w:t xml:space="preserve"> </w:t>
      </w:r>
      <w:r>
        <w:t xml:space="preserve">	</w:t>
      </w:r>
      <w:r>
        <w:t xml:space="preserve">Baldarelli, R. M.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M</w:t>
      </w:r>
      <w:r>
        <w:t xml:space="preserve">ouse</w:t>
      </w:r>
      <w:r>
        <w:t xml:space="preserve"> </w:t>
      </w:r>
      <w:r>
        <w:t xml:space="preserve">G</w:t>
      </w:r>
      <w:r>
        <w:t xml:space="preserve">enome</w:t>
      </w:r>
      <w:r>
        <w:t xml:space="preserve"> </w:t>
      </w:r>
      <w:r>
        <w:t xml:space="preserve">I</w:t>
      </w:r>
      <w:r>
        <w:t xml:space="preserve">nformatics: an integrated knowledgebase system for the laboratory mouse</w:t>
      </w:r>
      <w:r>
        <w:t xml:space="preserve">.</w:t>
      </w:r>
      <w:r>
        <w:t xml:space="preserve"> </w:t>
      </w:r>
      <w:r>
        <w:rPr>
          <w:iCs/>
          <w:i/>
        </w:rPr>
        <w:t xml:space="preserve">Genetics</w:t>
      </w:r>
      <w:r>
        <w:t xml:space="preserve"> </w:t>
      </w:r>
      <w:r>
        <w:rPr>
          <w:bCs/>
          <w:b/>
        </w:rPr>
        <w:t xml:space="preserve">227</w:t>
      </w:r>
      <w:r>
        <w:t xml:space="preserve">, (2024).</w:t>
      </w:r>
    </w:p>
    <w:bookmarkEnd w:id="85"/>
    <w:bookmarkEnd w:id="86"/>
    <w:bookmarkEnd w:id="8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doi:10.5061/dryad.pj105" TargetMode="External" /><Relationship Type="http://schemas.openxmlformats.org/officeDocument/2006/relationships/hyperlink" Id="rId52" Target="http://www.csbio.unc.edu/CCstatus/CCGenomes/" TargetMode="External" /><Relationship Type="http://schemas.openxmlformats.org/officeDocument/2006/relationships/hyperlink" Id="rId79" Target="https://CRAN.R-project.org/package=cluster" TargetMode="External" /><Relationship Type="http://schemas.openxmlformats.org/officeDocument/2006/relationships/hyperlink" Id="rId77" Target="https://CRAN.R-project.org/package=easyPubMed" TargetMode="External" /><Relationship Type="http://schemas.openxmlformats.org/officeDocument/2006/relationships/hyperlink" Id="rId58" Target="https://clue.io/query" TargetMode="External" /><Relationship Type="http://schemas.openxmlformats.org/officeDocument/2006/relationships/hyperlink" Id="rId68" Target="https://doi.org/10.1101/060012" TargetMode="External" /><Relationship Type="http://schemas.openxmlformats.org/officeDocument/2006/relationships/hyperlink" Id="rId36" Target="https://gbrs.readthedocs.io/en/latest/" TargetMode="External" /><Relationship Type="http://schemas.openxmlformats.org/officeDocument/2006/relationships/hyperlink" Id="rId22" Target="https://github.com/churchill-lab/gbrs" TargetMode="External" /><Relationship Type="http://schemas.openxmlformats.org/officeDocument/2006/relationships/hyperlink" Id="rId46" Target="https://www.informatics.jax.org/downloads/reports/index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doi:10.5061/dryad.pj105" TargetMode="External" /><Relationship Type="http://schemas.openxmlformats.org/officeDocument/2006/relationships/hyperlink" Id="rId52" Target="http://www.csbio.unc.edu/CCstatus/CCGenomes/" TargetMode="External" /><Relationship Type="http://schemas.openxmlformats.org/officeDocument/2006/relationships/hyperlink" Id="rId79" Target="https://CRAN.R-project.org/package=cluster" TargetMode="External" /><Relationship Type="http://schemas.openxmlformats.org/officeDocument/2006/relationships/hyperlink" Id="rId77" Target="https://CRAN.R-project.org/package=easyPubMed" TargetMode="External" /><Relationship Type="http://schemas.openxmlformats.org/officeDocument/2006/relationships/hyperlink" Id="rId58" Target="https://clue.io/query" TargetMode="External" /><Relationship Type="http://schemas.openxmlformats.org/officeDocument/2006/relationships/hyperlink" Id="rId68" Target="https://doi.org/10.1101/060012" TargetMode="External" /><Relationship Type="http://schemas.openxmlformats.org/officeDocument/2006/relationships/hyperlink" Id="rId36" Target="https://gbrs.readthedocs.io/en/latest/" TargetMode="External" /><Relationship Type="http://schemas.openxmlformats.org/officeDocument/2006/relationships/hyperlink" Id="rId22" Target="https://github.com/churchill-lab/gbrs" TargetMode="External" /><Relationship Type="http://schemas.openxmlformats.org/officeDocument/2006/relationships/hyperlink" Id="rId46" Target="https://www.informatics.jax.org/downloads/reports/inde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Online methods for: Transcripts with high distal heritability mediate genetic effects on complex traits</dc:title>
  <dc:creator/>
  <cp:keywords/>
  <dcterms:created xsi:type="dcterms:W3CDTF">2024-09-17T17:32:48Z</dcterms:created>
  <dcterms:modified xsi:type="dcterms:W3CDTF">2024-09-17T17:32:48Z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islet.bib</vt:lpwstr>
  </property>
  <property fmtid="{D5CDD505-2E9C-101B-9397-08002B2CF9AE}" pid="3" name="csl">
    <vt:lpwstr>nature.csl</vt:lpwstr>
  </property>
  <property fmtid="{D5CDD505-2E9C-101B-9397-08002B2CF9AE}" pid="4" name="date">
    <vt:lpwstr/>
  </property>
</Properties>
</file>