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metabolic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Anna L. Tyler</w:t>
      </w:r>
      <w:r>
        <w:rPr>
          <w:vertAlign w:val="superscript"/>
        </w:rPr>
        <w:t xml:space="preserve">1</w:t>
      </w:r>
      <w:r>
        <w:t xml:space="preserve">, J. Matthew</w:t>
      </w:r>
      <w:r>
        <w:t xml:space="preserve"> </w:t>
      </w:r>
      <w:r>
        <w:t xml:space="preserve">Mahoney</w:t>
      </w:r>
      <w:r>
        <w:rPr>
          <w:vertAlign w:val="superscript"/>
        </w:rPr>
        <w:t xml:space="preserve">1</w:t>
      </w:r>
      <w:r>
        <w:t xml:space="preserve">, Mark P. Keller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Candice N. Baker</w:t>
      </w:r>
      <w:r>
        <w:rPr>
          <w:vertAlign w:val="superscript"/>
        </w:rPr>
        <w:t xml:space="preserve">1</w:t>
      </w:r>
      <w:r>
        <w:t xml:space="preserve">, Margaret Gaca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Anuj Srivastava</w:t>
      </w:r>
      <w:r>
        <w:rPr>
          <w:vertAlign w:val="superscript"/>
        </w:rPr>
        <w:t xml:space="preserve">3</w:t>
      </w:r>
      <w:r>
        <w:t xml:space="preserve">, Isabela Gerdes</w:t>
      </w:r>
      <w:r>
        <w:t xml:space="preserve"> </w:t>
      </w:r>
      <w:r>
        <w:t xml:space="preserve">Gyuricza</w:t>
      </w:r>
      <w:r>
        <w:rPr>
          <w:vertAlign w:val="superscript"/>
        </w:rPr>
        <w:t xml:space="preserve">1</w:t>
      </w:r>
      <w:r>
        <w:t xml:space="preserve">, Madeleine J. Braun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Nadia A. Rosenthal</w:t>
      </w:r>
      <w:r>
        <w:rPr>
          <w:vertAlign w:val="superscript"/>
        </w:rPr>
        <w:t xml:space="preserve">1</w:t>
      </w:r>
      <w:r>
        <w:t xml:space="preserve">, Alan D. Attie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Gary A.</w:t>
      </w:r>
      <w:r>
        <w:t xml:space="preserve"> </w:t>
      </w:r>
      <w:r>
        <w:t xml:space="preserve">Churchill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Gregory W.</w:t>
      </w:r>
      <w:r>
        <w:t xml:space="preserve"> </w:t>
      </w:r>
      <w:r>
        <w:t xml:space="preserve">Carter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The Jackson Laboratory, Bar Harbor, Maine, USA.</w:t>
      </w:r>
      <w:r>
        <w:t xml:space="preserve"> </w:t>
      </w:r>
      <w:r>
        <w:rPr>
          <w:vertAlign w:val="superscript"/>
        </w:rPr>
        <w:t xml:space="preserve">2</w:t>
      </w:r>
      <w:r>
        <w:t xml:space="preserve">University of Wisconsin-Madison, Biochemistry</w:t>
      </w:r>
      <w:r>
        <w:t xml:space="preserve"> </w:t>
      </w:r>
      <w:r>
        <w:t xml:space="preserve">Department, Madison, Wisconsin, USA.</w:t>
      </w:r>
      <w:r>
        <w:t xml:space="preserve"> </w:t>
      </w:r>
      <w:r>
        <w:rPr>
          <w:vertAlign w:val="superscript"/>
        </w:rPr>
        <w:t xml:space="preserve">3</w:t>
      </w:r>
      <w:r>
        <w:t xml:space="preserve">The Jackson</w:t>
      </w:r>
      <w:r>
        <w:t xml:space="preserve"> </w:t>
      </w:r>
      <w:r>
        <w:t xml:space="preserve">Laboratory for Genomic Medicine, Farmington, Connecticut, USA.</w:t>
      </w:r>
      <w:r>
        <w:t xml:space="preserve"> </w:t>
      </w:r>
      <w:r>
        <w:t xml:space="preserve">equal contributions</w:t>
      </w:r>
      <w:r>
        <w:t xml:space="preserve"> </w:t>
      </w:r>
      <w:r>
        <w:t xml:space="preserve">corresponding</w:t>
      </w:r>
      <w:r>
        <w:t xml:space="preserve"> </w:t>
      </w:r>
      <w:r>
        <w:t xml:space="preserve">author</w:t>
      </w:r>
      <w:r>
        <w:t xml:space="preserve"> </w:t>
      </w:r>
      <w:hyperlink r:id="rId20">
        <w:r>
          <w:rPr>
            <w:rStyle w:val="Hyperlink"/>
          </w:rPr>
          <w:t xml:space="preserve">email: gary.churchill@jax.org</w:t>
        </w:r>
      </w:hyperlink>
      <w:r>
        <w:t xml:space="preserve"> </w:t>
      </w:r>
      <w:hyperlink r:id="rId21">
        <w:r>
          <w:rPr>
            <w:rStyle w:val="Hyperlink"/>
          </w:rPr>
          <w:t xml:space="preserve">email: gregory.carter@jax.org</w:t>
        </w:r>
      </w:hyperlink>
    </w:p>
    <w:bookmarkStart w:id="22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Although many genes are subject to local regulation, recent evidence</w:t>
      </w:r>
      <w:r>
        <w:t xml:space="preserve"> </w:t>
      </w:r>
      <w:r>
        <w:t xml:space="preserve">suggests that complex distal regulation may be more important in</w:t>
      </w:r>
      <w:r>
        <w:t xml:space="preserve"> </w:t>
      </w:r>
      <w:r>
        <w:t xml:space="preserve">mediating phenotypic variability. To assess the role of distal gene</w:t>
      </w:r>
      <w:r>
        <w:t xml:space="preserve"> </w:t>
      </w:r>
      <w:r>
        <w:t xml:space="preserve">regulation in complex traits, we combine multi-tissue transcriptomes</w:t>
      </w:r>
      <w:r>
        <w:t xml:space="preserve"> </w:t>
      </w:r>
      <w:r>
        <w:t xml:space="preserve">with physiological outcomes to model diet-induced obesity and metabolic</w:t>
      </w:r>
      <w:r>
        <w:t xml:space="preserve"> </w:t>
      </w:r>
      <w:r>
        <w:t xml:space="preserve">disease in a population of Diversity Outbred mice. Using a novel</w:t>
      </w:r>
      <w:r>
        <w:t xml:space="preserve"> </w:t>
      </w:r>
      <w:r>
        <w:t xml:space="preserve">high-dimensional mediation analysis, we identify a composite</w:t>
      </w:r>
      <w:r>
        <w:t xml:space="preserve"> </w:t>
      </w:r>
      <w:r>
        <w:t xml:space="preserve">transcriptome signature that summarizes genetic effects on gene</w:t>
      </w:r>
      <w:r>
        <w:t xml:space="preserve"> </w:t>
      </w:r>
      <w:r>
        <w:t xml:space="preserve">expression and explains 30% of the variation across all metabolic</w:t>
      </w:r>
      <w:r>
        <w:t xml:space="preserve"> </w:t>
      </w:r>
      <w:r>
        <w:t xml:space="preserve">traits. The signature is heritable, interpretable in biological terms,</w:t>
      </w:r>
      <w:r>
        <w:t xml:space="preserve"> </w:t>
      </w:r>
      <w:r>
        <w:t xml:space="preserve">and predicts obesity status from gene expression in an independently</w:t>
      </w:r>
      <w:r>
        <w:t xml:space="preserve"> </w:t>
      </w:r>
      <w:r>
        <w:t xml:space="preserve">derived mouse cohort and multiple human studies. Transcripts</w:t>
      </w:r>
      <w:r>
        <w:t xml:space="preserve"> </w:t>
      </w:r>
      <w:r>
        <w:t xml:space="preserve">contributing most strongly to this composite mediator frequently have</w:t>
      </w:r>
      <w:r>
        <w:t xml:space="preserve"> </w:t>
      </w:r>
      <w:r>
        <w:t xml:space="preserve">complex, distal regulation distributed throughout the genome. These</w:t>
      </w:r>
      <w:r>
        <w:t xml:space="preserve"> </w:t>
      </w:r>
      <w:r>
        <w:t xml:space="preserve">results suggest that trait-relevant variation in transcription is</w:t>
      </w:r>
      <w:r>
        <w:t xml:space="preserve"> </w:t>
      </w:r>
      <w:r>
        <w:t xml:space="preserve">largely distally regulated, but is nonetheless identifiable,</w:t>
      </w:r>
      <w:r>
        <w:t xml:space="preserve"> </w:t>
      </w:r>
      <w:r>
        <w:t xml:space="preserve">interpretable, and translatable across species.</w:t>
      </w:r>
    </w:p>
    <w:bookmarkEnd w:id="22"/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Evidence from genome-wide association studies (GWAS) suggests that most</w:t>
      </w:r>
      <w:r>
        <w:t xml:space="preserve"> </w:t>
      </w:r>
      <w:r>
        <w:t xml:space="preserve">heritable variation in complex traits is mediated through regulation of</w:t>
      </w:r>
      <w:r>
        <w:t xml:space="preserve"> </w:t>
      </w:r>
      <w:r>
        <w:t xml:space="preserve">gene expression. The majority of trait-associated variants lie in gene</w:t>
      </w:r>
      <w:r>
        <w:t xml:space="preserve"> </w:t>
      </w:r>
      <w:r>
        <w:t xml:space="preserve">regulatory regions</w:t>
      </w:r>
      <w:r>
        <w:rPr>
          <w:vertAlign w:val="superscript"/>
        </w:rPr>
        <w:t xml:space="preserve">1–7</w:t>
      </w:r>
      <w:r>
        <w:t xml:space="preserve">, suggesting a relatively</w:t>
      </w:r>
      <w:r>
        <w:t xml:space="preserve"> </w:t>
      </w:r>
      <w:r>
        <w:t xml:space="preserve">simple causal model in which a variant alters the homeostatic expression</w:t>
      </w:r>
      <w:r>
        <w:t xml:space="preserve"> </w:t>
      </w:r>
      <w:r>
        <w:t xml:space="preserve">level of a nearby (local) gene which, in turn, alters a trait.</w:t>
      </w:r>
      <w:r>
        <w:t xml:space="preserve"> </w:t>
      </w:r>
      <w:r>
        <w:t xml:space="preserve">Statistical methods such as transcriptome-wide association studies</w:t>
      </w:r>
      <w:r>
        <w:t xml:space="preserve"> </w:t>
      </w:r>
      <w:r>
        <w:t xml:space="preserve">(TWAS)</w:t>
      </w:r>
      <w:r>
        <w:rPr>
          <w:vertAlign w:val="superscript"/>
        </w:rPr>
        <w:t xml:space="preserve">8–11</w:t>
      </w:r>
      <w:r>
        <w:t xml:space="preserve"> </w:t>
      </w:r>
      <w:r>
        <w:t xml:space="preserve">and</w:t>
      </w:r>
      <w:r>
        <w:t xml:space="preserve"> </w:t>
      </w:r>
      <w:r>
        <w:t xml:space="preserve">summary data-based Mendelian randomization (SMR)</w:t>
      </w:r>
      <w:r>
        <w:rPr>
          <w:vertAlign w:val="superscript"/>
        </w:rPr>
        <w:t xml:space="preserve">10</w:t>
      </w:r>
      <w:r>
        <w:t xml:space="preserve"> </w:t>
      </w:r>
      <w:r>
        <w:t xml:space="preserve">have used this idea to identify genes associated with multiple disease</w:t>
      </w:r>
      <w:r>
        <w:t xml:space="preserve"> </w:t>
      </w:r>
      <w:r>
        <w:t xml:space="preserve">traits</w:t>
      </w:r>
      <w:r>
        <w:rPr>
          <w:vertAlign w:val="superscript"/>
        </w:rPr>
        <w:t xml:space="preserve">12–15</w:t>
      </w:r>
      <w:r>
        <w:t xml:space="preserve">. However, despite the great</w:t>
      </w:r>
      <w:r>
        <w:t xml:space="preserve"> </w:t>
      </w:r>
      <w:r>
        <w:t xml:space="preserve">promise of these methods, explaining trait effects with local gene</w:t>
      </w:r>
      <w:r>
        <w:t xml:space="preserve"> </w:t>
      </w:r>
      <w:r>
        <w:t xml:space="preserve">regulation has been more difficult than initially assumed</w:t>
      </w:r>
      <w:r>
        <w:rPr>
          <w:vertAlign w:val="superscript"/>
        </w:rPr>
        <w:t xml:space="preserve">16,17</w:t>
      </w:r>
      <w:r>
        <w:t xml:space="preserve">. Although trait-associated variants</w:t>
      </w:r>
      <w:r>
        <w:t xml:space="preserve"> </w:t>
      </w:r>
      <w:r>
        <w:t xml:space="preserve">typically lie in non-coding, regulatory regions, these variants often</w:t>
      </w:r>
      <w:r>
        <w:t xml:space="preserve"> </w:t>
      </w:r>
      <w:r>
        <w:t xml:space="preserve">have no detectable effects on gene expression</w:t>
      </w:r>
      <w:r>
        <w:rPr>
          <w:vertAlign w:val="superscript"/>
        </w:rPr>
        <w:t xml:space="preserve">16</w:t>
      </w:r>
      <w:r>
        <w:t xml:space="preserve"> </w:t>
      </w:r>
      <w:r>
        <w:t xml:space="preserve">and</w:t>
      </w:r>
      <w:r>
        <w:t xml:space="preserve"> </w:t>
      </w:r>
      <w:r>
        <w:t xml:space="preserve">tend not to co-localize with expression quantitative trait loci (eQTLs)</w:t>
      </w:r>
      <w:r>
        <w:rPr>
          <w:vertAlign w:val="superscript"/>
        </w:rPr>
        <w:t xml:space="preserve">17,18</w:t>
      </w:r>
      <w:r>
        <w:t xml:space="preserve">. These observations suggest that the</w:t>
      </w:r>
      <w:r>
        <w:t xml:space="preserve"> </w:t>
      </w:r>
      <w:r>
        <w:t xml:space="preserve">relationship among genetic variants, gene expression, and organism-level</w:t>
      </w:r>
      <w:r>
        <w:t xml:space="preserve"> </w:t>
      </w:r>
      <w:r>
        <w:t xml:space="preserve">traits is more complex than the simple, local model.</w:t>
      </w:r>
    </w:p>
    <w:p>
      <w:pPr>
        <w:pStyle w:val="BodyText"/>
      </w:pPr>
      <w:r>
        <w:t xml:space="preserve">In recent years the conversation around the genetic architecture of</w:t>
      </w:r>
      <w:r>
        <w:t xml:space="preserve"> </w:t>
      </w:r>
      <w:r>
        <w:t xml:space="preserve">common disease traits has been addressing this complexity, and there is</w:t>
      </w:r>
      <w:r>
        <w:t xml:space="preserve"> </w:t>
      </w:r>
      <w:r>
        <w:t xml:space="preserve">increased interest in more distant (distal) genetic effects as potential</w:t>
      </w:r>
      <w:r>
        <w:t xml:space="preserve"> </w:t>
      </w:r>
      <w:r>
        <w:t xml:space="preserve">drivers of trait variation</w:t>
      </w:r>
      <w:r>
        <w:rPr>
          <w:vertAlign w:val="superscript"/>
        </w:rPr>
        <w:t xml:space="preserve">15,18–21</w:t>
      </w:r>
      <w:r>
        <w:t xml:space="preserve">. In general,</w:t>
      </w:r>
      <w:r>
        <w:t xml:space="preserve"> </w:t>
      </w:r>
      <w:r>
        <w:t xml:space="preserve">distal effects are defined as being greater than 4 or 5Mb away from the</w:t>
      </w:r>
      <w:r>
        <w:t xml:space="preserve"> </w:t>
      </w:r>
      <w:r>
        <w:t xml:space="preserve">transcription start site of a given gene. We use the terms local and</w:t>
      </w:r>
      <w:r>
        <w:t xml:space="preserve"> </w:t>
      </w:r>
      <w:r>
        <w:t xml:space="preserve">distal rather than</w:t>
      </w:r>
      <w:r>
        <w:t xml:space="preserve"> </w:t>
      </w:r>
      <w:r>
        <w:rPr>
          <w:iCs/>
          <w:i/>
        </w:rPr>
        <w:t xml:space="preserve">cis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trans</w:t>
      </w:r>
      <w:r>
        <w:t xml:space="preserve"> </w:t>
      </w:r>
      <w:r>
        <w:t xml:space="preserve">because</w:t>
      </w:r>
      <w:r>
        <w:t xml:space="preserve"> </w:t>
      </w:r>
      <w:r>
        <w:rPr>
          <w:iCs/>
          <w:i/>
        </w:rPr>
        <w:t xml:space="preserve">cis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trans</w:t>
      </w:r>
      <w:r>
        <w:t xml:space="preserve"> </w:t>
      </w:r>
      <w:r>
        <w:t xml:space="preserve">have specific biochemical meanings</w:t>
      </w:r>
      <w:r>
        <w:rPr>
          <w:vertAlign w:val="superscript"/>
        </w:rPr>
        <w:t xml:space="preserve">22</w:t>
      </w:r>
      <w:r>
        <w:t xml:space="preserve">, whereas local and distal are defined only by</w:t>
      </w:r>
      <w:r>
        <w:t xml:space="preserve"> </w:t>
      </w:r>
      <w:r>
        <w:t xml:space="preserve">genomic position. The importance of distal genetic effects is proposed</w:t>
      </w:r>
      <w:r>
        <w:t xml:space="preserve"> </w:t>
      </w:r>
      <w:r>
        <w:t xml:space="preserve">in the omnigenic model, which posits that trait-driving genes are</w:t>
      </w:r>
      <w:r>
        <w:t xml:space="preserve"> </w:t>
      </w:r>
      <w:r>
        <w:t xml:space="preserve">cumulatively influenced by many distal variants. In this view, the</w:t>
      </w:r>
      <w:r>
        <w:t xml:space="preserve"> </w:t>
      </w:r>
      <w:r>
        <w:t xml:space="preserve">heritable transcriptomic signatures driving clinical traits are an</w:t>
      </w:r>
      <w:r>
        <w:t xml:space="preserve"> </w:t>
      </w:r>
      <w:r>
        <w:t xml:space="preserve">emergent state arising from the myriad molecular interactions defining</w:t>
      </w:r>
      <w:r>
        <w:t xml:space="preserve"> </w:t>
      </w:r>
      <w:r>
        <w:t xml:space="preserve">and constraining gene expression. Consistent with this view, it has been</w:t>
      </w:r>
      <w:r>
        <w:t xml:space="preserve"> </w:t>
      </w:r>
      <w:r>
        <w:t xml:space="preserve">suggested that part of the difficulty in explaining trait variation</w:t>
      </w:r>
      <w:r>
        <w:t xml:space="preserve"> </w:t>
      </w:r>
      <w:r>
        <w:t xml:space="preserve">through local eQTLs may arise in part because gene expression is not</w:t>
      </w:r>
      <w:r>
        <w:t xml:space="preserve"> </w:t>
      </w:r>
      <w:r>
        <w:t xml:space="preserve">measured in the appropriate cell types</w:t>
      </w:r>
      <w:r>
        <w:rPr>
          <w:vertAlign w:val="superscript"/>
        </w:rPr>
        <w:t xml:space="preserve">16</w:t>
      </w:r>
      <w:r>
        <w:t xml:space="preserve">, or cell</w:t>
      </w:r>
      <w:r>
        <w:t xml:space="preserve"> </w:t>
      </w:r>
      <w:r>
        <w:t xml:space="preserve">states</w:t>
      </w:r>
      <w:r>
        <w:rPr>
          <w:vertAlign w:val="superscript"/>
        </w:rPr>
        <w:t xml:space="preserve">23</w:t>
      </w:r>
      <w:r>
        <w:t xml:space="preserve">, and thus local eQTLs influencing traits</w:t>
      </w:r>
      <w:r>
        <w:t xml:space="preserve"> </w:t>
      </w:r>
      <w:r>
        <w:t xml:space="preserve">cannot be detected in bulk tissue samples. This context dependence</w:t>
      </w:r>
      <w:r>
        <w:t xml:space="preserve"> </w:t>
      </w:r>
      <w:r>
        <w:t xml:space="preserve">emphasizes the essential role of complex regulatory and tissue networks</w:t>
      </w:r>
      <w:r>
        <w:t xml:space="preserve"> </w:t>
      </w:r>
      <w:r>
        <w:t xml:space="preserve">in mediating variant effects. The mechanistic dissection of complex</w:t>
      </w:r>
      <w:r>
        <w:t xml:space="preserve"> </w:t>
      </w:r>
      <w:r>
        <w:t xml:space="preserve">traits in this model is more challenging because it requires addressing</w:t>
      </w:r>
      <w:r>
        <w:t xml:space="preserve"> </w:t>
      </w:r>
      <w:r>
        <w:t xml:space="preserve">network-mediated effects that are weaker and greater in number. However,</w:t>
      </w:r>
      <w:r>
        <w:t xml:space="preserve"> </w:t>
      </w:r>
      <w:r>
        <w:t xml:space="preserve">the comparative importance of distal effects over local effects is</w:t>
      </w:r>
      <w:r>
        <w:t xml:space="preserve"> </w:t>
      </w:r>
      <w:r>
        <w:t xml:space="preserve">currently only conjectured and challenging to address in human</w:t>
      </w:r>
      <w:r>
        <w:t xml:space="preserve"> </w:t>
      </w:r>
      <w:r>
        <w:t xml:space="preserve">populations.</w:t>
      </w:r>
    </w:p>
    <w:p>
      <w:pPr>
        <w:pStyle w:val="BodyText"/>
      </w:pPr>
      <w:r>
        <w:t xml:space="preserve">To assess the role of wide-spread distal gene regulation in the genetic</w:t>
      </w:r>
      <w:r>
        <w:t xml:space="preserve"> </w:t>
      </w:r>
      <w:r>
        <w:t xml:space="preserve">architecture of complex traits, we used genetically diverse mice as a</w:t>
      </w:r>
      <w:r>
        <w:t xml:space="preserve"> </w:t>
      </w:r>
      <w:r>
        <w:t xml:space="preserve">model system. In mice we can obtain simultaneous measurements of the</w:t>
      </w:r>
      <w:r>
        <w:t xml:space="preserve"> </w:t>
      </w:r>
      <w:r>
        <w:t xml:space="preserve">genome, transcriptome, and phenome in all individuals. We used</w:t>
      </w:r>
      <w:r>
        <w:t xml:space="preserve"> </w:t>
      </w:r>
      <w:r>
        <w:t xml:space="preserve">diet-induced obesity and metabolic disease as an archetypal example of a</w:t>
      </w:r>
      <w:r>
        <w:t xml:space="preserve"> </w:t>
      </w:r>
      <w:r>
        <w:t xml:space="preserve">complex trait. In humans, these phenotypes are genetically complex with</w:t>
      </w:r>
      <w:r>
        <w:t xml:space="preserve"> </w:t>
      </w:r>
      <w:r>
        <w:t xml:space="preserve">hundreds of variants mapped through GWAS</w:t>
      </w:r>
      <w:r>
        <w:rPr>
          <w:vertAlign w:val="superscript"/>
        </w:rPr>
        <w:t xml:space="preserve">24,25</w:t>
      </w:r>
      <w:r>
        <w:t xml:space="preserve"> </w:t>
      </w:r>
      <w:r>
        <w:t xml:space="preserve">that are known to act through multiple tissues</w:t>
      </w:r>
      <w:r>
        <w:rPr>
          <w:vertAlign w:val="superscript"/>
        </w:rPr>
        <w:t xml:space="preserve">26,27</w:t>
      </w:r>
      <w:r>
        <w:t xml:space="preserve">. Likewise in mice, metabolic traits</w:t>
      </w:r>
      <w:r>
        <w:t xml:space="preserve"> </w:t>
      </w:r>
      <w:r>
        <w:t xml:space="preserve">are also genetically complex</w:t>
      </w:r>
      <w:r>
        <w:rPr>
          <w:vertAlign w:val="superscript"/>
        </w:rPr>
        <w:t xml:space="preserve">28</w:t>
      </w:r>
      <w:r>
        <w:t xml:space="preserve"> </w:t>
      </w:r>
      <w:r>
        <w:t xml:space="preserve">and synteny analysis</w:t>
      </w:r>
      <w:r>
        <w:t xml:space="preserve"> </w:t>
      </w:r>
      <w:r>
        <w:t xml:space="preserve">implicates a high degree of concordance in the genetic architecture</w:t>
      </w:r>
      <w:r>
        <w:t xml:space="preserve"> </w:t>
      </w:r>
      <w:r>
        <w:t xml:space="preserve">between species</w:t>
      </w:r>
      <w:r>
        <w:rPr>
          <w:vertAlign w:val="superscript"/>
        </w:rPr>
        <w:t xml:space="preserve">12,28</w:t>
      </w:r>
      <w:r>
        <w:t xml:space="preserve">. Furthermore, in</w:t>
      </w:r>
      <w:r>
        <w:t xml:space="preserve"> </w:t>
      </w:r>
      <w:r>
        <w:t xml:space="preserve">contrast to humans, in mice we have access to multiple disease-relevant</w:t>
      </w:r>
      <w:r>
        <w:t xml:space="preserve"> </w:t>
      </w:r>
      <w:r>
        <w:t xml:space="preserve">tissues in the same individuals with sufficient numbers for adequate</w:t>
      </w:r>
      <w:r>
        <w:t xml:space="preserve"> </w:t>
      </w:r>
      <w:r>
        <w:t xml:space="preserve">statistical power.</w:t>
      </w:r>
    </w:p>
    <w:p>
      <w:pPr>
        <w:pStyle w:val="BodyText"/>
      </w:pPr>
      <w:r>
        <w:t xml:space="preserve">We generated two complementary data sets: a discovery data set in a</w:t>
      </w:r>
      <w:r>
        <w:t xml:space="preserve"> </w:t>
      </w:r>
      <w:r>
        <w:t xml:space="preserve">large population of Diversity Outbred (DO) mice</w:t>
      </w:r>
      <w:r>
        <w:rPr>
          <w:vertAlign w:val="superscript"/>
        </w:rPr>
        <w:t xml:space="preserve">29</w:t>
      </w:r>
      <w:r>
        <w:t xml:space="preserve">, and</w:t>
      </w:r>
      <w:r>
        <w:t xml:space="preserve"> </w:t>
      </w:r>
      <w:r>
        <w:t xml:space="preserve">an independent validation data set derived by crossing inbred strains</w:t>
      </w:r>
      <w:r>
        <w:t xml:space="preserve"> </w:t>
      </w:r>
      <w:r>
        <w:t xml:space="preserve">from the Collaborative Cross (CC) recombinant inbred lines</w:t>
      </w:r>
      <w:r>
        <w:rPr>
          <w:vertAlign w:val="superscript"/>
        </w:rPr>
        <w:t xml:space="preserve">30</w:t>
      </w:r>
      <w:r>
        <w:t xml:space="preserve"> </w:t>
      </w:r>
      <w:r>
        <w:t xml:space="preserve">to form CC recombinant inbred intercross (CC-RIX)</w:t>
      </w:r>
      <w:r>
        <w:t xml:space="preserve"> </w:t>
      </w:r>
      <w:r>
        <w:t xml:space="preserve">mice. Animals in populations were maintained on a high-fat, high-sugar</w:t>
      </w:r>
      <w:r>
        <w:t xml:space="preserve"> </w:t>
      </w:r>
      <w:r>
        <w:t xml:space="preserve">diet to model diet-induced obesity and metabolic disease</w:t>
      </w:r>
      <w:r>
        <w:rPr>
          <w:vertAlign w:val="superscript"/>
        </w:rPr>
        <w:t xml:space="preserve">12</w:t>
      </w:r>
      <w:r>
        <w:t xml:space="preserve">.</w:t>
      </w:r>
    </w:p>
    <w:p>
      <w:pPr>
        <w:pStyle w:val="BodyText"/>
      </w:pPr>
      <w:r>
        <w:t xml:space="preserve">The DO population and CC-RIX were derived from the same eight inbred</w:t>
      </w:r>
      <w:r>
        <w:t xml:space="preserve"> </w:t>
      </w:r>
      <w:r>
        <w:t xml:space="preserve">founder strains: five classical lab strains and three strains more</w:t>
      </w:r>
      <w:r>
        <w:t xml:space="preserve"> </w:t>
      </w:r>
      <w:r>
        <w:t xml:space="preserve">recently derived from wild mice</w:t>
      </w:r>
      <w:r>
        <w:rPr>
          <w:vertAlign w:val="superscript"/>
        </w:rPr>
        <w:t xml:space="preserve">29</w:t>
      </w:r>
      <w:r>
        <w:t xml:space="preserve">, representing three</w:t>
      </w:r>
      <w:r>
        <w:t xml:space="preserve"> </w:t>
      </w:r>
      <w:r>
        <w:t xml:space="preserve">subspecies and capturing 90% of the known variation in laboratory mice</w:t>
      </w:r>
      <w:r>
        <w:rPr>
          <w:vertAlign w:val="superscript"/>
        </w:rPr>
        <w:t xml:space="preserve">31</w:t>
      </w:r>
      <w:r>
        <w:t xml:space="preserve">. The DO mice are maintained with a breeding scheme</w:t>
      </w:r>
      <w:r>
        <w:t xml:space="preserve"> </w:t>
      </w:r>
      <w:r>
        <w:t xml:space="preserve">that ensures equal contributions from each founder across the genome,</w:t>
      </w:r>
      <w:r>
        <w:t xml:space="preserve"> </w:t>
      </w:r>
      <w:r>
        <w:t xml:space="preserve">thus rendering almost the whole genome visible to genetic inquiry and</w:t>
      </w:r>
      <w:r>
        <w:t xml:space="preserve"> </w:t>
      </w:r>
      <w:r>
        <w:t xml:space="preserve">maximizing power to detect eQTLs</w:t>
      </w:r>
      <w:r>
        <w:rPr>
          <w:vertAlign w:val="superscript"/>
        </w:rPr>
        <w:t xml:space="preserve">29</w:t>
      </w:r>
      <w:r>
        <w:t xml:space="preserve">. The CC mice were</w:t>
      </w:r>
      <w:r>
        <w:t xml:space="preserve"> </w:t>
      </w:r>
      <w:r>
        <w:t xml:space="preserve">initially intercrossed to recombine the genomes from all eight founders,</w:t>
      </w:r>
      <w:r>
        <w:t xml:space="preserve"> </w:t>
      </w:r>
      <w:r>
        <w:t xml:space="preserve">and then inbred for at least 20 generations to create recombinant inbred</w:t>
      </w:r>
      <w:r>
        <w:t xml:space="preserve"> </w:t>
      </w:r>
      <w:r>
        <w:t xml:space="preserve">lines</w:t>
      </w:r>
      <w:r>
        <w:rPr>
          <w:vertAlign w:val="superscript"/>
        </w:rPr>
        <w:t xml:space="preserve">30–32</w:t>
      </w:r>
      <w:r>
        <w:t xml:space="preserve">. Because these two populations have common ancestral</w:t>
      </w:r>
      <w:r>
        <w:t xml:space="preserve"> </w:t>
      </w:r>
      <w:r>
        <w:t xml:space="preserve">haplotypes but highly distinct kinship structure, we could directly and</w:t>
      </w:r>
      <w:r>
        <w:t xml:space="preserve"> </w:t>
      </w:r>
      <w:r>
        <w:t xml:space="preserve">unambiguously compare the local genetic effects on gene expression at</w:t>
      </w:r>
      <w:r>
        <w:t xml:space="preserve"> </w:t>
      </w:r>
      <w:r>
        <w:t xml:space="preserve">the whole-transcriptome level while varying the population structure</w:t>
      </w:r>
      <w:r>
        <w:t xml:space="preserve"> </w:t>
      </w:r>
      <w:r>
        <w:t xml:space="preserve">driving distal regulation.</w:t>
      </w:r>
    </w:p>
    <w:p>
      <w:pPr>
        <w:pStyle w:val="BodyText"/>
      </w:pPr>
      <w:r>
        <w:t xml:space="preserve">In the DO population, we paired clinically relevant metabolic traits,</w:t>
      </w:r>
      <w:r>
        <w:t xml:space="preserve"> </w:t>
      </w:r>
      <w:r>
        <w:t xml:space="preserve">including body weight and plasma levels of insulin, glucose and lipids</w:t>
      </w:r>
      <w:r>
        <w:rPr>
          <w:vertAlign w:val="superscript"/>
        </w:rPr>
        <w:t xml:space="preserve">12</w:t>
      </w:r>
      <w:r>
        <w:t xml:space="preserve">, with transcriptome-wide gene expression in four</w:t>
      </w:r>
      <w:r>
        <w:t xml:space="preserve"> </w:t>
      </w:r>
      <w:r>
        <w:t xml:space="preserve">tissues related to metabolic disease: adipose tissue, pancreatic islets,</w:t>
      </w:r>
      <w:r>
        <w:t xml:space="preserve"> </w:t>
      </w:r>
      <w:r>
        <w:t xml:space="preserve">liver, and skeletal muscle. We measured similar metabolic traits in a</w:t>
      </w:r>
      <w:r>
        <w:t xml:space="preserve"> </w:t>
      </w:r>
      <w:r>
        <w:t xml:space="preserve">CC-RIX population and gene expression from three of the four tissues</w:t>
      </w:r>
      <w:r>
        <w:t xml:space="preserve"> </w:t>
      </w:r>
      <w:r>
        <w:t xml:space="preserve">used in the DO: adipose tissue, liver, and skeletal muscle. Measuring</w:t>
      </w:r>
      <w:r>
        <w:t xml:space="preserve"> </w:t>
      </w:r>
      <w:r>
        <w:t xml:space="preserve">gene expression in multiple tissues is critical to adequately assess the</w:t>
      </w:r>
      <w:r>
        <w:t xml:space="preserve"> </w:t>
      </w:r>
      <w:r>
        <w:t xml:space="preserve">extent to which local gene regulation varies across the tissues and</w:t>
      </w:r>
      <w:r>
        <w:t xml:space="preserve"> </w:t>
      </w:r>
      <w:r>
        <w:t xml:space="preserve">whether such variability might account for previous failed attempts to</w:t>
      </w:r>
      <w:r>
        <w:t xml:space="preserve"> </w:t>
      </w:r>
      <w:r>
        <w:t xml:space="preserve">identify trait-relevant local eQTLs. Because the CC-RIX carry the same</w:t>
      </w:r>
      <w:r>
        <w:t xml:space="preserve"> </w:t>
      </w:r>
      <w:r>
        <w:t xml:space="preserve">founder alleles as the DO, the local gene regulation is expected to</w:t>
      </w:r>
      <w:r>
        <w:t xml:space="preserve"> </w:t>
      </w:r>
      <w:r>
        <w:t xml:space="preserve">match between the populations. However, because the alleles are</w:t>
      </w:r>
      <w:r>
        <w:t xml:space="preserve"> </w:t>
      </w:r>
      <w:r>
        <w:t xml:space="preserve">recombined throughout the genome, distal effects are expected to vary</w:t>
      </w:r>
      <w:r>
        <w:t xml:space="preserve"> </w:t>
      </w:r>
      <w:r>
        <w:t xml:space="preserve">from those in the DO, allowing us to directly assess the role of distal</w:t>
      </w:r>
      <w:r>
        <w:t xml:space="preserve"> </w:t>
      </w:r>
      <w:r>
        <w:t xml:space="preserve">gene regulation in driving trait-associated transcript variation. To</w:t>
      </w:r>
      <w:r>
        <w:t xml:space="preserve"> </w:t>
      </w:r>
      <w:r>
        <w:t xml:space="preserve">mechanistically dissect distal effects on metabolic disease, we</w:t>
      </w:r>
      <w:r>
        <w:t xml:space="preserve"> </w:t>
      </w:r>
      <w:r>
        <w:t xml:space="preserve">developed a novel dimension reduction framework called high-dimensional</w:t>
      </w:r>
      <w:r>
        <w:t xml:space="preserve"> </w:t>
      </w:r>
      <w:r>
        <w:t xml:space="preserve">mediation analysis (HDMA) to identify the heritable transcriptomic</w:t>
      </w:r>
      <w:r>
        <w:t xml:space="preserve"> </w:t>
      </w:r>
      <w:r>
        <w:t xml:space="preserve">signatures driving trait variation, which we compared between mouse</w:t>
      </w:r>
      <w:r>
        <w:t xml:space="preserve"> </w:t>
      </w:r>
      <w:r>
        <w:t xml:space="preserve">populations and to human data sets with measured adipose gene</w:t>
      </w:r>
      <w:r>
        <w:t xml:space="preserve"> </w:t>
      </w:r>
      <w:r>
        <w:t xml:space="preserve">expression. Together, these data enable a comprehensive view into the</w:t>
      </w:r>
      <w:r>
        <w:t xml:space="preserve"> </w:t>
      </w:r>
      <w:r>
        <w:t xml:space="preserve">genetic architecture of metabolic disease.</w:t>
      </w:r>
    </w:p>
    <w:bookmarkEnd w:id="23"/>
    <w:bookmarkStart w:id="35" w:name="results"/>
    <w:p>
      <w:pPr>
        <w:pStyle w:val="Heading2"/>
      </w:pPr>
      <w:r>
        <w:t xml:space="preserve">Results</w:t>
      </w:r>
    </w:p>
    <w:bookmarkStart w:id="24" w:name="X2cbb9cf4ae8b97f8d0d20a36d6fd251e707d6cc"/>
    <w:p>
      <w:pPr>
        <w:pStyle w:val="Heading3"/>
      </w:pPr>
      <w:r>
        <w:t xml:space="preserve">Genetic variation contributed to wide phenotypic</w:t>
      </w:r>
      <w:r>
        <w:t xml:space="preserve"> </w:t>
      </w:r>
      <w:r>
        <w:t xml:space="preserve">variation</w:t>
      </w:r>
    </w:p>
    <w:p>
      <w:pPr>
        <w:pStyle w:val="FirstParagraph"/>
      </w:pPr>
      <w:r>
        <w:t xml:space="preserve">Although the environment was consistent across the DO mice, the genetic</w:t>
      </w:r>
      <w:r>
        <w:t xml:space="preserve"> </w:t>
      </w:r>
      <w:r>
        <w:t xml:space="preserve">diversity present in this population resulted in widely varying</w:t>
      </w:r>
      <w:r>
        <w:t xml:space="preserve"> </w:t>
      </w:r>
      <w:r>
        <w:t xml:space="preserve">distributions across physiological measurements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). For example, body weights of adult</w:t>
      </w:r>
      <w:r>
        <w:t xml:space="preserve"> </w:t>
      </w:r>
      <w:r>
        <w:t xml:space="preserve">individuals varied from less than the average adult C57BL/6J (B6) body</w:t>
      </w:r>
      <w:r>
        <w:t xml:space="preserve"> </w:t>
      </w:r>
      <w:r>
        <w:t xml:space="preserve">weight to several times the body weight of a B6 adult in both sexes</w:t>
      </w:r>
      <w:r>
        <w:t xml:space="preserve"> </w:t>
      </w:r>
      <w:r>
        <w:t xml:space="preserve">(Males: 18.5 - 69.1g, Females: 16.0 - 54.8g)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A). Fasting blood glucose (FBG) also varied</w:t>
      </w:r>
      <w:r>
        <w:t xml:space="preserve"> </w:t>
      </w:r>
      <w:r>
        <w:t xml:space="preserve">considerably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B), although few of the</w:t>
      </w:r>
      <w:r>
        <w:t xml:space="preserve"> </w:t>
      </w:r>
      <w:r>
        <w:t xml:space="preserve">animals had FBG levels that would indicate pre-diabetes (19 animals,</w:t>
      </w:r>
      <w:r>
        <w:t xml:space="preserve"> </w:t>
      </w:r>
      <w:r>
        <w:t xml:space="preserve">3.8%), or diabetes (7 animals, 1.4%) according to previously developed</w:t>
      </w:r>
      <w:r>
        <w:t xml:space="preserve"> </w:t>
      </w:r>
      <w:r>
        <w:t xml:space="preserve">cutoffs (pre-diabetes: FBG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250 mg/dL, diabetes: FBG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300, mg/dL)</w:t>
      </w:r>
      <w:r>
        <w:rPr>
          <w:vertAlign w:val="superscript"/>
        </w:rPr>
        <w:t xml:space="preserve">33</w:t>
      </w:r>
      <w:r>
        <w:t xml:space="preserve">. Males had higher FBG than females on</w:t>
      </w:r>
      <w:r>
        <w:t xml:space="preserve"> </w:t>
      </w:r>
      <w:r>
        <w:t xml:space="preserve">average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C) as has been observed before</w:t>
      </w:r>
      <w:r>
        <w:t xml:space="preserve"> </w:t>
      </w:r>
      <w:r>
        <w:t xml:space="preserve">suggesting either that males were more susceptible to metabolic disease</w:t>
      </w:r>
      <w:r>
        <w:t xml:space="preserve"> </w:t>
      </w:r>
      <w:r>
        <w:t xml:space="preserve">on the high-fat, high-sugar (HFHS) diet, or that males and females may</w:t>
      </w:r>
      <w:r>
        <w:t xml:space="preserve"> </w:t>
      </w:r>
      <w:r>
        <w:t xml:space="preserve">require different FBG thresholds for pre-diabetes and diabetes.</w:t>
      </w:r>
    </w:p>
    <w:p>
      <w:pPr>
        <w:pStyle w:val="BodyText"/>
      </w:pPr>
      <w:r>
        <w:t xml:space="preserve">Body weight was strongly positively correlated with food consumption</w:t>
      </w:r>
      <w:r>
        <w:t xml:space="preserve"> </w:t>
      </w:r>
      <w:r>
        <w:t xml:space="preserve">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D; Linear regression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0.51</m:t>
        </m:r>
      </m:oMath>
      <w:r>
        <w:t xml:space="preserve">;</w:t>
      </w:r>
      <w:r>
        <w:t xml:space="preserve"> </w:t>
      </w:r>
      <w:r>
        <w:t xml:space="preserve">beta coefficient =</w:t>
      </w:r>
      <w:r>
        <w:t xml:space="preserve"> </w:t>
      </w:r>
      <m:oMath>
        <m:r>
          <m:t>12.6</m:t>
        </m:r>
        <m:r>
          <m:rPr>
            <m:sty m:val="p"/>
          </m:rPr>
          <m:t>±</m:t>
        </m:r>
        <m:r>
          <m:t>0.57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22.2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 and FBG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E; Linear</w:t>
      </w:r>
      <w:r>
        <w:t xml:space="preserve"> </w:t>
      </w:r>
      <w:r>
        <w:t xml:space="preserve">regression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0.21</m:t>
        </m:r>
      </m:oMath>
      <w:r>
        <w:t xml:space="preserve">; beta coefficient =</w:t>
      </w:r>
      <w:r>
        <w:t xml:space="preserve"> </w:t>
      </w:r>
      <m:oMath>
        <m:r>
          <m:t>2.49</m:t>
        </m:r>
        <m:r>
          <m:rPr>
            <m:sty m:val="p"/>
          </m:rPr>
          <m:t>±</m:t>
        </m:r>
        <m:r>
          <m:t>0.22</m:t>
        </m:r>
      </m:oMath>
      <w:r>
        <w:t xml:space="preserve"> </w:t>
      </w:r>
      <w:r>
        <w:t xml:space="preserve">standard</w:t>
      </w:r>
      <w:r>
        <w:t xml:space="preserve"> </w:t>
      </w:r>
      <w:r>
        <w:t xml:space="preserve">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11.34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 suggesting a link between</w:t>
      </w:r>
      <w:r>
        <w:t xml:space="preserve"> </w:t>
      </w:r>
      <w:r>
        <w:t xml:space="preserve">behavioral factors and metabolic disease. However, the heritability of</w:t>
      </w:r>
      <w:r>
        <w:t xml:space="preserve"> </w:t>
      </w:r>
      <w:r>
        <w:t xml:space="preserve">this trait and others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F) indicates that</w:t>
      </w:r>
      <w:r>
        <w:t xml:space="preserve"> </w:t>
      </w:r>
      <w:r>
        <w:t xml:space="preserve">genetics contribute substantially to correlates of metabolic disease in</w:t>
      </w:r>
      <w:r>
        <w:t xml:space="preserve"> </w:t>
      </w:r>
      <w:r>
        <w:t xml:space="preserve">this population.</w:t>
      </w:r>
    </w:p>
    <w:p>
      <w:pPr>
        <w:pStyle w:val="BodyText"/>
      </w:pPr>
      <w:r>
        <w:t xml:space="preserve">The trait correlations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G) showed that</w:t>
      </w:r>
      <w:r>
        <w:t xml:space="preserve"> </w:t>
      </w:r>
      <w:r>
        <w:t xml:space="preserve">most of the metabolic trait pairs were only modestly correlated, which,</w:t>
      </w:r>
      <w:r>
        <w:t xml:space="preserve"> </w:t>
      </w:r>
      <w:r>
        <w:t xml:space="preserve">in conjunction with the trait decomposition (Supplementary Figure</w:t>
      </w:r>
      <w:r>
        <w:t xml:space="preserve"> </w:t>
      </w:r>
      <w:hyperlink w:anchor="fig:trait_decomp">
        <w:r>
          <w:rPr>
            <w:rStyle w:val="Hyperlink"/>
          </w:rPr>
          <w:t xml:space="preserve">[fig:trait_decomp]</w:t>
        </w:r>
      </w:hyperlink>
      <w:r>
        <w:t xml:space="preserve">), suggests complex relationships among the</w:t>
      </w:r>
      <w:r>
        <w:t xml:space="preserve"> </w:t>
      </w:r>
      <w:r>
        <w:t xml:space="preserve">measured traits and a broad sampling of multiple heritable aspects of</w:t>
      </w:r>
      <w:r>
        <w:t xml:space="preserve"> </w:t>
      </w:r>
      <w:r>
        <w:t xml:space="preserve">metabolic disease including overall body weight, glucose homeostasis,</w:t>
      </w:r>
      <w:r>
        <w:t xml:space="preserve"> </w:t>
      </w:r>
      <w:r>
        <w:t xml:space="preserve">and pancreatic function.</w:t>
      </w:r>
    </w:p>
    <w:bookmarkEnd w:id="24"/>
    <w:bookmarkStart w:id="25" w:name="X7a4dba8cccb379602257e0d5257e66a41b3bc04"/>
    <w:p>
      <w:pPr>
        <w:pStyle w:val="Heading3"/>
      </w:pPr>
      <w:r>
        <w:t xml:space="preserve">Distal Heritability Correlated with Phenotype</w:t>
      </w:r>
      <w:r>
        <w:t xml:space="preserve"> </w:t>
      </w:r>
      <w:r>
        <w:t xml:space="preserve">Relevance</w:t>
      </w:r>
    </w:p>
    <w:p>
      <w:pPr>
        <w:pStyle w:val="FirstParagraph"/>
      </w:pPr>
      <w:r>
        <w:t xml:space="preserve">It is widely assumed that variation in traits is mediated through local</w:t>
      </w:r>
      <w:r>
        <w:t xml:space="preserve"> </w:t>
      </w:r>
      <w:r>
        <w:t xml:space="preserve">regulation of gene expression. To test this assumption, we measured</w:t>
      </w:r>
      <w:r>
        <w:t xml:space="preserve"> </w:t>
      </w:r>
      <w:r>
        <w:t xml:space="preserve">transcriptome-wide gene expression in four tissues–adipose, liver,</w:t>
      </w:r>
      <w:r>
        <w:t xml:space="preserve"> </w:t>
      </w:r>
      <w:r>
        <w:t xml:space="preserve">pancreatic islet, and skeletal muscle–in the DO cohort. (Basic results</w:t>
      </w:r>
      <w:r>
        <w:t xml:space="preserve"> </w:t>
      </w:r>
      <w:r>
        <w:t xml:space="preserve">from a standard eQTL analysis</w:t>
      </w:r>
      <w:r>
        <w:rPr>
          <w:vertAlign w:val="superscript"/>
        </w:rPr>
        <w:t xml:space="preserve">34</w:t>
      </w:r>
      <w:r>
        <w:t xml:space="preserve"> </w:t>
      </w:r>
      <w:r>
        <w:t xml:space="preserve">(Methods) are</w:t>
      </w:r>
      <w:r>
        <w:t xml:space="preserve"> </w:t>
      </w:r>
      <w:r>
        <w:t xml:space="preserve">available in Supplementary Figure</w:t>
      </w:r>
      <w:r>
        <w:t xml:space="preserve"> </w:t>
      </w:r>
      <w:hyperlink w:anchor="fig:eQTL">
        <w:r>
          <w:rPr>
            <w:rStyle w:val="Hyperlink"/>
          </w:rPr>
          <w:t xml:space="preserve">[fig:eQTL]</w:t>
        </w:r>
      </w:hyperlink>
      <w:r>
        <w:t xml:space="preserve">). We estimated the</w:t>
      </w:r>
      <w:r>
        <w:t xml:space="preserve"> </w:t>
      </w:r>
      <w:r>
        <w:t xml:space="preserve">local genetic contribution to each transcript as the variance explained</w:t>
      </w:r>
      <w:r>
        <w:t xml:space="preserve"> </w:t>
      </w:r>
      <w:r>
        <w:t xml:space="preserve">by the haplotype probabilities at the genetic marker closest to the gene</w:t>
      </w:r>
      <w:r>
        <w:t xml:space="preserve"> </w:t>
      </w:r>
      <w:r>
        <w:t xml:space="preserve">transcription start site. We estimated the distal heritability as the</w:t>
      </w:r>
      <w:r>
        <w:t xml:space="preserve"> </w:t>
      </w:r>
      <w:r>
        <w:t xml:space="preserve">heritability of the residuals after local haplotype had been accounted</w:t>
      </w:r>
      <w:r>
        <w:t xml:space="preserve"> </w:t>
      </w:r>
      <w:r>
        <w:t xml:space="preserve">for (Methods). Importantly, this estimate was not based on distal eQTL,</w:t>
      </w:r>
      <w:r>
        <w:t xml:space="preserve"> </w:t>
      </w:r>
      <w:r>
        <w:t xml:space="preserve">but rather the unlocalized contribution of the genome after removing the</w:t>
      </w:r>
      <w:r>
        <w:t xml:space="preserve"> </w:t>
      </w:r>
      <w:r>
        <w:t xml:space="preserve">local genetic effect.</w:t>
      </w:r>
    </w:p>
    <w:p>
      <w:pPr>
        <w:pStyle w:val="BodyText"/>
      </w:pPr>
      <w:r>
        <w:t xml:space="preserve">Overall, local and distal genetic factors contributed approximately</w:t>
      </w:r>
      <w:r>
        <w:t xml:space="preserve"> </w:t>
      </w:r>
      <w:r>
        <w:t xml:space="preserve">equally to transcript abundance. In all tissues, both local and distal</w:t>
      </w:r>
      <w:r>
        <w:t xml:space="preserve"> </w:t>
      </w:r>
      <w:r>
        <w:t xml:space="preserve">factors explained between 8 and 17% of the variance in the median</w:t>
      </w:r>
      <w:r>
        <w:t xml:space="preserve"> </w:t>
      </w:r>
      <w:r>
        <w:t xml:space="preserve">transcript (Figure</w:t>
      </w:r>
      <w:r>
        <w:t xml:space="preserve"> </w:t>
      </w:r>
      <w:hyperlink w:anchor="fig:motivation">
        <w:r>
          <w:rPr>
            <w:rStyle w:val="Hyperlink"/>
          </w:rPr>
          <w:t xml:space="preserve">2</w:t>
        </w:r>
      </w:hyperlink>
      <w:r>
        <w:t xml:space="preserve">A). This 50% contribution of</w:t>
      </w:r>
      <w:r>
        <w:t xml:space="preserve"> </w:t>
      </w:r>
      <w:r>
        <w:t xml:space="preserve">local genetic variation to transcript abundance contrasts with findings</w:t>
      </w:r>
      <w:r>
        <w:t xml:space="preserve"> </w:t>
      </w:r>
      <w:r>
        <w:t xml:space="preserve">in humans in which local variants have been found to explain only</w:t>
      </w:r>
      <w:r>
        <w:t xml:space="preserve"> </w:t>
      </w:r>
      <w:r>
        <w:t xml:space="preserve">20-30% of total heritability, while distal effects explain the</w:t>
      </w:r>
      <w:r>
        <w:t xml:space="preserve"> </w:t>
      </w:r>
      <w:r>
        <w:t xml:space="preserve">remaining 70-80%</w:t>
      </w:r>
      <w:r>
        <w:rPr>
          <w:vertAlign w:val="superscript"/>
        </w:rPr>
        <w:t xml:space="preserve">35,36</w:t>
      </w:r>
      <w:r>
        <w:t xml:space="preserve">. This discrepancy may</w:t>
      </w:r>
      <w:r>
        <w:t xml:space="preserve"> </w:t>
      </w:r>
      <w:r>
        <w:t xml:space="preserve">arise due to the high degree of linkage disequilibrium in the DO mice</w:t>
      </w:r>
      <w:r>
        <w:t xml:space="preserve"> </w:t>
      </w:r>
      <w:r>
        <w:t xml:space="preserve">compared to human populations and to the high degree of confidence with</w:t>
      </w:r>
      <w:r>
        <w:t xml:space="preserve"> </w:t>
      </w:r>
      <w:r>
        <w:t xml:space="preserve">which we can estimate ancestral haplotypes in this population. At each</w:t>
      </w:r>
      <w:r>
        <w:t xml:space="preserve"> </w:t>
      </w:r>
      <w:r>
        <w:t xml:space="preserve">position in the mice we can estimate ancestral haplotype with a high</w:t>
      </w:r>
      <w:r>
        <w:t xml:space="preserve"> </w:t>
      </w:r>
      <w:r>
        <w:t xml:space="preserve">degree of accuracy. Haplotype at any given genetic marker captures</w:t>
      </w:r>
      <w:r>
        <w:t xml:space="preserve"> </w:t>
      </w:r>
      <w:r>
        <w:t xml:space="preserve">genomic information from a relatively large genomic region surrounding</w:t>
      </w:r>
      <w:r>
        <w:t xml:space="preserve"> </w:t>
      </w:r>
      <w:r>
        <w:t xml:space="preserve">each marker. In contrast, there is a much higher degree of recombination</w:t>
      </w:r>
      <w:r>
        <w:t xml:space="preserve"> </w:t>
      </w:r>
      <w:r>
        <w:t xml:space="preserve">in human populations and ancestral haplotypes are more numerous and more</w:t>
      </w:r>
      <w:r>
        <w:t xml:space="preserve"> </w:t>
      </w:r>
      <w:r>
        <w:t xml:space="preserve">difficult to estimate than in the mice. Thus in the mice, each marker</w:t>
      </w:r>
      <w:r>
        <w:t xml:space="preserve"> </w:t>
      </w:r>
      <w:r>
        <w:t xml:space="preserve">may capture more local regulatory variation than SNPs or estimated</w:t>
      </w:r>
      <w:r>
        <w:t xml:space="preserve"> </w:t>
      </w:r>
      <w:r>
        <w:t xml:space="preserve">haplotypes capture in humans. It has been found that transcripts with</w:t>
      </w:r>
      <w:r>
        <w:t xml:space="preserve"> </w:t>
      </w:r>
      <w:r>
        <w:t xml:space="preserve">muliple local eQTL have higher local heritability than transcripts with</w:t>
      </w:r>
      <w:r>
        <w:t xml:space="preserve"> </w:t>
      </w:r>
      <w:r>
        <w:t xml:space="preserve">single local eQTL</w:t>
      </w:r>
      <w:r>
        <w:rPr>
          <w:vertAlign w:val="superscript"/>
        </w:rPr>
        <w:t xml:space="preserve">37</w:t>
      </w:r>
      <w:r>
        <w:t xml:space="preserve">. Because of the high diversity in</w:t>
      </w:r>
      <w:r>
        <w:t xml:space="preserve"> </w:t>
      </w:r>
      <w:r>
        <w:t xml:space="preserve">the DO and the high rates of linkage disequilibrium, it is possible that</w:t>
      </w:r>
      <w:r>
        <w:t xml:space="preserve"> </w:t>
      </w:r>
      <w:r>
        <w:t xml:space="preserve">there are more local variants regulating transcription creating a</w:t>
      </w:r>
      <w:r>
        <w:t xml:space="preserve"> </w:t>
      </w:r>
      <w:r>
        <w:t xml:space="preserve">proportionally larger effect of local regulation.</w:t>
      </w:r>
    </w:p>
    <w:p>
      <w:pPr>
        <w:pStyle w:val="BodyText"/>
      </w:pPr>
      <w:r>
        <w:t xml:space="preserve">To assess the importance of genetic regulation of transcript levels to</w:t>
      </w:r>
      <w:r>
        <w:t xml:space="preserve"> </w:t>
      </w:r>
      <w:r>
        <w:t xml:space="preserve">clinical traits, we compared the local and distal heritabilities of</w:t>
      </w:r>
      <w:r>
        <w:t xml:space="preserve"> </w:t>
      </w:r>
      <w:r>
        <w:t xml:space="preserve">transcripts to their trait relevance. We defined trait relevance for a</w:t>
      </w:r>
      <w:r>
        <w:t xml:space="preserve"> </w:t>
      </w:r>
      <w:r>
        <w:t xml:space="preserve">transcript as its maximum absolute Spearman correlation coefficient</w:t>
      </w:r>
      <w:r>
        <w:t xml:space="preserve"> </w:t>
      </w:r>
      <w:r>
        <w:t xml:space="preserve">(</w:t>
      </w:r>
      <m:oMath>
        <m:r>
          <m:t>ρ</m:t>
        </m:r>
      </m:oMath>
      <w:r>
        <w:t xml:space="preserve">) across all traits (Methods). The local heritability of</w:t>
      </w:r>
      <w:r>
        <w:t xml:space="preserve"> </w:t>
      </w:r>
      <w:r>
        <w:t xml:space="preserve">transcripts was negatively associated with their trait relevance (Figure</w:t>
      </w:r>
      <w:r>
        <w:t xml:space="preserve"> </w:t>
      </w:r>
      <w:hyperlink w:anchor="fig:motivation">
        <w:r>
          <w:rPr>
            <w:rStyle w:val="Hyperlink"/>
          </w:rPr>
          <w:t xml:space="preserve">2</w:t>
        </w:r>
      </w:hyperlink>
      <w:r>
        <w:t xml:space="preserve">B), suggesting that the more local genotype</w:t>
      </w:r>
      <w:r>
        <w:t xml:space="preserve"> </w:t>
      </w:r>
      <w:r>
        <w:t xml:space="preserve">influenced transcript abundance, the less effect this variation had on</w:t>
      </w:r>
      <w:r>
        <w:t xml:space="preserve"> </w:t>
      </w:r>
      <w:r>
        <w:t xml:space="preserve">the measured traits. Conversely, the distal heritability of transcripts</w:t>
      </w:r>
      <w:r>
        <w:t xml:space="preserve"> </w:t>
      </w:r>
      <w:r>
        <w:t xml:space="preserve">was positively associated with trait relevance (Figure</w:t>
      </w:r>
      <w:r>
        <w:t xml:space="preserve"> </w:t>
      </w:r>
      <w:hyperlink w:anchor="fig:motivation">
        <w:r>
          <w:rPr>
            <w:rStyle w:val="Hyperlink"/>
          </w:rPr>
          <w:t xml:space="preserve">2</w:t>
        </w:r>
      </w:hyperlink>
      <w:r>
        <w:t xml:space="preserve">C). That is, transcripts that were more highly</w:t>
      </w:r>
      <w:r>
        <w:t xml:space="preserve"> </w:t>
      </w:r>
      <w:r>
        <w:t xml:space="preserve">correlated with the measured traits tended to be distally, rather than</w:t>
      </w:r>
      <w:r>
        <w:t xml:space="preserve"> </w:t>
      </w:r>
      <w:r>
        <w:t xml:space="preserve">locally, heritable. This pattern was consistent across all tissues. This</w:t>
      </w:r>
      <w:r>
        <w:t xml:space="preserve"> </w:t>
      </w:r>
      <w:r>
        <w:t xml:space="preserve">finding is also consistent with previous observations that transcripts</w:t>
      </w:r>
      <w:r>
        <w:t xml:space="preserve"> </w:t>
      </w:r>
      <w:r>
        <w:t xml:space="preserve">with low local heritability explain more expression-mediated disease</w:t>
      </w:r>
      <w:r>
        <w:t xml:space="preserve"> </w:t>
      </w:r>
      <w:r>
        <w:t xml:space="preserve">heritability than transcripts with high local heritability</w:t>
      </w:r>
      <w:r>
        <w:rPr>
          <w:vertAlign w:val="superscript"/>
        </w:rPr>
        <w:t xml:space="preserve">19</w:t>
      </w:r>
      <w:r>
        <w:t xml:space="preserve">. However, the positive relationship between trait</w:t>
      </w:r>
      <w:r>
        <w:t xml:space="preserve"> </w:t>
      </w:r>
      <w:r>
        <w:t xml:space="preserve">correlation and distal heritability demonstrated further that there are</w:t>
      </w:r>
      <w:r>
        <w:t xml:space="preserve"> </w:t>
      </w:r>
      <w:r>
        <w:t xml:space="preserve">diffuse genetic effects throughout the genome converging on</w:t>
      </w:r>
      <w:r>
        <w:t xml:space="preserve"> </w:t>
      </w:r>
      <w:r>
        <w:t xml:space="preserve">trait-related transcripts.</w:t>
      </w:r>
    </w:p>
    <w:bookmarkEnd w:id="25"/>
    <w:bookmarkStart w:id="26" w:name="X5cc221b186dd67c0e80448266231d3820f4d73e"/>
    <w:p>
      <w:pPr>
        <w:pStyle w:val="Heading3"/>
      </w:pPr>
      <w:r>
        <w:t xml:space="preserve">High-Dimensional Mediation Analysis identified a</w:t>
      </w:r>
      <w:r>
        <w:t xml:space="preserve"> </w:t>
      </w:r>
      <w:r>
        <w:t xml:space="preserve">high-heritability composite trait that was mediated by a composite</w:t>
      </w:r>
      <w:r>
        <w:t xml:space="preserve"> </w:t>
      </w:r>
      <w:r>
        <w:t xml:space="preserve">transcript</w:t>
      </w:r>
    </w:p>
    <w:p>
      <w:pPr>
        <w:pStyle w:val="FirstParagraph"/>
      </w:pPr>
      <w:r>
        <w:t xml:space="preserve">The above univariate analyses establish the importance of distal</w:t>
      </w:r>
      <w:r>
        <w:t xml:space="preserve"> </w:t>
      </w:r>
      <w:r>
        <w:t xml:space="preserve">heritability for trait-relevant transcripts. However, the number of</w:t>
      </w:r>
      <w:r>
        <w:t xml:space="preserve"> </w:t>
      </w:r>
      <w:r>
        <w:t xml:space="preserve">transcripts dramatically exceeds the number of phenotypes. Thus, we</w:t>
      </w:r>
      <w:r>
        <w:t xml:space="preserve"> </w:t>
      </w:r>
      <w:r>
        <w:t xml:space="preserve">expect the heritable, trait-relevant transcripts to be highly correlated</w:t>
      </w:r>
      <w:r>
        <w:t xml:space="preserve"> </w:t>
      </w:r>
      <w:r>
        <w:t xml:space="preserve">and organized according to coherent, biological processes representing</w:t>
      </w:r>
      <w:r>
        <w:t xml:space="preserve"> </w:t>
      </w:r>
      <w:r>
        <w:t xml:space="preserve">the mediating endophenotypes driving clinical trait variation. To</w:t>
      </w:r>
      <w:r>
        <w:t xml:space="preserve"> </w:t>
      </w:r>
      <w:r>
        <w:t xml:space="preserve">identify these endophenotypes in a theoretically principled way, we</w:t>
      </w:r>
      <w:r>
        <w:t xml:space="preserve"> </w:t>
      </w:r>
      <w:r>
        <w:t xml:space="preserve">developed a novel dimension-reduction technique, high-dimension</w:t>
      </w:r>
      <w:r>
        <w:t xml:space="preserve"> </w:t>
      </w:r>
      <w:r>
        <w:t xml:space="preserve">mediation analysis (HDMA), that uses the theory of causal graphical</w:t>
      </w:r>
      <w:r>
        <w:t xml:space="preserve"> </w:t>
      </w:r>
      <w:r>
        <w:t xml:space="preserve">models to identify a transcriptomic signature that is simultaneously 1)</w:t>
      </w:r>
      <w:r>
        <w:t xml:space="preserve"> </w:t>
      </w:r>
      <w:r>
        <w:t xml:space="preserve">highly heritable, 2) strongly correlated to the measured phenotypes, and</w:t>
      </w:r>
      <w:r>
        <w:t xml:space="preserve"> </w:t>
      </w:r>
      <w:r>
        <w:t xml:space="preserve">3) conforms to the causal mediation hypothesis (Figure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). In HDMA, we first use a linear mapping called</w:t>
      </w:r>
      <w:r>
        <w:t xml:space="preserve"> </w:t>
      </w:r>
      <w:r>
        <w:t xml:space="preserve">kernelization to dimension-reduce the genome, transcriptome, and phenome</w:t>
      </w:r>
      <w:r>
        <w:t xml:space="preserve"> </w:t>
      </w:r>
      <w:r>
        <w:t xml:space="preserve">to kernel matrices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respectively, which each</w:t>
      </w:r>
      <w:r>
        <w:t xml:space="preserve"> </w:t>
      </w:r>
      <w:r>
        <w:t xml:space="preserve">have the dimensions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</w:t>
      </w:r>
      <w:r>
        <w:t xml:space="preserve"> </w:t>
      </w:r>
      <w:r>
        <w:t xml:space="preserve">individuals (Methods). These kernel matrices describe the relationships</w:t>
      </w:r>
      <w:r>
        <w:t xml:space="preserve"> </w:t>
      </w:r>
      <w:r>
        <w:t xml:space="preserve">among the individual mice in genome space, transcriptome space, and</w:t>
      </w:r>
      <w:r>
        <w:t xml:space="preserve"> </w:t>
      </w:r>
      <w:r>
        <w:t xml:space="preserve">phenome space and ensure that these three omic spaces have the same</w:t>
      </w:r>
      <w:r>
        <w:t xml:space="preserve"> </w:t>
      </w:r>
      <w:r>
        <w:t xml:space="preserve">dimensions, and thus the same weight in the analysis. If not</w:t>
      </w:r>
      <w:r>
        <w:t xml:space="preserve"> </w:t>
      </w:r>
      <w:r>
        <w:t xml:space="preserve">dimension-reduced, the transcriptome would outweigh the phenome in the</w:t>
      </w:r>
      <w:r>
        <w:t xml:space="preserve"> </w:t>
      </w:r>
      <w:r>
        <w:t xml:space="preserve">model. We then projected these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-dimensional kernel</w:t>
      </w:r>
      <w:r>
        <w:t xml:space="preserve"> </w:t>
      </w:r>
      <w:r>
        <w:t xml:space="preserve">matrices onto one-dimensional scores–a composite genome score</w:t>
      </w:r>
      <w:r>
        <w:t xml:space="preserve"> </w:t>
      </w:r>
      <w:r>
        <w:t xml:space="preserve">(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), a composite transcriptome score (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), and a composite</w:t>
      </w:r>
      <w:r>
        <w:t xml:space="preserve"> </w:t>
      </w:r>
      <w:r>
        <w:t xml:space="preserve">phenome score (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)–and used the univariate theory of mediation to</w:t>
      </w:r>
      <w:r>
        <w:t xml:space="preserve"> </w:t>
      </w:r>
      <w:r>
        <w:t xml:space="preserve">constrain these projections to satisfy the hypotheses of perfect</w:t>
      </w:r>
      <w:r>
        <w:t xml:space="preserve"> </w:t>
      </w:r>
      <w:r>
        <w:t xml:space="preserve">mediation, namely that upon controlling for the transcriptomic score,</w:t>
      </w:r>
      <w:r>
        <w:t xml:space="preserve"> </w:t>
      </w:r>
      <w:r>
        <w:t xml:space="preserve">the genome score is uncorrelated to the phenome score. A complete</w:t>
      </w:r>
      <w:r>
        <w:t xml:space="preserve"> </w:t>
      </w:r>
      <w:r>
        <w:t xml:space="preserve">mathematical derivation and implementation details for HDMA are</w:t>
      </w:r>
      <w:r>
        <w:t xml:space="preserve"> </w:t>
      </w:r>
      <w:r>
        <w:t xml:space="preserve">available in the Methods.</w:t>
      </w:r>
    </w:p>
    <w:p>
      <w:pPr>
        <w:pStyle w:val="BodyText"/>
      </w:pPr>
      <w:r>
        <w:t xml:space="preserve">Using HDMA we identifed the major axis of variation in the transcriptome</w:t>
      </w:r>
      <w:r>
        <w:t xml:space="preserve"> </w:t>
      </w:r>
      <w:r>
        <w:t xml:space="preserve">that was consistent with mediating the effects of the genome on</w:t>
      </w:r>
      <w:r>
        <w:t xml:space="preserve"> </w:t>
      </w:r>
      <w:r>
        <w:t xml:space="preserve">metabolic traits (Figure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). 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A</w:t>
      </w:r>
      <w:r>
        <w:t xml:space="preserve"> </w:t>
      </w:r>
      <w:r>
        <w:t xml:space="preserve">shows the partial correlations (</w:t>
      </w:r>
      <m:oMath>
        <m:r>
          <m:t>ρ</m:t>
        </m:r>
      </m:oMath>
      <w:r>
        <w:t xml:space="preserve">) between the pairs of these</w:t>
      </w:r>
      <w:r>
        <w:t xml:space="preserve"> </w:t>
      </w:r>
      <w:r>
        <w:t xml:space="preserve">composite vectors. The partial correlation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 0.43, and the partial correlation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</w:t>
      </w:r>
      <w:r>
        <w:t xml:space="preserve"> </w:t>
      </w:r>
      <w:r>
        <w:t xml:space="preserve">0.79. However, when the transcriptome was taken into account, the</w:t>
      </w:r>
      <w:r>
        <w:t xml:space="preserve"> </w:t>
      </w:r>
      <w:r>
        <w:t xml:space="preserve">partial correlation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 effectively zero</w:t>
      </w:r>
      <w:r>
        <w:t xml:space="preserve"> </w:t>
      </w:r>
      <w:r>
        <w:t xml:space="preserve">(0.027).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captured 30% of the overall trait variance, and its</w:t>
      </w:r>
      <w:r>
        <w:t xml:space="preserve"> </w:t>
      </w:r>
      <w:r>
        <w:t xml:space="preserve">estimated heritability was 0.71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0.084, which was higher than any</w:t>
      </w:r>
      <w:r>
        <w:t xml:space="preserve"> </w:t>
      </w:r>
      <w:r>
        <w:t xml:space="preserve">of the measured traits (Figure</w:t>
      </w:r>
      <w:r>
        <w:t xml:space="preserve"> </w:t>
      </w:r>
      <w:hyperlink w:anchor="fig:trait_overview">
        <w:r>
          <w:rPr>
            <w:rStyle w:val="Hyperlink"/>
          </w:rPr>
          <w:t xml:space="preserve">1</w:t>
        </w:r>
      </w:hyperlink>
      <w:r>
        <w:t xml:space="preserve">F). Thus, HDMA</w:t>
      </w:r>
      <w:r>
        <w:t xml:space="preserve"> </w:t>
      </w:r>
      <w:r>
        <w:t xml:space="preserve">identified a maximally heritable metabolic composite trait and a highly</w:t>
      </w:r>
      <w:r>
        <w:t xml:space="preserve"> </w:t>
      </w:r>
      <w:r>
        <w:t xml:space="preserve">heritable component of the transcriptome that are correlated as expected</w:t>
      </w:r>
      <w:r>
        <w:t xml:space="preserve"> </w:t>
      </w:r>
      <w:r>
        <w:t xml:space="preserve">in the perfect mediation model.</w:t>
      </w:r>
    </w:p>
    <w:p>
      <w:pPr>
        <w:pStyle w:val="BodyText"/>
      </w:pPr>
      <w:r>
        <w:t xml:space="preserve">As discussed in the Methods, HDMA is related to a generalized form of</w:t>
      </w:r>
      <w:r>
        <w:t xml:space="preserve"> </w:t>
      </w:r>
      <w:r>
        <w:t xml:space="preserve">canonical correlation analysis (CCA). Standard CCA is prone to</w:t>
      </w:r>
      <w:r>
        <w:t xml:space="preserve"> </w:t>
      </w:r>
      <w:r>
        <w:t xml:space="preserve">over-fitting because in any two large matrices it can be trivial to</w:t>
      </w:r>
      <w:r>
        <w:t xml:space="preserve"> </w:t>
      </w:r>
      <w:r>
        <w:t xml:space="preserve">identify highly correlated composite vectors</w:t>
      </w:r>
      <w:r>
        <w:rPr>
          <w:vertAlign w:val="superscript"/>
        </w:rPr>
        <w:t xml:space="preserve">38</w:t>
      </w:r>
      <w:r>
        <w:t xml:space="preserve">. To</w:t>
      </w:r>
      <w:r>
        <w:t xml:space="preserve"> </w:t>
      </w:r>
      <w:r>
        <w:t xml:space="preserve">assess whether our implementation of HDMA was similarly prone to</w:t>
      </w:r>
      <w:r>
        <w:t xml:space="preserve"> </w:t>
      </w:r>
      <w:r>
        <w:t xml:space="preserve">over-fitting in a high-dimensional space, we performed permutation</w:t>
      </w:r>
      <w:r>
        <w:t xml:space="preserve"> </w:t>
      </w:r>
      <w:r>
        <w:t xml:space="preserve">testing. We permuted the individual labels on the transcriptome matrix</w:t>
      </w:r>
      <w:r>
        <w:t xml:space="preserve"> </w:t>
      </w:r>
      <w:r>
        <w:t xml:space="preserve">10,000 times and recalculated the path coefficient, which is the</w:t>
      </w:r>
      <w:r>
        <w:t xml:space="preserve"> </w:t>
      </w:r>
      <w:r>
        <w:t xml:space="preserve">correlation of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multiplied by the correlation of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. This represents the strength of the path from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that is putatively mediated through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. The</w:t>
      </w:r>
      <w:r>
        <w:t xml:space="preserve"> </w:t>
      </w:r>
      <w:r>
        <w:t xml:space="preserve">permutations preserved the correlation between the genome and phenome,</w:t>
      </w:r>
      <w:r>
        <w:t xml:space="preserve"> </w:t>
      </w:r>
      <w:r>
        <w:t xml:space="preserve">but broke the correlations between the genome and the transcriptome, as</w:t>
      </w:r>
      <w:r>
        <w:t xml:space="preserve"> </w:t>
      </w:r>
      <w:r>
        <w:t xml:space="preserve">well as between the transcriptome and the phenome. We could thus test</w:t>
      </w:r>
      <w:r>
        <w:t xml:space="preserve"> </w:t>
      </w:r>
      <w:r>
        <w:t xml:space="preserve">whether, given a random transcriptome, HDMA would overfit and identify</w:t>
      </w:r>
      <w:r>
        <w:t xml:space="preserve"> </w:t>
      </w:r>
      <w:r>
        <w:t xml:space="preserve">apparently mediating transcriptomic signatures in random data. The null</w:t>
      </w:r>
      <w:r>
        <w:t xml:space="preserve"> </w:t>
      </w:r>
      <w:r>
        <w:t xml:space="preserve">distribution of the path coefficient is shown in 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B, and the observed path coefficient from the original</w:t>
      </w:r>
      <w:r>
        <w:t xml:space="preserve"> </w:t>
      </w:r>
      <w:r>
        <w:t xml:space="preserve">data is indicated by a red arrow. The observed path coefficient was well</w:t>
      </w:r>
      <w:r>
        <w:t xml:space="preserve"> </w:t>
      </w:r>
      <w:r>
        <w:t xml:space="preserve">outside the null distribution generated by permutations (empirical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 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C illustrates this</w:t>
      </w:r>
      <w:r>
        <w:t xml:space="preserve"> </w:t>
      </w:r>
      <w:r>
        <w:t xml:space="preserve">observation in more detail. Although we identified high correlations</w:t>
      </w:r>
      <w:r>
        <w:t xml:space="preserve"> </w:t>
      </w:r>
      <w:r>
        <w:t xml:space="preserve">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, and modest correlations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in the null data (Figure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C), these two values</w:t>
      </w:r>
      <w:r>
        <w:t xml:space="preserve"> </w:t>
      </w:r>
      <w:r>
        <w:t xml:space="preserve">could not be maximized simultaneously in the null data. In contrast, the</w:t>
      </w:r>
      <w:r>
        <w:t xml:space="preserve"> </w:t>
      </w:r>
      <w:r>
        <w:t xml:space="preserve">red dot shows that in the real data both the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</w:t>
      </w:r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 could be maximized simultaneously</w:t>
      </w:r>
      <w:r>
        <w:t xml:space="preserve"> </w:t>
      </w:r>
      <w:r>
        <w:t xml:space="preserve">suggesting that the path from genotype to phenotype through the</w:t>
      </w:r>
      <w:r>
        <w:t xml:space="preserve"> </w:t>
      </w:r>
      <w:r>
        <w:t xml:space="preserve">transcriptome is highly non-trivial and is identifiable in this case.</w:t>
      </w:r>
    </w:p>
    <w:p>
      <w:pPr>
        <w:pStyle w:val="BodyText"/>
      </w:pPr>
      <w:r>
        <w:t xml:space="preserve">To test whether the presence of local eQTLs affected the result, we</w:t>
      </w:r>
      <w:r>
        <w:t xml:space="preserve"> </w:t>
      </w:r>
      <w:r>
        <w:t xml:space="preserve">generated two additional transcriptomic kernel matrices. We generated a</w:t>
      </w:r>
      <w:r>
        <w:t xml:space="preserve"> </w:t>
      </w:r>
      <w:r>
        <w:t xml:space="preserve">local-effects only kernel using only locally determined gene expression</w:t>
      </w:r>
      <w:r>
        <w:t xml:space="preserve"> </w:t>
      </w:r>
      <w:r>
        <w:t xml:space="preserve">and a distal-effects only kernel using only distally determined gene</w:t>
      </w:r>
      <w:r>
        <w:t xml:space="preserve"> </w:t>
      </w:r>
      <w:r>
        <w:t xml:space="preserve">expression, i.e. the effects of local haplotype were regressed out. The</w:t>
      </w:r>
      <w:r>
        <w:t xml:space="preserve"> </w:t>
      </w:r>
      <w:r>
        <w:t xml:space="preserve">path coefficient identified using the local kernel was not significantly</w:t>
      </w:r>
      <w:r>
        <w:t xml:space="preserve"> </w:t>
      </w:r>
      <w:r>
        <w:t xml:space="preserve">different from the null (Figure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B), suggesting that</w:t>
      </w:r>
      <w:r>
        <w:t xml:space="preserve"> </w:t>
      </w:r>
      <w:r>
        <w:t xml:space="preserve">locally determined gene expression does not mediate the effects of the</w:t>
      </w:r>
      <w:r>
        <w:t xml:space="preserve"> </w:t>
      </w:r>
      <w:r>
        <w:t xml:space="preserve">genome on the phenome. In contrast, the path coefficient identified</w:t>
      </w:r>
      <w:r>
        <w:t xml:space="preserve"> </w:t>
      </w:r>
      <w:r>
        <w:t xml:space="preserve">using the distal kernel, was highly significant and indistinguishable</w:t>
      </w:r>
      <w:r>
        <w:t xml:space="preserve"> </w:t>
      </w:r>
      <w:r>
        <w:t xml:space="preserve">from that identified using the full transcriptome.</w:t>
      </w:r>
    </w:p>
    <w:p>
      <w:pPr>
        <w:pStyle w:val="BodyText"/>
      </w:pPr>
      <w:r>
        <w:t xml:space="preserve">Further, the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correlations derived</w:t>
      </w:r>
      <w:r>
        <w:t xml:space="preserve"> </w:t>
      </w:r>
      <w:r>
        <w:t xml:space="preserve">from the distal kernal were indistinguishable from those derived from</w:t>
      </w:r>
      <w:r>
        <w:t xml:space="preserve"> </w:t>
      </w:r>
      <w:r>
        <w:t xml:space="preserve">the original transcriptomic kernel. In contrast, the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 derived with the local kernel was high (Pearson correlation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0.92</m:t>
        </m:r>
      </m:oMath>
      <w:r>
        <w:t xml:space="preserve">), reflecting the fact that the local transcriptomic kernel</w:t>
      </w:r>
      <w:r>
        <w:t xml:space="preserve"> </w:t>
      </w:r>
      <w:r>
        <w:t xml:space="preserve">was derived directly from local haplotypes. The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correlation, however, was low (Pearson correlation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0.14</m:t>
        </m:r>
      </m:oMath>
      <w:r>
        <w:t xml:space="preserve">),</w:t>
      </w:r>
      <w:r>
        <w:t xml:space="preserve"> </w:t>
      </w:r>
      <w:r>
        <w:t xml:space="preserve">suggesting that the these locally derived transcripts were not highly</w:t>
      </w:r>
      <w:r>
        <w:t xml:space="preserve"> </w:t>
      </w:r>
      <w:r>
        <w:t xml:space="preserve">related to phenotype. In other words, mice that shared many local eQTL</w:t>
      </w:r>
      <w:r>
        <w:t xml:space="preserve"> </w:t>
      </w:r>
      <w:r>
        <w:t xml:space="preserve">were not highly similar in trait space. Taken together, these results</w:t>
      </w:r>
      <w:r>
        <w:t xml:space="preserve"> </w:t>
      </w:r>
      <w:r>
        <w:t xml:space="preserve">suggest that composite vectors derived from the measured transcriptomic</w:t>
      </w:r>
      <w:r>
        <w:t xml:space="preserve"> </w:t>
      </w:r>
      <w:r>
        <w:t xml:space="preserve">kernel represent genetically determined variation in phenotype that is</w:t>
      </w:r>
      <w:r>
        <w:t xml:space="preserve"> </w:t>
      </w:r>
      <w:r>
        <w:t xml:space="preserve">mediated through genetically determined variation in transcription, and</w:t>
      </w:r>
      <w:r>
        <w:t xml:space="preserve"> </w:t>
      </w:r>
      <w:r>
        <w:t xml:space="preserve">that this genetically deremined variation in transcription is largely</w:t>
      </w:r>
      <w:r>
        <w:t xml:space="preserve"> </w:t>
      </w:r>
      <w:r>
        <w:t xml:space="preserve">driven by distal factors.</w:t>
      </w:r>
    </w:p>
    <w:bookmarkEnd w:id="26"/>
    <w:bookmarkStart w:id="27" w:name="X43ce3dea1ae63becce91d3be784796ba7b34d28"/>
    <w:p>
      <w:pPr>
        <w:pStyle w:val="Heading3"/>
      </w:pPr>
      <w:r>
        <w:t xml:space="preserve">Body weight and insulin resistance were highly</w:t>
      </w:r>
      <w:r>
        <w:t xml:space="preserve"> </w:t>
      </w:r>
      <w:r>
        <w:t xml:space="preserve">represented in the expression-mediated composite</w:t>
      </w:r>
      <w:r>
        <w:t xml:space="preserve"> </w:t>
      </w:r>
      <w:r>
        <w:t xml:space="preserve">trait</w:t>
      </w:r>
    </w:p>
    <w:p>
      <w:pPr>
        <w:pStyle w:val="FirstParagraph"/>
      </w:pPr>
      <w:r>
        <w:t xml:space="preserve">Each composite score is a weighted combination of the measured</w:t>
      </w:r>
      <w:r>
        <w:t xml:space="preserve"> </w:t>
      </w:r>
      <w:r>
        <w:t xml:space="preserve">variables. The magnitude and sign of the weights, called loadings,</w:t>
      </w:r>
      <w:r>
        <w:t xml:space="preserve"> </w:t>
      </w:r>
      <w:r>
        <w:t xml:space="preserve">correspond to the relative importance and directionality of each</w:t>
      </w:r>
      <w:r>
        <w:t xml:space="preserve"> </w:t>
      </w:r>
      <w:r>
        <w:t xml:space="preserve">variable in the composite score. The loadings of each measured trait</w:t>
      </w:r>
      <w:r>
        <w:t xml:space="preserve"> </w:t>
      </w:r>
      <w:r>
        <w:t xml:space="preserve">onto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indicate how much each contributed to the composite</w:t>
      </w:r>
      <w:r>
        <w:t xml:space="preserve"> </w:t>
      </w:r>
      <w:r>
        <w:t xml:space="preserve">phenotype. Body weight (Weight_Final) contributed the most (Figure</w:t>
      </w:r>
      <w:r>
        <w:t xml:space="preserve"> </w:t>
      </w:r>
      <w:hyperlink w:anchor="fig:interpretation">
        <w:r>
          <w:rPr>
            <w:rStyle w:val="Hyperlink"/>
          </w:rPr>
          <w:t xml:space="preserve">4</w:t>
        </w:r>
      </w:hyperlink>
      <w:r>
        <w:t xml:space="preserve">A), followed by homeostatic insulin resistance</w:t>
      </w:r>
      <w:r>
        <w:t xml:space="preserve"> </w:t>
      </w:r>
      <w:r>
        <w:t xml:space="preserve">(HOMA_IR) and fasting plasma insulin levels (Insulin_Fasting). We can</w:t>
      </w:r>
      <w:r>
        <w:t xml:space="preserve"> </w:t>
      </w:r>
      <w:r>
        <w:t xml:space="preserve">thus interpret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as an index of metabolic disease (Figure</w:t>
      </w:r>
      <w:r>
        <w:t xml:space="preserve"> </w:t>
      </w:r>
      <w:hyperlink w:anchor="fig:interpretation">
        <w:r>
          <w:rPr>
            <w:rStyle w:val="Hyperlink"/>
          </w:rPr>
          <w:t xml:space="preserve">4</w:t>
        </w:r>
      </w:hyperlink>
      <w:r>
        <w:t xml:space="preserve">B). Individuals with high values of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had</w:t>
      </w:r>
      <w:r>
        <w:t xml:space="preserve"> </w:t>
      </w:r>
      <w:r>
        <w:t xml:space="preserve">a higher metabolic disease index (MDI) and greater metabolic disease,</w:t>
      </w:r>
      <w:r>
        <w:t xml:space="preserve"> </w:t>
      </w:r>
      <w:r>
        <w:t xml:space="preserve">including higher body weight and higher insulin resistance. We refer 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as MDI going forward. Traits contributing the least to MDI were</w:t>
      </w:r>
      <w:r>
        <w:t xml:space="preserve"> </w:t>
      </w:r>
      <w:r>
        <w:t xml:space="preserve">measures of cholesterol and pancreas composition. Thus, when we</w:t>
      </w:r>
      <w:r>
        <w:t xml:space="preserve"> </w:t>
      </w:r>
      <w:r>
        <w:t xml:space="preserve">interpret the transcriptomic signature identified by HDMA, we are</w:t>
      </w:r>
      <w:r>
        <w:t xml:space="preserve"> </w:t>
      </w:r>
      <w:r>
        <w:t xml:space="preserve">explaining primarily the putative transcriptional mediation of body</w:t>
      </w:r>
      <w:r>
        <w:t xml:space="preserve"> </w:t>
      </w:r>
      <w:r>
        <w:t xml:space="preserve">weight and insulin resistance, as opposed to cholesterol measurements.</w:t>
      </w:r>
    </w:p>
    <w:bookmarkEnd w:id="27"/>
    <w:bookmarkStart w:id="28" w:name="X45849de394c5973816b149f54a595aedc563867"/>
    <w:p>
      <w:pPr>
        <w:pStyle w:val="Heading3"/>
      </w:pPr>
      <w:r>
        <w:t xml:space="preserve">High-loading transcripts had low local heritability, high</w:t>
      </w:r>
      <w:r>
        <w:t xml:space="preserve"> </w:t>
      </w:r>
      <w:r>
        <w:t xml:space="preserve">distal heritability, and were linked mechanistically to</w:t>
      </w:r>
      <w:r>
        <w:t xml:space="preserve"> </w:t>
      </w:r>
      <w:r>
        <w:t xml:space="preserve">obesity</w:t>
      </w:r>
    </w:p>
    <w:p>
      <w:pPr>
        <w:pStyle w:val="FirstParagraph"/>
      </w:pPr>
      <w:r>
        <w:t xml:space="preserve">We interpreted large loadings onto transcripts as indicating strong</w:t>
      </w:r>
      <w:r>
        <w:t xml:space="preserve"> </w:t>
      </w:r>
      <w:r>
        <w:t xml:space="preserve">mediation of the effect of genetics on MDI. Large positive loadings</w:t>
      </w:r>
      <w:r>
        <w:t xml:space="preserve"> </w:t>
      </w:r>
      <w:r>
        <w:t xml:space="preserve">indicate that higher expression was associated with a higher MDI</w:t>
      </w:r>
      <w:r>
        <w:t xml:space="preserve"> </w:t>
      </w:r>
      <w:r>
        <w:t xml:space="preserve">(i.e. higher risk of obesity and metabolic disease on the HFHS diet)</w:t>
      </w:r>
      <w:r>
        <w:t xml:space="preserve"> </w:t>
      </w:r>
      <w:r>
        <w:t xml:space="preserve">(Figure</w:t>
      </w:r>
      <w:r>
        <w:t xml:space="preserve"> </w:t>
      </w:r>
      <w:hyperlink w:anchor="fig:interpretation">
        <w:r>
          <w:rPr>
            <w:rStyle w:val="Hyperlink"/>
          </w:rPr>
          <w:t xml:space="preserve">4</w:t>
        </w:r>
      </w:hyperlink>
      <w:r>
        <w:t xml:space="preserve">C-E). Conversely, large negative</w:t>
      </w:r>
      <w:r>
        <w:t xml:space="preserve"> </w:t>
      </w:r>
      <w:r>
        <w:t xml:space="preserve">loadings indicate that high expression of these transcripts was</w:t>
      </w:r>
      <w:r>
        <w:t xml:space="preserve"> </w:t>
      </w:r>
      <w:r>
        <w:t xml:space="preserve">associated with a lower MDI (i.e. lower risk of obesity and metabolic</w:t>
      </w:r>
      <w:r>
        <w:t xml:space="preserve"> </w:t>
      </w:r>
      <w:r>
        <w:t xml:space="preserve">disease on the HFHS diet) (Figure</w:t>
      </w:r>
      <w:r>
        <w:t xml:space="preserve"> </w:t>
      </w:r>
      <w:hyperlink w:anchor="fig:interpretation">
        <w:r>
          <w:rPr>
            <w:rStyle w:val="Hyperlink"/>
          </w:rPr>
          <w:t xml:space="preserve">4</w:t>
        </w:r>
      </w:hyperlink>
      <w:r>
        <w:t xml:space="preserve">C-E). Figure</w:t>
      </w:r>
      <w:r>
        <w:t xml:space="preserve"> </w:t>
      </w:r>
      <w:hyperlink w:anchor="fig:interpretation">
        <w:r>
          <w:rPr>
            <w:rStyle w:val="Hyperlink"/>
          </w:rPr>
          <w:t xml:space="preserve">4</w:t>
        </w:r>
      </w:hyperlink>
      <w:r>
        <w:t xml:space="preserve">D compares the observed transcript loading</w:t>
      </w:r>
      <w:r>
        <w:t xml:space="preserve"> </w:t>
      </w:r>
      <w:r>
        <w:t xml:space="preserve">distributions to null distributions and indicates how many transcripts</w:t>
      </w:r>
      <w:r>
        <w:t xml:space="preserve"> </w:t>
      </w:r>
      <w:r>
        <w:t xml:space="preserve">in each tissue had large positive and negative loadings. A direct</w:t>
      </w:r>
      <w:r>
        <w:t xml:space="preserve"> </w:t>
      </w:r>
      <w:r>
        <w:t xml:space="preserve">comparison of the tissues can be seen in Supplementary Figure</w:t>
      </w:r>
      <w:r>
        <w:t xml:space="preserve"> </w:t>
      </w:r>
      <w:hyperlink w:anchor="fig:transcript_loading_comparison">
        <w:r>
          <w:rPr>
            <w:rStyle w:val="Hyperlink"/>
          </w:rPr>
          <w:t xml:space="preserve">[fig:transcript_loading_comparison]</w:t>
        </w:r>
      </w:hyperlink>
      <w:r>
        <w:t xml:space="preserve">. We used gene set enrichment</w:t>
      </w:r>
      <w:r>
        <w:t xml:space="preserve"> </w:t>
      </w:r>
      <w:r>
        <w:t xml:space="preserve">analysis (GSEA)</w:t>
      </w:r>
      <w:r>
        <w:rPr>
          <w:vertAlign w:val="superscript"/>
        </w:rPr>
        <w:t xml:space="preserve">39,40</w:t>
      </w:r>
      <w:r>
        <w:t xml:space="preserve"> </w:t>
      </w:r>
      <w:r>
        <w:t xml:space="preserve">to look for biological processes and pathways that were</w:t>
      </w:r>
      <w:r>
        <w:t xml:space="preserve"> </w:t>
      </w:r>
      <w:r>
        <w:t xml:space="preserve">enriched at the top and bottom of this list (Methods).</w:t>
      </w:r>
    </w:p>
    <w:p>
      <w:pPr>
        <w:pStyle w:val="BodyText"/>
      </w:pPr>
      <w:r>
        <w:t xml:space="preserve">In adipose tissue, both GO processes and KEGG pathway enrichments</w:t>
      </w:r>
      <w:r>
        <w:t xml:space="preserve"> </w:t>
      </w:r>
      <w:r>
        <w:t xml:space="preserve">pointed to an axis of inflammation and metabolism (Supplementary Figures</w:t>
      </w:r>
      <w:r>
        <w:t xml:space="preserve"> </w:t>
      </w:r>
      <w:hyperlink w:anchor="fig:top_enrich_go">
        <w:r>
          <w:rPr>
            <w:rStyle w:val="Hyperlink"/>
          </w:rPr>
          <w:t xml:space="preserve">[fig:top_enrich_go]</w:t>
        </w:r>
      </w:hyperlink>
      <w:r>
        <w:t xml:space="preserve"> </w:t>
      </w:r>
      <w:r>
        <w:t xml:space="preserve">and</w:t>
      </w:r>
      <w:r>
        <w:t xml:space="preserve"> </w:t>
      </w:r>
      <w:hyperlink w:anchor="fig:top_enrich_kegg">
        <w:r>
          <w:rPr>
            <w:rStyle w:val="Hyperlink"/>
          </w:rPr>
          <w:t xml:space="preserve">[fig:top_enrich_kegg]</w:t>
        </w:r>
      </w:hyperlink>
      <w:r>
        <w:t xml:space="preserve">). GO terms and</w:t>
      </w:r>
      <w:r>
        <w:t xml:space="preserve"> </w:t>
      </w:r>
      <w:r>
        <w:t xml:space="preserve">KEGG pathways associated with inflammation were positively associated</w:t>
      </w:r>
      <w:r>
        <w:t xml:space="preserve"> </w:t>
      </w:r>
      <w:r>
        <w:t xml:space="preserve">with MDI, indicating that increased expression in inflammatory pathways</w:t>
      </w:r>
      <w:r>
        <w:t xml:space="preserve"> </w:t>
      </w:r>
      <w:r>
        <w:t xml:space="preserve">was associated with a higher burden of disease. It is well established</w:t>
      </w:r>
      <w:r>
        <w:t xml:space="preserve"> </w:t>
      </w:r>
      <w:r>
        <w:t xml:space="preserve">that adipose tissue in obese individuals is inflamed and infiltrated by</w:t>
      </w:r>
      <w:r>
        <w:t xml:space="preserve"> </w:t>
      </w:r>
      <w:r>
        <w:t xml:space="preserve">macrophages</w:t>
      </w:r>
      <w:r>
        <w:rPr>
          <w:vertAlign w:val="superscript"/>
        </w:rPr>
        <w:t xml:space="preserve">41–45</w:t>
      </w:r>
      <w:r>
        <w:t xml:space="preserve">, and the results</w:t>
      </w:r>
      <w:r>
        <w:t xml:space="preserve"> </w:t>
      </w:r>
      <w:r>
        <w:t xml:space="preserve">here suggest that this may be a dominant heritable component of</w:t>
      </w:r>
      <w:r>
        <w:t xml:space="preserve"> </w:t>
      </w:r>
      <w:r>
        <w:t xml:space="preserve">metabolic disease.</w:t>
      </w:r>
    </w:p>
    <w:p>
      <w:pPr>
        <w:pStyle w:val="BodyText"/>
      </w:pPr>
      <w:r>
        <w:t xml:space="preserve">The strongest negative enrichments in adipose tissue were related to</w:t>
      </w:r>
      <w:r>
        <w:t xml:space="preserve"> </w:t>
      </w:r>
      <w:r>
        <w:t xml:space="preserve">mitochondial activity in general, and thermogenesis in particular</w:t>
      </w:r>
      <w:r>
        <w:t xml:space="preserve"> </w:t>
      </w:r>
      <w:r>
        <w:t xml:space="preserve">(Supplementary Figures</w:t>
      </w:r>
      <w:r>
        <w:t xml:space="preserve"> </w:t>
      </w:r>
      <w:hyperlink w:anchor="fig:top_enrich_go">
        <w:r>
          <w:rPr>
            <w:rStyle w:val="Hyperlink"/>
          </w:rPr>
          <w:t xml:space="preserve">[fig:top_enrich_go]</w:t>
        </w:r>
      </w:hyperlink>
      <w:r>
        <w:t xml:space="preserve"> </w:t>
      </w:r>
      <w:r>
        <w:t xml:space="preserve">and</w:t>
      </w:r>
      <w:r>
        <w:t xml:space="preserve"> </w:t>
      </w:r>
      <w:hyperlink w:anchor="fig:top_enrich_kegg">
        <w:r>
          <w:rPr>
            <w:rStyle w:val="Hyperlink"/>
          </w:rPr>
          <w:t xml:space="preserve">[fig:top_enrich_kegg]</w:t>
        </w:r>
      </w:hyperlink>
      <w:r>
        <w:t xml:space="preserve">). Genes in the KEGG oxidative phosphorylation</w:t>
      </w:r>
      <w:r>
        <w:t xml:space="preserve"> </w:t>
      </w:r>
      <w:r>
        <w:t xml:space="preserve">pathway were almost universally negatively loaded in adipose tissue,</w:t>
      </w:r>
      <w:r>
        <w:t xml:space="preserve"> </w:t>
      </w:r>
      <w:r>
        <w:t xml:space="preserve">suggesting that increased expression of these genes was associated with</w:t>
      </w:r>
      <w:r>
        <w:t xml:space="preserve"> </w:t>
      </w:r>
      <w:r>
        <w:t xml:space="preserve">reduced MDI (Supplementary Figure</w:t>
      </w:r>
      <w:r>
        <w:t xml:space="preserve"> </w:t>
      </w:r>
      <w:hyperlink w:anchor="fig:oxPhos">
        <w:r>
          <w:rPr>
            <w:rStyle w:val="Hyperlink"/>
          </w:rPr>
          <w:t xml:space="preserve">[fig:oxPhos]</w:t>
        </w:r>
      </w:hyperlink>
      <w:r>
        <w:t xml:space="preserve">). Consistent with</w:t>
      </w:r>
      <w:r>
        <w:t xml:space="preserve"> </w:t>
      </w:r>
      <w:r>
        <w:t xml:space="preserve">this observation, it has been shown previously that mouse strains with</w:t>
      </w:r>
      <w:r>
        <w:t xml:space="preserve"> </w:t>
      </w:r>
      <w:r>
        <w:t xml:space="preserve">greater thermogenic potential are also less susceptible to obesity on an</w:t>
      </w:r>
      <w:r>
        <w:t xml:space="preserve"> </w:t>
      </w:r>
      <w:r>
        <w:t xml:space="preserve">obesigenic diet</w:t>
      </w:r>
      <w:r>
        <w:rPr>
          <w:vertAlign w:val="superscript"/>
        </w:rPr>
        <w:t xml:space="preserve">46</w:t>
      </w:r>
      <w:r>
        <w:t xml:space="preserve">.</w:t>
      </w:r>
    </w:p>
    <w:p>
      <w:pPr>
        <w:pStyle w:val="BodyText"/>
      </w:pPr>
      <w:r>
        <w:t xml:space="preserve">Transcripts associated with the citric acid cycle as well as the</w:t>
      </w:r>
      <w:r>
        <w:t xml:space="preserve"> </w:t>
      </w:r>
      <w:r>
        <w:t xml:space="preserve">catabolism of the branched-chain amino acids (valine, leuceine, and</w:t>
      </w:r>
      <w:r>
        <w:t xml:space="preserve"> </w:t>
      </w:r>
      <w:r>
        <w:t xml:space="preserve">isoleucine) were strongly enriched with negative loadings in adipose</w:t>
      </w:r>
      <w:r>
        <w:t xml:space="preserve"> </w:t>
      </w:r>
      <w:r>
        <w:t xml:space="preserve">tissue (Supplementary Figures</w:t>
      </w:r>
      <w:r>
        <w:t xml:space="preserve"> </w:t>
      </w:r>
      <w:hyperlink w:anchor="fig:top_enrich_kegg">
        <w:r>
          <w:rPr>
            <w:rStyle w:val="Hyperlink"/>
          </w:rPr>
          <w:t xml:space="preserve">[fig:top_enrich_kegg]</w:t>
        </w:r>
      </w:hyperlink>
      <w:r>
        <w:t xml:space="preserve">,</w:t>
      </w:r>
      <w:r>
        <w:t xml:space="preserve"> </w:t>
      </w:r>
      <w:hyperlink w:anchor="fig:TCA_cycle">
        <w:r>
          <w:rPr>
            <w:rStyle w:val="Hyperlink"/>
          </w:rPr>
          <w:t xml:space="preserve">[fig:TCA_cycle]</w:t>
        </w:r>
      </w:hyperlink>
      <w:r>
        <w:t xml:space="preserve"> </w:t>
      </w:r>
      <w:r>
        <w:t xml:space="preserve">and</w:t>
      </w:r>
      <w:r>
        <w:t xml:space="preserve"> </w:t>
      </w:r>
      <w:hyperlink w:anchor="fig:bcaa_degradation">
        <w:r>
          <w:rPr>
            <w:rStyle w:val="Hyperlink"/>
          </w:rPr>
          <w:t xml:space="preserve">[fig:bcaa_degradation]</w:t>
        </w:r>
      </w:hyperlink>
      <w:r>
        <w:t xml:space="preserve">). Expression of genes</w:t>
      </w:r>
      <w:r>
        <w:t xml:space="preserve"> </w:t>
      </w:r>
      <w:r>
        <w:t xml:space="preserve">in both pathways (for which there is some overlap) has been previously</w:t>
      </w:r>
      <w:r>
        <w:t xml:space="preserve"> </w:t>
      </w:r>
      <w:r>
        <w:t xml:space="preserve">associated with insulin sensitivity</w:t>
      </w:r>
      <w:r>
        <w:rPr>
          <w:vertAlign w:val="superscript"/>
        </w:rPr>
        <w:t xml:space="preserve">12,47,48</w:t>
      </w:r>
      <w:r>
        <w:t xml:space="preserve">, suggesting that heritable variation in</w:t>
      </w:r>
      <w:r>
        <w:t xml:space="preserve"> </w:t>
      </w:r>
      <w:r>
        <w:t xml:space="preserve">regulation of these pathways may influence risk of insulin resistance.</w:t>
      </w:r>
    </w:p>
    <w:p>
      <w:pPr>
        <w:pStyle w:val="BodyText"/>
      </w:pPr>
      <w:r>
        <w:t xml:space="preserve">Looking at the 10 most positively and negatively loaded transcripts from</w:t>
      </w:r>
      <w:r>
        <w:t xml:space="preserve"> </w:t>
      </w:r>
      <w:r>
        <w:t xml:space="preserve">each tissue, it is apparent that transcripts in the adipose tissue had</w:t>
      </w:r>
      <w:r>
        <w:t xml:space="preserve"> </w:t>
      </w:r>
      <w:r>
        <w:t xml:space="preserve">the largest loadings, both positive and negative (Figure</w:t>
      </w:r>
      <w:r>
        <w:t xml:space="preserve"> </w:t>
      </w:r>
      <w:hyperlink w:anchor="fig:loading_heritability">
        <w:r>
          <w:rPr>
            <w:rStyle w:val="Hyperlink"/>
          </w:rPr>
          <w:t xml:space="preserve">5</w:t>
        </w:r>
      </w:hyperlink>
      <w:r>
        <w:t xml:space="preserve">A bar plot). This suggests that much of</w:t>
      </w:r>
      <w:r>
        <w:t xml:space="preserve"> </w:t>
      </w:r>
      <w:r>
        <w:t xml:space="preserve">the effect of genetics on body weight and insulin reisistance is</w:t>
      </w:r>
      <w:r>
        <w:t xml:space="preserve"> </w:t>
      </w:r>
      <w:r>
        <w:t xml:space="preserve">mediated through gene expression in adipose tissue. This finding does</w:t>
      </w:r>
      <w:r>
        <w:t xml:space="preserve"> </w:t>
      </w:r>
      <w:r>
        <w:t xml:space="preserve">not speak to the relative importance of tissues not included in this</w:t>
      </w:r>
      <w:r>
        <w:t xml:space="preserve"> </w:t>
      </w:r>
      <w:r>
        <w:t xml:space="preserve">study, such as brain, in which transcriptional variation may mediate a</w:t>
      </w:r>
      <w:r>
        <w:t xml:space="preserve"> </w:t>
      </w:r>
      <w:r>
        <w:t xml:space="preserve">large portion of the genetic effect on obesity</w:t>
      </w:r>
      <w:r>
        <w:rPr>
          <w:vertAlign w:val="superscript"/>
        </w:rPr>
        <w:t xml:space="preserve">49</w:t>
      </w:r>
      <w:r>
        <w:t xml:space="preserve">. The</w:t>
      </w:r>
      <w:r>
        <w:t xml:space="preserve"> </w:t>
      </w:r>
      <w:r>
        <w:t xml:space="preserve">strongest loadings in liver and pancreas were comparable, and those in</w:t>
      </w:r>
      <w:r>
        <w:t xml:space="preserve"> </w:t>
      </w:r>
      <w:r>
        <w:t xml:space="preserve">skeletal muscle were the weakest (Figure</w:t>
      </w:r>
      <w:r>
        <w:t xml:space="preserve"> </w:t>
      </w:r>
      <w:hyperlink w:anchor="fig:loading_heritability">
        <w:r>
          <w:rPr>
            <w:rStyle w:val="Hyperlink"/>
          </w:rPr>
          <w:t xml:space="preserve">5</w:t>
        </w:r>
      </w:hyperlink>
      <w:r>
        <w:t xml:space="preserve">A), suggesting that less of the genetic</w:t>
      </w:r>
      <w:r>
        <w:t xml:space="preserve"> </w:t>
      </w:r>
      <w:r>
        <w:t xml:space="preserve">effects were mediated through transcription in skeletal muscle.</w:t>
      </w:r>
      <w:r>
        <w:t xml:space="preserve"> </w:t>
      </w:r>
      <w:r>
        <w:t xml:space="preserve">Heritability analysis showed that transcripts with the largest loadings</w:t>
      </w:r>
      <w:r>
        <w:t xml:space="preserve"> </w:t>
      </w:r>
      <w:r>
        <w:t xml:space="preserve">had higher distal heritability (\31.8%) than local</w:t>
      </w:r>
      <w:r>
        <w:t xml:space="preserve"> </w:t>
      </w:r>
      <w:r>
        <w:t xml:space="preserve">heritability (5%) (Figure</w:t>
      </w:r>
      <w:r>
        <w:t xml:space="preserve"> </w:t>
      </w:r>
      <w:hyperlink w:anchor="fig:loading_heritability">
        <w:r>
          <w:rPr>
            <w:rStyle w:val="Hyperlink"/>
          </w:rPr>
          <w:t xml:space="preserve">5</w:t>
        </w:r>
      </w:hyperlink>
      <w:r>
        <w:t xml:space="preserve">A) (two-sided</w:t>
      </w:r>
      <w:r>
        <w:t xml:space="preserve"> </w:t>
      </w:r>
      <w:r>
        <w:t xml:space="preserve">Welch’s t-test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16.4</m:t>
        </m:r>
      </m:oMath>
      <w:r>
        <w:t xml:space="preserve">; df = 100.2; difference 95% CI = 0.24 to</w:t>
      </w:r>
      <w:r>
        <w:t xml:space="preserve"> </w:t>
      </w:r>
      <w:r>
        <w:t xml:space="preserve">0.30;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 We also performed TWAS in this population by</w:t>
      </w:r>
      <w:r>
        <w:t xml:space="preserve"> </w:t>
      </w:r>
      <w:r>
        <w:t xml:space="preserve">imputing transcript levels for each gene based on local genotype only</w:t>
      </w:r>
      <w:r>
        <w:t xml:space="preserve"> </w:t>
      </w:r>
      <w:r>
        <w:t xml:space="preserve">and correlating the imputed transcript levels with each trait. In</w:t>
      </w:r>
      <w:r>
        <w:t xml:space="preserve"> </w:t>
      </w:r>
      <w:r>
        <w:t xml:space="preserve">contrast to HDMA, the TWAS procedure (Figure</w:t>
      </w:r>
      <w:r>
        <w:t xml:space="preserve"> </w:t>
      </w:r>
      <w:hyperlink w:anchor="fig:loading_heritability">
        <w:r>
          <w:rPr>
            <w:rStyle w:val="Hyperlink"/>
          </w:rPr>
          <w:t xml:space="preserve">5</w:t>
        </w:r>
      </w:hyperlink>
      <w:r>
        <w:t xml:space="preserve">B) tended to nominate transcripts with</w:t>
      </w:r>
      <w:r>
        <w:t xml:space="preserve"> </w:t>
      </w:r>
      <w:r>
        <w:t xml:space="preserve">lower loadings, higher local heritability (15%), and lower distal</w:t>
      </w:r>
      <w:r>
        <w:t xml:space="preserve"> </w:t>
      </w:r>
      <w:r>
        <w:t xml:space="preserve">heritability (20%) (two-sided Welch’s t-test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1.9</m:t>
        </m:r>
      </m:oMath>
      <w:r>
        <w:t xml:space="preserve">; df = 151.7;</w:t>
      </w:r>
      <w:r>
        <w:t xml:space="preserve"> </w:t>
      </w:r>
      <w:r>
        <w:t xml:space="preserve">difference 95% CI = -0.002 to 0.1;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0.77</m:t>
        </m:r>
      </m:oMath>
      <w:r>
        <w:t xml:space="preserve">). Finally, we focused</w:t>
      </w:r>
      <w:r>
        <w:t xml:space="preserve"> </w:t>
      </w:r>
      <w:r>
        <w:t xml:space="preserve">on transcripts with the highest local heritability in each tissue</w:t>
      </w:r>
      <w:r>
        <w:t xml:space="preserve"> </w:t>
      </w:r>
      <w:r>
        <w:t xml:space="preserve">(Figure</w:t>
      </w:r>
      <w:r>
        <w:t xml:space="preserve"> </w:t>
      </w:r>
      <w:hyperlink w:anchor="fig:loading_heritability">
        <w:r>
          <w:rPr>
            <w:rStyle w:val="Hyperlink"/>
          </w:rPr>
          <w:t xml:space="preserve">5</w:t>
        </w:r>
      </w:hyperlink>
      <w:r>
        <w:t xml:space="preserve">C). This procedure selected</w:t>
      </w:r>
      <w:r>
        <w:t xml:space="preserve"> </w:t>
      </w:r>
      <w:r>
        <w:t xml:space="preserve">transcripts with low loadings on average, consistent with our findings</w:t>
      </w:r>
      <w:r>
        <w:t xml:space="preserve"> </w:t>
      </w:r>
      <w:r>
        <w:t xml:space="preserve">above that high local heritability was associated with low trait</w:t>
      </w:r>
      <w:r>
        <w:t xml:space="preserve"> </w:t>
      </w:r>
      <w:r>
        <w:t xml:space="preserve">correlations (Figure</w:t>
      </w:r>
      <w:r>
        <w:t xml:space="preserve"> </w:t>
      </w:r>
      <w:hyperlink w:anchor="fig:motivation">
        <w:r>
          <w:rPr>
            <w:rStyle w:val="Hyperlink"/>
          </w:rPr>
          <w:t xml:space="preserve">2</w:t>
        </w:r>
      </w:hyperlink>
      <w:r>
        <w:t xml:space="preserve">B).</w:t>
      </w:r>
    </w:p>
    <w:p>
      <w:pPr>
        <w:pStyle w:val="BodyText"/>
      </w:pPr>
      <w:r>
        <w:t xml:space="preserve">We performed a literature search for the genes in each of these groups</w:t>
      </w:r>
      <w:r>
        <w:t xml:space="preserve"> </w:t>
      </w:r>
      <w:r>
        <w:t xml:space="preserve">along with the terms diabetes, obesity, and the name of the expressing</w:t>
      </w:r>
      <w:r>
        <w:t xml:space="preserve"> </w:t>
      </w:r>
      <w:r>
        <w:t xml:space="preserve">tissue to determine whether any of these genes had previous</w:t>
      </w:r>
      <w:r>
        <w:t xml:space="preserve"> </w:t>
      </w:r>
      <w:r>
        <w:t xml:space="preserve">tissue-specific associations with metabolic disease in the literature</w:t>
      </w:r>
      <w:r>
        <w:t xml:space="preserve"> </w:t>
      </w:r>
      <w:r>
        <w:t xml:space="preserve">(Methods). Multiple genes in each group had been previously associated</w:t>
      </w:r>
      <w:r>
        <w:t xml:space="preserve"> </w:t>
      </w:r>
      <w:r>
        <w:t xml:space="preserve">with obesity and diabetes in the represented tissue (Figure</w:t>
      </w:r>
      <w:r>
        <w:t xml:space="preserve"> </w:t>
      </w:r>
      <w:hyperlink w:anchor="fig:loading_heritability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bolded gene names). Genes with high</w:t>
      </w:r>
      <w:r>
        <w:t xml:space="preserve"> </w:t>
      </w:r>
      <w:r>
        <w:t xml:space="preserve">loadings were most highly enriched for previous literature support. They</w:t>
      </w:r>
      <w:r>
        <w:t xml:space="preserve"> </w:t>
      </w:r>
      <w:r>
        <w:t xml:space="preserve">were 2.2 times more likely than TWAS hits and 4 times more likely than</w:t>
      </w:r>
      <w:r>
        <w:t xml:space="preserve"> </w:t>
      </w:r>
      <w:r>
        <w:t xml:space="preserve">genes with high local heritability to be previously associated with</w:t>
      </w:r>
      <w:r>
        <w:t xml:space="preserve"> </w:t>
      </w:r>
      <w:r>
        <w:t xml:space="preserve">obesity or diabetes.</w:t>
      </w:r>
    </w:p>
    <w:bookmarkEnd w:id="28"/>
    <w:bookmarkStart w:id="29" w:name="X9fee017ede6f2a32aa3441bc60171a7666383d2"/>
    <w:p>
      <w:pPr>
        <w:pStyle w:val="Heading3"/>
      </w:pPr>
      <w:r>
        <w:t xml:space="preserve">Tissue-specific transcriptional programs were associated</w:t>
      </w:r>
      <w:r>
        <w:t xml:space="preserve"> </w:t>
      </w:r>
      <w:r>
        <w:t xml:space="preserve">with metabolic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Clustering of transcripts with top loadings in each tissue showed</w:t>
      </w:r>
      <w:r>
        <w:t xml:space="preserve"> </w:t>
      </w:r>
      <w:r>
        <w:t xml:space="preserve">tissue-specific functional modules associated with obesity and insulin</w:t>
      </w:r>
      <w:r>
        <w:t xml:space="preserve"> </w:t>
      </w:r>
      <w:r>
        <w:t xml:space="preserve">resistance (Figure</w:t>
      </w:r>
      <w:r>
        <w:t xml:space="preserve"> </w:t>
      </w:r>
      <w:hyperlink w:anchor="fig:toa">
        <w:r>
          <w:rPr>
            <w:rStyle w:val="Hyperlink"/>
          </w:rPr>
          <w:t xml:space="preserve">6</w:t>
        </w:r>
      </w:hyperlink>
      <w:r>
        <w:t xml:space="preserve">A) (Methods). The clustering highlights</w:t>
      </w:r>
      <w:r>
        <w:t xml:space="preserve"> </w:t>
      </w:r>
      <w:r>
        <w:t xml:space="preserve">the importance of immune activation, particularly in adipose tissue. The</w:t>
      </w:r>
      <w:r>
        <w:t xml:space="preserve"> </w:t>
      </w:r>
      <w:r>
        <w:t xml:space="preserve">mitosis cluster had large positive loadings in three of the four tissues</w:t>
      </w:r>
      <w:r>
        <w:t xml:space="preserve"> </w:t>
      </w:r>
      <w:r>
        <w:t xml:space="preserve">potentially suggesting system-wide proliferation of immune cells.</w:t>
      </w:r>
      <w:r>
        <w:t xml:space="preserve"> </w:t>
      </w:r>
      <w:r>
        <w:t xml:space="preserve">Otherwise, all clusters were strongly loaded in only one or two tissues.</w:t>
      </w:r>
      <w:r>
        <w:t xml:space="preserve"> </w:t>
      </w:r>
      <w:r>
        <w:t xml:space="preserve">For example, the lipid metabolism cluster was loaded most heavily in</w:t>
      </w:r>
      <w:r>
        <w:t xml:space="preserve"> </w:t>
      </w:r>
      <w:r>
        <w:t xml:space="preserve">liver. The positive loadings suggest that high expression of these</w:t>
      </w:r>
      <w:r>
        <w:t xml:space="preserve"> </w:t>
      </w:r>
      <w:r>
        <w:t xml:space="preserve">genes, particularly in the liver, was associated with increased</w:t>
      </w:r>
      <w:r>
        <w:t xml:space="preserve"> </w:t>
      </w:r>
      <w:r>
        <w:t xml:space="preserve">metabolic disease. This cluster included the gene</w:t>
      </w:r>
      <w:r>
        <w:t xml:space="preserve"> </w:t>
      </w:r>
      <w:r>
        <w:rPr>
          <w:iCs/>
          <w:i/>
        </w:rPr>
        <w:t xml:space="preserve">Pparg</w:t>
      </w:r>
      <w:r>
        <w:t xml:space="preserve">, whose</w:t>
      </w:r>
      <w:r>
        <w:t xml:space="preserve"> </w:t>
      </w:r>
      <w:r>
        <w:t xml:space="preserve">primary role is in the adipose tissue where it is considered a master</w:t>
      </w:r>
      <w:r>
        <w:t xml:space="preserve"> </w:t>
      </w:r>
      <w:r>
        <w:t xml:space="preserve">regulator of adipogenesis</w:t>
      </w:r>
      <w:r>
        <w:rPr>
          <w:vertAlign w:val="superscript"/>
        </w:rPr>
        <w:t xml:space="preserve">50</w:t>
      </w:r>
      <w:r>
        <w:t xml:space="preserve">. Agonists of</w:t>
      </w:r>
      <w:r>
        <w:t xml:space="preserve"> </w:t>
      </w:r>
      <w:r>
        <w:rPr>
          <w:iCs/>
          <w:i/>
        </w:rPr>
        <w:t xml:space="preserve">Pparg</w:t>
      </w:r>
      <w:r>
        <w:t xml:space="preserve">, such as thiazolidinediones, are FDA-approved to treat</w:t>
      </w:r>
      <w:r>
        <w:t xml:space="preserve"> </w:t>
      </w:r>
      <w:r>
        <w:t xml:space="preserve">type II diabetes, and reduce inflammation and adipose hyptertrophy</w:t>
      </w:r>
      <w:r>
        <w:rPr>
          <w:vertAlign w:val="superscript"/>
        </w:rPr>
        <w:t xml:space="preserve">50</w:t>
      </w:r>
      <w:r>
        <w:t xml:space="preserve">. Consistent with this role, the loading for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in adipose tissue was negative, suggesting that higher</w:t>
      </w:r>
      <w:r>
        <w:t xml:space="preserve"> </w:t>
      </w:r>
      <w:r>
        <w:t xml:space="preserve">expression was associated with leaner mice (Figure</w:t>
      </w:r>
      <w:r>
        <w:t xml:space="preserve"> </w:t>
      </w:r>
      <w:hyperlink w:anchor="fig:toa">
        <w:r>
          <w:rPr>
            <w:rStyle w:val="Hyperlink"/>
          </w:rPr>
          <w:t xml:space="preserve">6</w:t>
        </w:r>
      </w:hyperlink>
      <w:r>
        <w:t xml:space="preserve">B). In</w:t>
      </w:r>
      <w:r>
        <w:t xml:space="preserve"> </w:t>
      </w:r>
      <w:r>
        <w:t xml:space="preserve">contrast,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had a large positive loading in liver ((Figure</w:t>
      </w:r>
      <w:r>
        <w:t xml:space="preserve"> </w:t>
      </w:r>
      <w:hyperlink w:anchor="fig:toa">
        <w:r>
          <w:rPr>
            <w:rStyle w:val="Hyperlink"/>
          </w:rPr>
          <w:t xml:space="preserve">6</w:t>
        </w:r>
      </w:hyperlink>
      <w:r>
        <w:t xml:space="preserve">B)), where it is known to play a role in the development of</w:t>
      </w:r>
      <w:r>
        <w:t xml:space="preserve"> </w:t>
      </w:r>
      <w:r>
        <w:t xml:space="preserve">hepatic steatosis, or fatty liver. Mice that lack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specifically in the liver, are protected from developing steatosis and</w:t>
      </w:r>
      <w:r>
        <w:t xml:space="preserve"> </w:t>
      </w:r>
      <w:r>
        <w:t xml:space="preserve">show reduced expression of lipogenic genes</w:t>
      </w:r>
      <w:r>
        <w:rPr>
          <w:vertAlign w:val="superscript"/>
        </w:rPr>
        <w:t xml:space="preserve">51,52</w:t>
      </w:r>
      <w:r>
        <w:t xml:space="preserve">. Overexpression of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in</w:t>
      </w:r>
      <w:r>
        <w:t xml:space="preserve"> </w:t>
      </w:r>
      <w:r>
        <w:t xml:space="preserve">the livers of mice with a</w:t>
      </w:r>
      <w:r>
        <w:t xml:space="preserve"> </w:t>
      </w:r>
      <w:r>
        <w:rPr>
          <w:iCs/>
          <w:i/>
        </w:rPr>
        <w:t xml:space="preserve">Ppara</w:t>
      </w:r>
      <w:r>
        <w:t xml:space="preserve"> </w:t>
      </w:r>
      <w:r>
        <w:t xml:space="preserve">knockout, causes upregulation</w:t>
      </w:r>
      <w:r>
        <w:t xml:space="preserve"> </w:t>
      </w:r>
      <w:r>
        <w:t xml:space="preserve">of genes involved in adipogenesis</w:t>
      </w:r>
      <w:r>
        <w:rPr>
          <w:vertAlign w:val="superscript"/>
        </w:rPr>
        <w:t xml:space="preserve">53</w:t>
      </w:r>
      <w:r>
        <w:t xml:space="preserve">. In the livers of</w:t>
      </w:r>
      <w:r>
        <w:t xml:space="preserve"> </w:t>
      </w:r>
      <w:r>
        <w:t xml:space="preserve">both mice and humans high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expression is associated with</w:t>
      </w:r>
      <w:r>
        <w:t xml:space="preserve"> </w:t>
      </w:r>
      <w:r>
        <w:t xml:space="preserve">hepatocytes that accumulate large lipid droplets and have gene</w:t>
      </w:r>
      <w:r>
        <w:t xml:space="preserve"> </w:t>
      </w:r>
      <w:r>
        <w:t xml:space="preserve">expression profiles similar to that of adipocytes</w:t>
      </w:r>
      <w:r>
        <w:rPr>
          <w:vertAlign w:val="superscript"/>
        </w:rPr>
        <w:t xml:space="preserve">54,55</w:t>
      </w:r>
      <w:r>
        <w:t xml:space="preserve">. The local and distal heritability of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is low in adipose tissue suggesting its expression in</w:t>
      </w:r>
      <w:r>
        <w:t xml:space="preserve"> </w:t>
      </w:r>
      <w:r>
        <w:t xml:space="preserve">this tissue is highly constrained in the population (Figure</w:t>
      </w:r>
      <w:r>
        <w:t xml:space="preserve"> </w:t>
      </w:r>
      <w:hyperlink w:anchor="fig:toa">
        <w:r>
          <w:rPr>
            <w:rStyle w:val="Hyperlink"/>
          </w:rPr>
          <w:t xml:space="preserve">6</w:t>
        </w:r>
      </w:hyperlink>
      <w:r>
        <w:t xml:space="preserve">B). However, the distal heritability of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in</w:t>
      </w:r>
      <w:r>
        <w:t xml:space="preserve"> </w:t>
      </w:r>
      <w:r>
        <w:t xml:space="preserve">liver is relatively high suggesting it is complexly regulated and has</w:t>
      </w:r>
      <w:r>
        <w:t xml:space="preserve"> </w:t>
      </w:r>
      <w:r>
        <w:t xml:space="preserve">sufficient variation in this population to drive variation in phenotype.</w:t>
      </w:r>
      <w:r>
        <w:t xml:space="preserve"> </w:t>
      </w:r>
      <w:r>
        <w:t xml:space="preserve">Both local and distal heribatility of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in the islet are</w:t>
      </w:r>
      <w:r>
        <w:t xml:space="preserve"> </w:t>
      </w:r>
      <w:r>
        <w:t xml:space="preserve">relatively high, but the loading is low, suggesting that variability of</w:t>
      </w:r>
      <w:r>
        <w:t xml:space="preserve"> </w:t>
      </w:r>
      <w:r>
        <w:t xml:space="preserve">expression in the islet does not drive variation in MDI. These results</w:t>
      </w:r>
      <w:r>
        <w:t xml:space="preserve"> </w:t>
      </w:r>
      <w:r>
        <w:t xml:space="preserve">highlight the importance of tissue context when investigating the role</w:t>
      </w:r>
      <w:r>
        <w:t xml:space="preserve"> </w:t>
      </w:r>
      <w:r>
        <w:t xml:space="preserve">of heritable transcript variability in driving phenotype. Gene lists for</w:t>
      </w:r>
      <w:r>
        <w:t xml:space="preserve"> </w:t>
      </w:r>
      <w:r>
        <w:t xml:space="preserve">all clusters with tissue-specific loadings are available in</w:t>
      </w:r>
      <w:r>
        <w:t xml:space="preserve"> </w:t>
      </w:r>
      <w:r>
        <w:t xml:space="preserve">Supplementary File 2.</w:t>
      </w:r>
    </w:p>
    <w:bookmarkEnd w:id="29"/>
    <w:bookmarkStart w:id="30" w:name="Xa1588b5db59dc1330d5988a332b68b2b9ae428c"/>
    <w:p>
      <w:pPr>
        <w:pStyle w:val="Heading3"/>
      </w:pPr>
      <w:r>
        <w:t xml:space="preserve">Gene expression, but not local eQTLs, predicted body</w:t>
      </w:r>
      <w:r>
        <w:t xml:space="preserve"> </w:t>
      </w:r>
      <w:r>
        <w:t xml:space="preserve">weight in an independent</w:t>
      </w:r>
      <w:r>
        <w:t xml:space="preserve"> </w:t>
      </w:r>
      <w:r>
        <w:t xml:space="preserve">population</w:t>
      </w:r>
    </w:p>
    <w:p>
      <w:pPr>
        <w:pStyle w:val="FirstParagraph"/>
      </w:pPr>
      <w:r>
        <w:t xml:space="preserve">To test whether the transcript loadings identified in the DO could be</w:t>
      </w:r>
      <w:r>
        <w:t xml:space="preserve"> </w:t>
      </w:r>
      <w:r>
        <w:t xml:space="preserve">translated to another population, we tested whether they could predict</w:t>
      </w:r>
      <w:r>
        <w:t xml:space="preserve"> </w:t>
      </w:r>
      <w:r>
        <w:t xml:space="preserve">metabolic phenotypes in an independent population of CC-RIX mice, which</w:t>
      </w:r>
      <w:r>
        <w:t xml:space="preserve"> </w:t>
      </w:r>
      <w:r>
        <w:t xml:space="preserve">were F1 mice derived from multiple pairings of Collaborative Cross (CC)</w:t>
      </w:r>
      <w:r>
        <w:rPr>
          <w:vertAlign w:val="superscript"/>
        </w:rPr>
        <w:t xml:space="preserve">32,56–58</w:t>
      </w:r>
      <w:r>
        <w:t xml:space="preserve"> </w:t>
      </w:r>
      <w:r>
        <w:t xml:space="preserve">strains (Figure</w:t>
      </w:r>
      <w:r>
        <w:t xml:space="preserve"> </w:t>
      </w:r>
      <w:hyperlink w:anchor="fig:cc_prediction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(Methods). We asked whether the loadings identified in the DO mice were</w:t>
      </w:r>
      <w:r>
        <w:t xml:space="preserve"> </w:t>
      </w:r>
      <w:r>
        <w:t xml:space="preserve">relevant to the relationship between the transcriptome and the phenome</w:t>
      </w:r>
      <w:r>
        <w:t xml:space="preserve"> </w:t>
      </w:r>
      <w:r>
        <w:t xml:space="preserve">in the CC-RIX. We predicted body weight (a surrogate for MDI) in each</w:t>
      </w:r>
      <w:r>
        <w:t xml:space="preserve"> </w:t>
      </w:r>
      <w:r>
        <w:t xml:space="preserve">CC-RIX individual using measured gene expression in each tissue and the</w:t>
      </w:r>
      <w:r>
        <w:t xml:space="preserve"> </w:t>
      </w:r>
      <w:r>
        <w:t xml:space="preserve">transcript loadings identified in the DO (Methods). The predicted body</w:t>
      </w:r>
      <w:r>
        <w:t xml:space="preserve"> </w:t>
      </w:r>
      <w:r>
        <w:t xml:space="preserve">weight and acutal body weight were highly correlated (Figure</w:t>
      </w:r>
      <w:r>
        <w:t xml:space="preserve"> </w:t>
      </w:r>
      <w:hyperlink w:anchor="fig:cc_prediction">
        <w:r>
          <w:rPr>
            <w:rStyle w:val="Hyperlink"/>
          </w:rPr>
          <w:t xml:space="preserve">7</w:t>
        </w:r>
      </w:hyperlink>
      <w:r>
        <w:t xml:space="preserve">B). The best prediction was achieved for adipose</w:t>
      </w:r>
      <w:r>
        <w:t xml:space="preserve"> </w:t>
      </w:r>
      <w:r>
        <w:t xml:space="preserve">tissue, which supports the observation in the DO that adipose expression</w:t>
      </w:r>
      <w:r>
        <w:t xml:space="preserve"> </w:t>
      </w:r>
      <w:r>
        <w:t xml:space="preserve">was the strongest mediator of the genetic effect on MDI. This result</w:t>
      </w:r>
      <w:r>
        <w:t xml:space="preserve"> </w:t>
      </w:r>
      <w:r>
        <w:t xml:space="preserve">also confirms the validity and translatability of the transcript</w:t>
      </w:r>
      <w:r>
        <w:t xml:space="preserve"> </w:t>
      </w:r>
      <w:r>
        <w:t xml:space="preserve">loadings and their relationship to metabolic disease.</w:t>
      </w:r>
    </w:p>
    <w:p>
      <w:pPr>
        <w:pStyle w:val="BodyText"/>
      </w:pPr>
      <w:r>
        <w:t xml:space="preserve">We then investigated the source of the relevant variation in gene</w:t>
      </w:r>
      <w:r>
        <w:t xml:space="preserve"> </w:t>
      </w:r>
      <w:r>
        <w:t xml:space="preserve">expression. If local regulation was the predominant factor influencing</w:t>
      </w:r>
      <w:r>
        <w:t xml:space="preserve"> </w:t>
      </w:r>
      <w:r>
        <w:t xml:space="preserve">trait-relevant gene expression, we should be able to predict phenotype</w:t>
      </w:r>
      <w:r>
        <w:t xml:space="preserve"> </w:t>
      </w:r>
      <w:r>
        <w:t xml:space="preserve">in the CC-RIX using transcripts imputed from local genotype (Figure</w:t>
      </w:r>
      <w:r>
        <w:t xml:space="preserve"> </w:t>
      </w:r>
      <w:hyperlink w:anchor="fig:cc_prediction">
        <w:r>
          <w:rPr>
            <w:rStyle w:val="Hyperlink"/>
          </w:rPr>
          <w:t xml:space="preserve">7</w:t>
        </w:r>
      </w:hyperlink>
      <w:r>
        <w:t xml:space="preserve">A). The DO and the CC-RIX were derived from the</w:t>
      </w:r>
      <w:r>
        <w:t xml:space="preserve"> </w:t>
      </w:r>
      <w:r>
        <w:t xml:space="preserve">same eight founder strains and so carry the same alleles throughout the</w:t>
      </w:r>
      <w:r>
        <w:t xml:space="preserve"> </w:t>
      </w:r>
      <w:r>
        <w:t xml:space="preserve">genome. We imputed gene expression in the CC-RIX using local genotype</w:t>
      </w:r>
      <w:r>
        <w:t xml:space="preserve"> </w:t>
      </w:r>
      <w:r>
        <w:t xml:space="preserve">and were able to estimate variation in gene transcription robustly</w:t>
      </w:r>
      <w:r>
        <w:t xml:space="preserve"> </w:t>
      </w:r>
      <w:r>
        <w:t xml:space="preserve">(Supplementary Figure</w:t>
      </w:r>
      <w:r>
        <w:t xml:space="preserve"> </w:t>
      </w:r>
      <w:hyperlink w:anchor="fig:cc_imputation">
        <w:r>
          <w:rPr>
            <w:rStyle w:val="Hyperlink"/>
          </w:rPr>
          <w:t xml:space="preserve">[fig:cc_imputation]</w:t>
        </w:r>
      </w:hyperlink>
      <w:r>
        <w:t xml:space="preserve">). However, these imputed</w:t>
      </w:r>
      <w:r>
        <w:t xml:space="preserve"> </w:t>
      </w:r>
      <w:r>
        <w:t xml:space="preserve">values failed to predict body weight in the CC-RIX when weighted with</w:t>
      </w:r>
      <w:r>
        <w:t xml:space="preserve"> </w:t>
      </w:r>
      <w:r>
        <w:t xml:space="preserve">the loadings from HDMA. (Figure</w:t>
      </w:r>
      <w:r>
        <w:t xml:space="preserve"> </w:t>
      </w:r>
      <w:hyperlink w:anchor="fig:cc_prediction">
        <w:r>
          <w:rPr>
            <w:rStyle w:val="Hyperlink"/>
          </w:rPr>
          <w:t xml:space="preserve">7</w:t>
        </w:r>
      </w:hyperlink>
      <w:r>
        <w:t xml:space="preserve">C). This result</w:t>
      </w:r>
      <w:r>
        <w:t xml:space="preserve"> </w:t>
      </w:r>
      <w:r>
        <w:t xml:space="preserve">suggests that local regulation of gene expression is not the primary</w:t>
      </w:r>
      <w:r>
        <w:t xml:space="preserve"> </w:t>
      </w:r>
      <w:r>
        <w:t xml:space="preserve">factor driving heritability of complex traits. It is also consistent</w:t>
      </w:r>
      <w:r>
        <w:t xml:space="preserve"> </w:t>
      </w:r>
      <w:r>
        <w:t xml:space="preserve">with our findings in the DO population that distal heritability was a</w:t>
      </w:r>
      <w:r>
        <w:t xml:space="preserve"> </w:t>
      </w:r>
      <w:r>
        <w:t xml:space="preserve">major driver of trait-relevant gene expression and that high-loading</w:t>
      </w:r>
      <w:r>
        <w:t xml:space="preserve"> </w:t>
      </w:r>
      <w:r>
        <w:t xml:space="preserve">transcripts had comparatively high distal, and low local, heritability.</w:t>
      </w:r>
    </w:p>
    <w:bookmarkEnd w:id="30"/>
    <w:bookmarkStart w:id="31" w:name="X2983f560fc5a552e0a74c132fcf2e4395d0d3ba"/>
    <w:p>
      <w:pPr>
        <w:pStyle w:val="Heading3"/>
      </w:pPr>
      <w:r>
        <w:t xml:space="preserve">Distally heritable transcriptomic signatures suggested</w:t>
      </w:r>
      <w:r>
        <w:t xml:space="preserve"> </w:t>
      </w:r>
      <w:r>
        <w:t xml:space="preserve">variation in composition of adipose tissue and</w:t>
      </w:r>
      <w:r>
        <w:t xml:space="preserve"> </w:t>
      </w:r>
      <w:r>
        <w:t xml:space="preserve">islets</w:t>
      </w:r>
    </w:p>
    <w:p>
      <w:pPr>
        <w:pStyle w:val="FirstParagraph"/>
      </w:pPr>
      <w:r>
        <w:t xml:space="preserve">The interpretation of global genetic influences on gene expression and</w:t>
      </w:r>
      <w:r>
        <w:t xml:space="preserve"> </w:t>
      </w:r>
      <w:r>
        <w:t xml:space="preserve">phenotype is potentially more challenging than the interpretation and</w:t>
      </w:r>
      <w:r>
        <w:t xml:space="preserve"> </w:t>
      </w:r>
      <w:r>
        <w:t xml:space="preserve">translation of local genetic influences, as genetic effects cannot be</w:t>
      </w:r>
      <w:r>
        <w:t xml:space="preserve"> </w:t>
      </w:r>
      <w:r>
        <w:t xml:space="preserve">localized to individual gene variants or transcripts. However, there are</w:t>
      </w:r>
      <w:r>
        <w:t xml:space="preserve"> </w:t>
      </w:r>
      <w:r>
        <w:t xml:space="preserve">global patterns across the loadings that can inform mechanism. For</w:t>
      </w:r>
      <w:r>
        <w:t xml:space="preserve"> </w:t>
      </w:r>
      <w:r>
        <w:t xml:space="preserve">example, heritable variation in cell type composition can be inferred</w:t>
      </w:r>
      <w:r>
        <w:t xml:space="preserve"> </w:t>
      </w:r>
      <w:r>
        <w:t xml:space="preserve">from transcript loadings. We observed above that immune activation in</w:t>
      </w:r>
      <w:r>
        <w:t xml:space="preserve"> </w:t>
      </w:r>
      <w:r>
        <w:t xml:space="preserve">the adipose tissue was a highly enriched process correlating with</w:t>
      </w:r>
      <w:r>
        <w:t xml:space="preserve"> </w:t>
      </w:r>
      <w:r>
        <w:t xml:space="preserve">obesity in the DO population. In humans, it has been extensively</w:t>
      </w:r>
      <w:r>
        <w:t xml:space="preserve"> </w:t>
      </w:r>
      <w:r>
        <w:t xml:space="preserve">observed that macrophage infiltration in adipose tissue is a marker of</w:t>
      </w:r>
      <w:r>
        <w:t xml:space="preserve"> </w:t>
      </w:r>
      <w:r>
        <w:t xml:space="preserve">obesity and metabolic disease</w:t>
      </w:r>
      <w:r>
        <w:rPr>
          <w:vertAlign w:val="superscript"/>
        </w:rPr>
        <w:t xml:space="preserve">59</w:t>
      </w:r>
      <w:r>
        <w:t xml:space="preserve">. To determine whether</w:t>
      </w:r>
      <w:r>
        <w:t xml:space="preserve"> </w:t>
      </w:r>
      <w:r>
        <w:t xml:space="preserve">the immune activation reflected a heritable change in cell composition</w:t>
      </w:r>
      <w:r>
        <w:t xml:space="preserve"> </w:t>
      </w:r>
      <w:r>
        <w:t xml:space="preserve">in adipose tissue in DO mice, we compared loadings of cell-type specific</w:t>
      </w:r>
      <w:r>
        <w:t xml:space="preserve"> </w:t>
      </w:r>
      <w:r>
        <w:t xml:space="preserve">genes in adipose tissue (Methods). The mean loading of</w:t>
      </w:r>
      <w:r>
        <w:t xml:space="preserve"> </w:t>
      </w:r>
      <w:r>
        <w:t xml:space="preserve">macrophage-specific genes was significantly greater than 0</w:t>
      </w:r>
      <w:r>
        <w:t xml:space="preserve"> </w:t>
      </w:r>
      <w:r>
        <w:t xml:space="preserve">(Holm-adjusted two-sided empirical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 (Figure</w:t>
      </w:r>
      <w:r>
        <w:t xml:space="preserve"> </w:t>
      </w:r>
      <w:hyperlink w:anchor="fig:human_translation">
        <w:r>
          <w:rPr>
            <w:rStyle w:val="Hyperlink"/>
          </w:rPr>
          <w:t xml:space="preserve">8</w:t>
        </w:r>
      </w:hyperlink>
      <w:r>
        <w:t xml:space="preserve">A), indicating that obese mice were</w:t>
      </w:r>
      <w:r>
        <w:t xml:space="preserve"> </w:t>
      </w:r>
      <w:r>
        <w:t xml:space="preserve">genetically predisposed to have high levels of macrophage infiltration</w:t>
      </w:r>
      <w:r>
        <w:t xml:space="preserve"> </w:t>
      </w:r>
      <w:r>
        <w:t xml:space="preserve">in adipose tissue in response to the HFHS diet. Loadings for marker</w:t>
      </w:r>
      <w:r>
        <w:t xml:space="preserve"> </w:t>
      </w:r>
      <w:r>
        <w:t xml:space="preserve">genes for other cell types were not statistically different from zero</w:t>
      </w:r>
      <w:r>
        <w:t xml:space="preserve"> </w:t>
      </w:r>
      <w:r>
        <w:t xml:space="preserve">(Adipocytes: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0.08</m:t>
        </m:r>
      </m:oMath>
      <w:r>
        <w:t xml:space="preserve">, Progenitors: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0.58</m:t>
        </m:r>
      </m:oMath>
      <w:r>
        <w:t xml:space="preserve">, Leukocytes: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0.28</m:t>
        </m:r>
      </m:oMath>
      <w:r>
        <w:t xml:space="preserve">; all Holm-adjusted two-sided empirical</w:t>
      </w:r>
      <w:r>
        <w:t xml:space="preserve"> </w:t>
      </w:r>
      <m:oMath>
        <m:r>
          <m:t>p</m:t>
        </m:r>
      </m:oMath>
      <w:r>
        <w:t xml:space="preserve">), indicating</w:t>
      </w:r>
      <w:r>
        <w:t xml:space="preserve"> </w:t>
      </w:r>
      <w:r>
        <w:t xml:space="preserve">that changes in the abundance of those cell types was not a mediator of</w:t>
      </w:r>
      <w:r>
        <w:t xml:space="preserve"> </w:t>
      </w:r>
      <w:r>
        <w:t xml:space="preserve">MDI.</w:t>
      </w:r>
    </w:p>
    <w:p>
      <w:pPr>
        <w:pStyle w:val="BodyText"/>
      </w:pPr>
      <w:r>
        <w:t xml:space="preserve">We also compared loadings of cell-type specific transcripts in islet</w:t>
      </w:r>
      <w:r>
        <w:t xml:space="preserve"> </w:t>
      </w:r>
      <w:r>
        <w:t xml:space="preserve">(Methods). The mean loadings for alpha-cell specific transcripts were</w:t>
      </w:r>
      <w:r>
        <w:t xml:space="preserve"> </w:t>
      </w:r>
      <w:r>
        <w:t xml:space="preserve">significantly greater than 0 (Holm-adjusted two-sided empirical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0.002</m:t>
        </m:r>
      </m:oMath>
      <w:r>
        <w:t xml:space="preserve">), while the mean loadings for transcripts specific to</w:t>
      </w:r>
      <w:r>
        <w:t xml:space="preserve"> </w:t>
      </w:r>
      <w:r>
        <w:t xml:space="preserve">delta cells (Holm-adjusted two-sided empirial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</w:t>
      </w:r>
      <w:r>
        <w:t xml:space="preserve"> </w:t>
      </w:r>
      <w:r>
        <w:t xml:space="preserve">and endothelial cells (Holm-adjusted two-sided empirical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0.01</m:t>
        </m:r>
      </m:oMath>
      <w:r>
        <w:t xml:space="preserve">)</w:t>
      </w:r>
      <w:r>
        <w:t xml:space="preserve"> </w:t>
      </w:r>
      <w:r>
        <w:t xml:space="preserve">were significantly less than 0 (Figure</w:t>
      </w:r>
      <w:r>
        <w:t xml:space="preserve"> </w:t>
      </w:r>
      <w:hyperlink w:anchor="fig:human_translation">
        <w:r>
          <w:rPr>
            <w:rStyle w:val="Hyperlink"/>
          </w:rPr>
          <w:t xml:space="preserve">8</w:t>
        </w:r>
      </w:hyperlink>
      <w:r>
        <w:t xml:space="preserve">B).</w:t>
      </w:r>
      <w:r>
        <w:t xml:space="preserve"> </w:t>
      </w:r>
      <w:r>
        <w:t xml:space="preserve">These results suggest that mice with higher MDI inherited an altered</w:t>
      </w:r>
      <w:r>
        <w:t xml:space="preserve"> </w:t>
      </w:r>
      <w:r>
        <w:t xml:space="preserve">cell composition that predisposed them to metabolic disease, or that</w:t>
      </w:r>
      <w:r>
        <w:t xml:space="preserve"> </w:t>
      </w:r>
      <w:r>
        <w:t xml:space="preserve">these compositional changes were induced by the HFHS diet in a heritable</w:t>
      </w:r>
      <w:r>
        <w:t xml:space="preserve"> </w:t>
      </w:r>
      <w:r>
        <w:t xml:space="preserve">way. In either case, these results support the hypothesis that</w:t>
      </w:r>
      <w:r>
        <w:t xml:space="preserve"> </w:t>
      </w:r>
      <w:r>
        <w:t xml:space="preserve">alterations in islet composition drive variation in MDI. Notably, the</w:t>
      </w:r>
      <w:r>
        <w:t xml:space="preserve"> </w:t>
      </w:r>
      <w:r>
        <w:t xml:space="preserve">mean loading for pancreatic beta cell marker transcripts was not</w:t>
      </w:r>
      <w:r>
        <w:t xml:space="preserve"> </w:t>
      </w:r>
      <w:r>
        <w:t xml:space="preserve">significantly different from zero (Holm-adjusted two-sided empirical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0.95</m:t>
        </m:r>
      </m:oMath>
      <w:r>
        <w:t xml:space="preserve">). We stress that this is not necessarily reflective of the</w:t>
      </w:r>
      <w:r>
        <w:t xml:space="preserve"> </w:t>
      </w:r>
      <w:r>
        <w:t xml:space="preserve">function of the beta cells in the obese mice, but rather suggests that</w:t>
      </w:r>
      <w:r>
        <w:t xml:space="preserve"> </w:t>
      </w:r>
      <w:r>
        <w:t xml:space="preserve">any variation in the number of beta cells in these mice was unrelated to</w:t>
      </w:r>
      <w:r>
        <w:t xml:space="preserve"> </w:t>
      </w:r>
      <w:r>
        <w:t xml:space="preserve">obesity and insulin resistance, the major contributors to MDI. This is</w:t>
      </w:r>
      <w:r>
        <w:t xml:space="preserve"> </w:t>
      </w:r>
      <w:r>
        <w:t xml:space="preserve">further consistent with the islet composition traits having small</w:t>
      </w:r>
      <w:r>
        <w:t xml:space="preserve"> </w:t>
      </w:r>
      <w:r>
        <w:t xml:space="preserve">loadings in the phenome score (Figure</w:t>
      </w:r>
      <w:r>
        <w:t xml:space="preserve"> </w:t>
      </w:r>
      <w:hyperlink w:anchor="fig:interpretation">
        <w:r>
          <w:rPr>
            <w:rStyle w:val="Hyperlink"/>
          </w:rPr>
          <w:t xml:space="preserve">4</w:t>
        </w:r>
      </w:hyperlink>
      <w:r>
        <w:t xml:space="preserve">).</w:t>
      </w:r>
    </w:p>
    <w:bookmarkEnd w:id="31"/>
    <w:bookmarkStart w:id="32" w:name="X52ecaf13258adea7b61d9a94b7da5de4e82dfdc"/>
    <w:p>
      <w:pPr>
        <w:pStyle w:val="Heading3"/>
      </w:pPr>
      <w:r>
        <w:t xml:space="preserve">Heritable transcriptomic signatures translated to human</w:t>
      </w:r>
      <w:r>
        <w:t xml:space="preserve"> </w:t>
      </w:r>
      <w:r>
        <w:t xml:space="preserve">disease</w:t>
      </w:r>
    </w:p>
    <w:p>
      <w:pPr>
        <w:pStyle w:val="FirstParagraph"/>
      </w:pPr>
      <w:r>
        <w:t xml:space="preserve">Ultimately, the heritable transcriptomic signatures that we identified</w:t>
      </w:r>
      <w:r>
        <w:t xml:space="preserve"> </w:t>
      </w:r>
      <w:r>
        <w:t xml:space="preserve">in DO mice will be useful if they inform mechanism and treatment of</w:t>
      </w:r>
      <w:r>
        <w:t xml:space="preserve"> </w:t>
      </w:r>
      <w:r>
        <w:t xml:space="preserve">human disease. To investigate the potential for translation of the gene</w:t>
      </w:r>
      <w:r>
        <w:t xml:space="preserve"> </w:t>
      </w:r>
      <w:r>
        <w:t xml:space="preserve">signatures identified in DO mice, we compared them to transcriptional</w:t>
      </w:r>
      <w:r>
        <w:t xml:space="preserve"> </w:t>
      </w:r>
      <w:r>
        <w:t xml:space="preserve">profiles in obese and non-obese human subjects (Methods). We limited our</w:t>
      </w:r>
      <w:r>
        <w:t xml:space="preserve"> </w:t>
      </w:r>
      <w:r>
        <w:t xml:space="preserve">analysis to adipose tissue because the adipose tissue signature had the</w:t>
      </w:r>
      <w:r>
        <w:t xml:space="preserve"> </w:t>
      </w:r>
      <w:r>
        <w:t xml:space="preserve">strongest relationship to obesity and insulin resistance in the DO.</w:t>
      </w:r>
    </w:p>
    <w:p>
      <w:pPr>
        <w:pStyle w:val="BodyText"/>
      </w:pPr>
      <w:r>
        <w:t xml:space="preserve">We calculated a predicted MDI for each individual in the human studies</w:t>
      </w:r>
      <w:r>
        <w:t xml:space="preserve"> </w:t>
      </w:r>
      <w:r>
        <w:t xml:space="preserve">based on their adipose tissue gene expression (Methods) and compared the</w:t>
      </w:r>
      <w:r>
        <w:t xml:space="preserve"> </w:t>
      </w:r>
      <w:r>
        <w:t xml:space="preserve">predicted scores for obese and non-obese groups as well as diabetic and</w:t>
      </w:r>
      <w:r>
        <w:t xml:space="preserve"> </w:t>
      </w:r>
      <w:r>
        <w:t xml:space="preserve">non-diabetic groups. In all cases, the predicted MDIs were higher on</w:t>
      </w:r>
      <w:r>
        <w:t xml:space="preserve"> </w:t>
      </w:r>
      <w:r>
        <w:t xml:space="preserve">average for individuals in the obese and diabetic groups compared with</w:t>
      </w:r>
      <w:r>
        <w:t xml:space="preserve"> </w:t>
      </w:r>
      <w:r>
        <w:t xml:space="preserve">the lean and non-diabetic groups (Figure</w:t>
      </w:r>
      <w:r>
        <w:t xml:space="preserve"> </w:t>
      </w:r>
      <w:hyperlink w:anchor="fig:human_translation">
        <w:r>
          <w:rPr>
            <w:rStyle w:val="Hyperlink"/>
          </w:rPr>
          <w:t xml:space="preserve">8</w:t>
        </w:r>
      </w:hyperlink>
      <w:r>
        <w:t xml:space="preserve">D).</w:t>
      </w:r>
      <w:r>
        <w:t xml:space="preserve"> </w:t>
      </w:r>
      <w:r>
        <w:t xml:space="preserve">This indicates that the distally heritable signature of MDI identified</w:t>
      </w:r>
      <w:r>
        <w:t xml:space="preserve"> </w:t>
      </w:r>
      <w:r>
        <w:t xml:space="preserve">in DO mice is relevant to obesity and diabetes in human subjects.</w:t>
      </w:r>
    </w:p>
    <w:bookmarkEnd w:id="32"/>
    <w:bookmarkStart w:id="34" w:name="X75f4acf7e75d35b340851da2eaf604a353835e7"/>
    <w:p>
      <w:pPr>
        <w:pStyle w:val="Heading3"/>
      </w:pPr>
      <w:r>
        <w:t xml:space="preserve">Existing therapies are predicted to target mediator gene</w:t>
      </w:r>
      <w:r>
        <w:t xml:space="preserve"> </w:t>
      </w:r>
      <w:r>
        <w:t xml:space="preserve">signatures</w:t>
      </w:r>
    </w:p>
    <w:p>
      <w:pPr>
        <w:pStyle w:val="FirstParagraph"/>
      </w:pPr>
      <w:r>
        <w:t xml:space="preserve">Another application of the transcript loading landscape is in ranking</w:t>
      </w:r>
      <w:r>
        <w:t xml:space="preserve"> </w:t>
      </w:r>
      <w:r>
        <w:t xml:space="preserve">potential drug candidates for the treatment of metabolic disease.</w:t>
      </w:r>
      <w:r>
        <w:t xml:space="preserve"> </w:t>
      </w:r>
      <w:r>
        <w:t xml:space="preserve">Although high-loading transcripts may be good candidates for</w:t>
      </w:r>
      <w:r>
        <w:t xml:space="preserve"> </w:t>
      </w:r>
      <w:r>
        <w:t xml:space="preserve">understanding specific biology related to obesity, the transcriptome</w:t>
      </w:r>
      <w:r>
        <w:t xml:space="preserve"> </w:t>
      </w:r>
      <w:r>
        <w:t xml:space="preserve">overall is highly interconnected and redundant. The ConnectivityMap</w:t>
      </w:r>
      <w:r>
        <w:t xml:space="preserve"> </w:t>
      </w:r>
      <w:r>
        <w:t xml:space="preserve">(CMAP) database</w:t>
      </w:r>
      <w:r>
        <w:rPr>
          <w:vertAlign w:val="superscript"/>
        </w:rPr>
        <w:t xml:space="preserve">60,61</w:t>
      </w:r>
      <w:r>
        <w:t xml:space="preserve"> </w:t>
      </w:r>
      <w:r>
        <w:t xml:space="preserve">developed by the Broad Institute allows querying thousands</w:t>
      </w:r>
      <w:r>
        <w:t xml:space="preserve"> </w:t>
      </w:r>
      <w:r>
        <w:t xml:space="preserve">of compounds that reverse or enhance the extreme ends of transcriptomic</w:t>
      </w:r>
      <w:r>
        <w:t xml:space="preserve"> </w:t>
      </w:r>
      <w:r>
        <w:t xml:space="preserve">signatures in multiple different cell types. By identifying drugs that</w:t>
      </w:r>
      <w:r>
        <w:t xml:space="preserve"> </w:t>
      </w:r>
      <w:r>
        <w:t xml:space="preserve">reverse pathogenic transcriptomic signatures, we can potentially</w:t>
      </w:r>
      <w:r>
        <w:t xml:space="preserve"> </w:t>
      </w:r>
      <w:r>
        <w:t xml:space="preserve">identify compounds that have favorable effects on gene expression. To</w:t>
      </w:r>
      <w:r>
        <w:t xml:space="preserve"> </w:t>
      </w:r>
      <w:r>
        <w:t xml:space="preserve">test this hypothesis, we queried the CMAP database through the CLUE</w:t>
      </w:r>
      <w:r>
        <w:t xml:space="preserve"> </w:t>
      </w:r>
      <w:r>
        <w:t xml:space="preserve">online query tool (</w:t>
      </w:r>
      <w:hyperlink r:id="rId33">
        <w:r>
          <w:rPr>
            <w:rStyle w:val="Hyperlink"/>
          </w:rPr>
          <w:t xml:space="preserve">https://clue.io/query/</w:t>
        </w:r>
      </w:hyperlink>
      <w:r>
        <w:t xml:space="preserve">, version 1.1.1.43)</w:t>
      </w:r>
      <w:r>
        <w:t xml:space="preserve"> </w:t>
      </w:r>
      <w:r>
        <w:t xml:space="preserve">(Methods). We identified top anti-correlated hits across all cell types</w:t>
      </w:r>
      <w:r>
        <w:t xml:space="preserve"> </w:t>
      </w:r>
      <w:r>
        <w:t xml:space="preserve">(Supplementary Figures</w:t>
      </w:r>
      <w:r>
        <w:t xml:space="preserve"> </w:t>
      </w:r>
      <w:hyperlink w:anchor="fig:clue_adipose_all">
        <w:r>
          <w:rPr>
            <w:rStyle w:val="Hyperlink"/>
          </w:rPr>
          <w:t xml:space="preserve">[fig:clue_adipose_all]</w:t>
        </w:r>
      </w:hyperlink>
      <w:r>
        <w:t xml:space="preserve"> </w:t>
      </w:r>
      <w:r>
        <w:t xml:space="preserve">and</w:t>
      </w:r>
      <w:r>
        <w:t xml:space="preserve"> </w:t>
      </w:r>
      <w:hyperlink w:anchor="fig:clue_islet_all">
        <w:r>
          <w:rPr>
            <w:rStyle w:val="Hyperlink"/>
          </w:rPr>
          <w:t xml:space="preserve">[fig:clue_islet_all]</w:t>
        </w:r>
      </w:hyperlink>
      <w:r>
        <w:t xml:space="preserve">). To get more tissue-specific results, we also</w:t>
      </w:r>
      <w:r>
        <w:t xml:space="preserve"> </w:t>
      </w:r>
      <w:r>
        <w:t xml:space="preserve">looked at top results in cell types that most closely resembled our</w:t>
      </w:r>
      <w:r>
        <w:t xml:space="preserve"> </w:t>
      </w:r>
      <w:r>
        <w:t xml:space="preserve">tissues. We looked at results in adipocytes (ASC) as well as pancreatic</w:t>
      </w:r>
      <w:r>
        <w:t xml:space="preserve"> </w:t>
      </w:r>
      <w:r>
        <w:t xml:space="preserve">tumor cells (YAPC) regardless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(Supplementary Figures</w:t>
      </w:r>
      <w:r>
        <w:t xml:space="preserve"> </w:t>
      </w:r>
      <w:hyperlink w:anchor="fig:clue_adipose_asc">
        <w:r>
          <w:rPr>
            <w:rStyle w:val="Hyperlink"/>
          </w:rPr>
          <w:t xml:space="preserve">[fig:clue_adipose_asc]</w:t>
        </w:r>
      </w:hyperlink>
      <w:r>
        <w:t xml:space="preserve"> </w:t>
      </w:r>
      <w:r>
        <w:t xml:space="preserve">and</w:t>
      </w:r>
      <w:r>
        <w:t xml:space="preserve"> </w:t>
      </w:r>
      <w:hyperlink w:anchor="fig:clue_islet_yapc">
        <w:r>
          <w:rPr>
            <w:rStyle w:val="Hyperlink"/>
          </w:rPr>
          <w:t xml:space="preserve">[fig:clue_islet_yapc]</w:t>
        </w:r>
      </w:hyperlink>
      <w:r>
        <w:t xml:space="preserve">).</w:t>
      </w:r>
    </w:p>
    <w:p>
      <w:pPr>
        <w:pStyle w:val="BodyText"/>
      </w:pPr>
      <w:r>
        <w:t xml:space="preserve">The CMAP database identified both known diabetes drugs</w:t>
      </w:r>
      <w:r>
        <w:t xml:space="preserve"> </w:t>
      </w:r>
      <w:r>
        <w:t xml:space="preserve">(e.g. sulfonylureas), as well as drugs that target pathways known to be</w:t>
      </w:r>
      <w:r>
        <w:t xml:space="preserve"> </w:t>
      </w:r>
      <w:r>
        <w:t xml:space="preserve">involved in diabetes pathogenesis (e.g. mTOR inhibitors). These findings</w:t>
      </w:r>
      <w:r>
        <w:t xml:space="preserve"> </w:t>
      </w:r>
      <w:r>
        <w:t xml:space="preserve">help support the mediation model we fit here. Although the composite</w:t>
      </w:r>
      <w:r>
        <w:t xml:space="preserve"> </w:t>
      </w:r>
      <w:r>
        <w:t xml:space="preserve">variables we identified here are consistent with mediation, they do not</w:t>
      </w:r>
      <w:r>
        <w:t xml:space="preserve"> </w:t>
      </w:r>
      <w:r>
        <w:t xml:space="preserve">prove causality. However, the results from CMAP suggest that reversing</w:t>
      </w:r>
      <w:r>
        <w:t xml:space="preserve"> </w:t>
      </w:r>
      <w:r>
        <w:t xml:space="preserve">the transcriptomic signatures we found also reverses metabolic disease</w:t>
      </w:r>
      <w:r>
        <w:t xml:space="preserve"> </w:t>
      </w:r>
      <w:r>
        <w:t xml:space="preserve">phenotypes, which supports a causal role of the transcript levels in</w:t>
      </w:r>
      <w:r>
        <w:t xml:space="preserve"> </w:t>
      </w:r>
      <w:r>
        <w:t xml:space="preserve">driving pathogenesis of metabolic disease. These results thus support</w:t>
      </w:r>
      <w:r>
        <w:t xml:space="preserve"> </w:t>
      </w:r>
      <w:r>
        <w:t xml:space="preserve">the mediation model we identified here and its translation to therapies</w:t>
      </w:r>
      <w:r>
        <w:t xml:space="preserve"> </w:t>
      </w:r>
      <w:r>
        <w:t xml:space="preserve">in human disease.</w:t>
      </w:r>
    </w:p>
    <w:bookmarkEnd w:id="34"/>
    <w:bookmarkEnd w:id="35"/>
    <w:bookmarkStart w:id="36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Here we investigated the relative contributions of local and distal gene</w:t>
      </w:r>
      <w:r>
        <w:t xml:space="preserve"> </w:t>
      </w:r>
      <w:r>
        <w:t xml:space="preserve">regulation in four tissues to heritable variation in traits related to</w:t>
      </w:r>
      <w:r>
        <w:t xml:space="preserve"> </w:t>
      </w:r>
      <w:r>
        <w:t xml:space="preserve">metabolic disease in genetically diverse mice. We found that distal</w:t>
      </w:r>
      <w:r>
        <w:t xml:space="preserve"> </w:t>
      </w:r>
      <w:r>
        <w:t xml:space="preserve">heritability was positively correlated with trait relatedness, whereas</w:t>
      </w:r>
      <w:r>
        <w:t xml:space="preserve"> </w:t>
      </w:r>
      <w:r>
        <w:t xml:space="preserve">high local heritability was negatively correlated with trait</w:t>
      </w:r>
      <w:r>
        <w:t xml:space="preserve"> </w:t>
      </w:r>
      <w:r>
        <w:t xml:space="preserve">relatedness. We used a novel high-dimensional mediation analysis (HDMA)</w:t>
      </w:r>
      <w:r>
        <w:t xml:space="preserve"> </w:t>
      </w:r>
      <w:r>
        <w:t xml:space="preserve">to identify tissue-specific composite transcripts that are predicted to</w:t>
      </w:r>
      <w:r>
        <w:t xml:space="preserve"> </w:t>
      </w:r>
      <w:r>
        <w:t xml:space="preserve">mediate the effect of genetic background on metabolic traits. The</w:t>
      </w:r>
      <w:r>
        <w:t xml:space="preserve"> </w:t>
      </w:r>
      <w:r>
        <w:t xml:space="preserve">adipose-derived composite transcript robustly predicted body weight in</w:t>
      </w:r>
      <w:r>
        <w:t xml:space="preserve"> </w:t>
      </w:r>
      <w:r>
        <w:t xml:space="preserve">an independent cohort of diverse mice with a disparate population</w:t>
      </w:r>
      <w:r>
        <w:t xml:space="preserve"> </w:t>
      </w:r>
      <w:r>
        <w:t xml:space="preserve">structure. It also predicted MDI in four human cohorts. However, gene</w:t>
      </w:r>
      <w:r>
        <w:t xml:space="preserve"> </w:t>
      </w:r>
      <w:r>
        <w:t xml:space="preserve">expression imputed from local haplotype failed to predict body weight in</w:t>
      </w:r>
      <w:r>
        <w:t xml:space="preserve"> </w:t>
      </w:r>
      <w:r>
        <w:t xml:space="preserve">the second mouse population. Taken together, these results highlight the</w:t>
      </w:r>
      <w:r>
        <w:t xml:space="preserve"> </w:t>
      </w:r>
      <w:r>
        <w:t xml:space="preserve">complexity of gene expression regulation in relation to trait</w:t>
      </w:r>
      <w:r>
        <w:t xml:space="preserve"> </w:t>
      </w:r>
      <w:r>
        <w:t xml:space="preserve">heritability and suggest that heritable trait variation is mediated</w:t>
      </w:r>
      <w:r>
        <w:t xml:space="preserve"> </w:t>
      </w:r>
      <w:r>
        <w:t xml:space="preserve">primarily through distal gene regulation.</w:t>
      </w:r>
    </w:p>
    <w:p>
      <w:pPr>
        <w:pStyle w:val="BodyText"/>
      </w:pPr>
      <w:r>
        <w:t xml:space="preserve">Our result that distal regulation accounted for most trait-related gene</w:t>
      </w:r>
      <w:r>
        <w:t xml:space="preserve"> </w:t>
      </w:r>
      <w:r>
        <w:t xml:space="preserve">expression differences is consistent with a complex model of genetic</w:t>
      </w:r>
      <w:r>
        <w:t xml:space="preserve"> </w:t>
      </w:r>
      <w:r>
        <w:t xml:space="preserve">trait determination. It has frequently been assumed that gene regulation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cis</w:t>
      </w:r>
      <w:r>
        <w:t xml:space="preserve"> </w:t>
      </w:r>
      <w:r>
        <w:t xml:space="preserve">is the primary driver of genetically associated trait</w:t>
      </w:r>
      <w:r>
        <w:t xml:space="preserve"> </w:t>
      </w:r>
      <w:r>
        <w:t xml:space="preserve">variation, but attempts to use local gene regulation to explain</w:t>
      </w:r>
      <w:r>
        <w:t xml:space="preserve"> </w:t>
      </w:r>
      <w:r>
        <w:t xml:space="preserve">phenotypic variation have had limited success</w:t>
      </w:r>
      <w:r>
        <w:rPr>
          <w:vertAlign w:val="superscript"/>
        </w:rPr>
        <w:t xml:space="preserve">16,17</w:t>
      </w:r>
      <w:r>
        <w:t xml:space="preserve">. In recent years, evidence has mounted</w:t>
      </w:r>
      <w:r>
        <w:t xml:space="preserve"> </w:t>
      </w:r>
      <w:r>
        <w:t xml:space="preserve">that distal gene regulation may be an important mediator of trait</w:t>
      </w:r>
      <w:r>
        <w:t xml:space="preserve"> </w:t>
      </w:r>
      <w:r>
        <w:t xml:space="preserve">heritability</w:t>
      </w:r>
      <w:r>
        <w:rPr>
          <w:vertAlign w:val="superscript"/>
        </w:rPr>
        <w:t xml:space="preserve">18,19,62,63</w:t>
      </w:r>
      <w:r>
        <w:t xml:space="preserve">. It has been observed that</w:t>
      </w:r>
      <w:r>
        <w:t xml:space="preserve"> </w:t>
      </w:r>
      <w:r>
        <w:t xml:space="preserve">transcripts with high local heritability explain less</w:t>
      </w:r>
      <w:r>
        <w:t xml:space="preserve"> </w:t>
      </w:r>
      <w:r>
        <w:t xml:space="preserve">expression-mediated disease heritability than those with low local</w:t>
      </w:r>
      <w:r>
        <w:t xml:space="preserve"> </w:t>
      </w:r>
      <w:r>
        <w:t xml:space="preserve">heritability</w:t>
      </w:r>
      <w:r>
        <w:rPr>
          <w:vertAlign w:val="superscript"/>
        </w:rPr>
        <w:t xml:space="preserve">19</w:t>
      </w:r>
      <w:r>
        <w:t xml:space="preserve">. Consistent with this observation,</w:t>
      </w:r>
      <w:r>
        <w:t xml:space="preserve"> </w:t>
      </w:r>
      <w:r>
        <w:t xml:space="preserve">genes located near GWAS hits tend to be complexly regulated</w:t>
      </w:r>
      <w:r>
        <w:rPr>
          <w:vertAlign w:val="superscript"/>
        </w:rPr>
        <w:t xml:space="preserve">18</w:t>
      </w:r>
      <w:r>
        <w:t xml:space="preserve">. They also tend to be enriched with functional</w:t>
      </w:r>
      <w:r>
        <w:t xml:space="preserve"> </w:t>
      </w:r>
      <w:r>
        <w:t xml:space="preserve">annotations, in contrast to genes with simple local regulation, which</w:t>
      </w:r>
      <w:r>
        <w:t xml:space="preserve"> </w:t>
      </w:r>
      <w:r>
        <w:t xml:space="preserve">tend to be depleted of functional annotations suggesting they are less</w:t>
      </w:r>
      <w:r>
        <w:t xml:space="preserve"> </w:t>
      </w:r>
      <w:r>
        <w:t xml:space="preserve">likely to be directly involved in disease traits</w:t>
      </w:r>
      <w:r>
        <w:rPr>
          <w:vertAlign w:val="superscript"/>
        </w:rPr>
        <w:t xml:space="preserve">18</w:t>
      </w:r>
      <w:r>
        <w:t xml:space="preserve">.</w:t>
      </w:r>
      <w:r>
        <w:t xml:space="preserve"> </w:t>
      </w:r>
      <w:r>
        <w:t xml:space="preserve">These observations are consistent with principles of robustness in</w:t>
      </w:r>
      <w:r>
        <w:t xml:space="preserve"> </w:t>
      </w:r>
      <w:r>
        <w:t xml:space="preserve">complex systems in which simple regulation of important elements leads</w:t>
      </w:r>
      <w:r>
        <w:t xml:space="preserve"> </w:t>
      </w:r>
      <w:r>
        <w:t xml:space="preserve">to fragility of the system</w:t>
      </w:r>
      <w:r>
        <w:rPr>
          <w:vertAlign w:val="superscript"/>
        </w:rPr>
        <w:t xml:space="preserve">64–66</w:t>
      </w:r>
      <w:r>
        <w:t xml:space="preserve">. Our results are</w:t>
      </w:r>
      <w:r>
        <w:t xml:space="preserve"> </w:t>
      </w:r>
      <w:r>
        <w:t xml:space="preserve">consistent, instead, with a more complex picture where genes whose</w:t>
      </w:r>
      <w:r>
        <w:t xml:space="preserve"> </w:t>
      </w:r>
      <w:r>
        <w:t xml:space="preserve">expression can drive trait variation are buffered from local genetic</w:t>
      </w:r>
      <w:r>
        <w:t xml:space="preserve"> </w:t>
      </w:r>
      <w:r>
        <w:t xml:space="preserve">variation but are extensively influenced indirectly by genetic variation</w:t>
      </w:r>
      <w:r>
        <w:t xml:space="preserve"> </w:t>
      </w:r>
      <w:r>
        <w:t xml:space="preserve">in the regulatory networks converging on those genes.</w:t>
      </w:r>
    </w:p>
    <w:p>
      <w:pPr>
        <w:pStyle w:val="BodyText"/>
      </w:pPr>
      <w:r>
        <w:t xml:space="preserve">Our results are also consistent with the recently proposed omnigenic</w:t>
      </w:r>
      <w:r>
        <w:t xml:space="preserve"> </w:t>
      </w:r>
      <w:r>
        <w:t xml:space="preserve">model, which posits that complex traits are massively polygenic and that</w:t>
      </w:r>
      <w:r>
        <w:t xml:space="preserve"> </w:t>
      </w:r>
      <w:r>
        <w:t xml:space="preserve">their heritability is spread out across the genome</w:t>
      </w:r>
      <w:r>
        <w:rPr>
          <w:vertAlign w:val="superscript"/>
        </w:rPr>
        <w:t xml:space="preserve">67</w:t>
      </w:r>
      <w:r>
        <w:t xml:space="preserve">.</w:t>
      </w:r>
      <w:r>
        <w:t xml:space="preserve"> </w:t>
      </w:r>
      <w:r>
        <w:t xml:space="preserve">In the omnigenic model, genes are classified either as core genes, which</w:t>
      </w:r>
      <w:r>
        <w:t xml:space="preserve"> </w:t>
      </w:r>
      <w:r>
        <w:t xml:space="preserve">directly impinge on the trait, or peripheral genes, which are not</w:t>
      </w:r>
      <w:r>
        <w:t xml:space="preserve"> </w:t>
      </w:r>
      <w:r>
        <w:t xml:space="preserve">directly trait-related, but influence core genes through the complex</w:t>
      </w:r>
      <w:r>
        <w:t xml:space="preserve"> </w:t>
      </w:r>
      <w:r>
        <w:t xml:space="preserve">gene regulatory network. HDMA explicitly models a central proposal of</w:t>
      </w:r>
      <w:r>
        <w:t xml:space="preserve"> </w:t>
      </w:r>
      <w:r>
        <w:t xml:space="preserve">the omnigenic model which posits that once the expression of the core</w:t>
      </w:r>
      <w:r>
        <w:t xml:space="preserve"> </w:t>
      </w:r>
      <w:r>
        <w:t xml:space="preserve">genes (i.e. trait-mediating genes) is accounted for, there should be no</w:t>
      </w:r>
      <w:r>
        <w:t xml:space="preserve"> </w:t>
      </w:r>
      <w:r>
        <w:t xml:space="preserve">residual correlation between the genome and the phenome. Here, we were</w:t>
      </w:r>
      <w:r>
        <w:t xml:space="preserve"> </w:t>
      </w:r>
      <w:r>
        <w:t xml:space="preserve">able to fit this model and identified a composite transcript that, when</w:t>
      </w:r>
      <w:r>
        <w:t xml:space="preserve"> </w:t>
      </w:r>
      <w:r>
        <w:t xml:space="preserve">taken into account, left no residual correlation between the composite</w:t>
      </w:r>
      <w:r>
        <w:t xml:space="preserve"> </w:t>
      </w:r>
      <w:r>
        <w:t xml:space="preserve">genome and composite phenome scores (Figure</w:t>
      </w:r>
      <w:r>
        <w:t xml:space="preserve"> </w:t>
      </w:r>
      <w:hyperlink w:anchor="fig:workflow">
        <w:r>
          <w:rPr>
            <w:rStyle w:val="Hyperlink"/>
          </w:rPr>
          <w:t xml:space="preserve">3</w:t>
        </w:r>
      </w:hyperlink>
      <w:r>
        <w:t xml:space="preserve">A, Figure</w:t>
      </w:r>
      <w:r>
        <w:t xml:space="preserve"> </w:t>
      </w:r>
      <w:hyperlink w:anchor="fig:interpretation">
        <w:r>
          <w:rPr>
            <w:rStyle w:val="Hyperlink"/>
          </w:rPr>
          <w:t xml:space="preserve">4</w:t>
        </w:r>
      </w:hyperlink>
      <w:r>
        <w:t xml:space="preserve">E).</w:t>
      </w:r>
    </w:p>
    <w:p>
      <w:pPr>
        <w:pStyle w:val="BodyText"/>
      </w:pPr>
      <w:r>
        <w:t xml:space="preserve">Unlike in the omnigenic model, we did not observe a clear demarcation</w:t>
      </w:r>
      <w:r>
        <w:t xml:space="preserve"> </w:t>
      </w:r>
      <w:r>
        <w:t xml:space="preserve">between the core and peripheral genes in loading magnitude, but we do</w:t>
      </w:r>
      <w:r>
        <w:t xml:space="preserve"> </w:t>
      </w:r>
      <w:r>
        <w:t xml:space="preserve">not necessarily expect a clear separation given the complexity of gene</w:t>
      </w:r>
      <w:r>
        <w:t xml:space="preserve"> </w:t>
      </w:r>
      <w:r>
        <w:t xml:space="preserve">regulation and the genotype-phenotype map</w:t>
      </w:r>
      <w:r>
        <w:rPr>
          <w:vertAlign w:val="superscript"/>
        </w:rPr>
        <w:t xml:space="preserve">68</w:t>
      </w:r>
      <w:r>
        <w:t xml:space="preserve">.</w:t>
      </w:r>
    </w:p>
    <w:p>
      <w:pPr>
        <w:pStyle w:val="BodyText"/>
      </w:pPr>
      <w:r>
        <w:t xml:space="preserve">An extension of the omnigenic model proposed that most heritability of</w:t>
      </w:r>
      <w:r>
        <w:t xml:space="preserve"> </w:t>
      </w:r>
      <w:r>
        <w:t xml:space="preserve">complex traits is driven by weak distal eQTLs that are potentially below</w:t>
      </w:r>
      <w:r>
        <w:t xml:space="preserve"> </w:t>
      </w:r>
      <w:r>
        <w:t xml:space="preserve">the detection threshold in studies with feasible sample sizes</w:t>
      </w:r>
      <w:r>
        <w:rPr>
          <w:vertAlign w:val="superscript"/>
        </w:rPr>
        <w:t xml:space="preserve">62</w:t>
      </w:r>
      <w:r>
        <w:t xml:space="preserve">. This is consistent with what we observed here. For</w:t>
      </w:r>
      <w:r>
        <w:t xml:space="preserve"> </w:t>
      </w:r>
      <w:r>
        <w:t xml:space="preserve">example, the gene</w:t>
      </w:r>
      <w:r>
        <w:t xml:space="preserve"> </w:t>
      </w:r>
      <w:r>
        <w:rPr>
          <w:iCs/>
          <w:i/>
        </w:rPr>
        <w:t xml:space="preserve">Nucb2</w:t>
      </w:r>
      <w:r>
        <w:t xml:space="preserve">, had a high loading in islets and was</w:t>
      </w:r>
      <w:r>
        <w:t xml:space="preserve"> </w:t>
      </w:r>
      <w:r>
        <w:t xml:space="preserve">also strongly distally regulated (65% distal heritability) (Figure</w:t>
      </w:r>
      <w:r>
        <w:t xml:space="preserve"> </w:t>
      </w:r>
      <w:hyperlink w:anchor="fig:loading_heritability">
        <w:r>
          <w:rPr>
            <w:rStyle w:val="Hyperlink"/>
          </w:rPr>
          <w:t xml:space="preserve">5</w:t>
        </w:r>
      </w:hyperlink>
      <w:r>
        <w:t xml:space="preserve">). This gene is expressed in pancreatic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cells and is involved in insulin and glucagon release</w:t>
      </w:r>
      <w:r>
        <w:rPr>
          <w:vertAlign w:val="superscript"/>
        </w:rPr>
        <w:t xml:space="preserve">69–71</w:t>
      </w:r>
      <w:r>
        <w:t xml:space="preserve">. Although its</w:t>
      </w:r>
      <w:r>
        <w:t xml:space="preserve"> </w:t>
      </w:r>
      <w:r>
        <w:t xml:space="preserve">transcription was highly heritable in islets, that regulation was</w:t>
      </w:r>
      <w:r>
        <w:t xml:space="preserve"> </w:t>
      </w:r>
      <w:r>
        <w:t xml:space="preserve">distributed across the genome, with no clear distal eQTL (Supplementary</w:t>
      </w:r>
      <w:r>
        <w:t xml:space="preserve"> </w:t>
      </w:r>
      <w:r>
        <w:t xml:space="preserve">Figure</w:t>
      </w:r>
      <w:r>
        <w:t xml:space="preserve"> </w:t>
      </w:r>
      <w:hyperlink w:anchor="fig:Nucb2_eqtl">
        <w:r>
          <w:rPr>
            <w:rStyle w:val="Hyperlink"/>
          </w:rPr>
          <w:t xml:space="preserve">[fig:Nucb2_eqtl]</w:t>
        </w:r>
      </w:hyperlink>
      <w:r>
        <w:t xml:space="preserve">). Thus, although distal regulation of some</w:t>
      </w:r>
      <w:r>
        <w:t xml:space="preserve"> </w:t>
      </w:r>
      <w:r>
        <w:t xml:space="preserve">genes may be strong, this regulation is likely to be highly complex and</w:t>
      </w:r>
      <w:r>
        <w:t xml:space="preserve"> </w:t>
      </w:r>
      <w:r>
        <w:t xml:space="preserve">not easily localized.</w:t>
      </w:r>
    </w:p>
    <w:p>
      <w:pPr>
        <w:pStyle w:val="BodyText"/>
      </w:pPr>
      <w:r>
        <w:t xml:space="preserve">Individual high-loading transcripts also demonstrated biologically</w:t>
      </w:r>
      <w:r>
        <w:t xml:space="preserve"> </w:t>
      </w:r>
      <w:r>
        <w:t xml:space="preserve">interpretable, tissue-specific patterns. We highlighted</w:t>
      </w:r>
      <w:r>
        <w:t xml:space="preserve"> </w:t>
      </w:r>
      <w:r>
        <w:rPr>
          <w:iCs/>
          <w:i/>
        </w:rPr>
        <w:t xml:space="preserve">Pparg</w:t>
      </w:r>
      <w:r>
        <w:t xml:space="preserve">,</w:t>
      </w:r>
      <w:r>
        <w:t xml:space="preserve"> </w:t>
      </w:r>
      <w:r>
        <w:t xml:space="preserve">which is known to be protective in adipose tissue</w:t>
      </w:r>
      <w:r>
        <w:rPr>
          <w:vertAlign w:val="superscript"/>
        </w:rPr>
        <w:t xml:space="preserve">50</w:t>
      </w:r>
      <w:r>
        <w:t xml:space="preserve"> </w:t>
      </w:r>
      <w:r>
        <w:t xml:space="preserve">where it was negatively loaded, and harmful in the liver</w:t>
      </w:r>
      <w:r>
        <w:rPr>
          <w:vertAlign w:val="superscript"/>
        </w:rPr>
        <w:t xml:space="preserve">51–55</w:t>
      </w:r>
      <w:r>
        <w:t xml:space="preserve">, where it was positively</w:t>
      </w:r>
      <w:r>
        <w:t xml:space="preserve"> </w:t>
      </w:r>
      <w:r>
        <w:t xml:space="preserve">loaded. Such granular patterns may be useful in generating hypotheses</w:t>
      </w:r>
      <w:r>
        <w:t xml:space="preserve"> </w:t>
      </w:r>
      <w:r>
        <w:t xml:space="preserve">for further testing, and prioritizing genes as therapeutic targets. The</w:t>
      </w:r>
      <w:r>
        <w:t xml:space="preserve"> </w:t>
      </w:r>
      <w:r>
        <w:t xml:space="preserve">tissue-specific nature of the loadings also may provide clues to</w:t>
      </w:r>
      <w:r>
        <w:t xml:space="preserve"> </w:t>
      </w:r>
      <w:r>
        <w:t xml:space="preserve">tissue-specific effects, or side effects, of targeting particular genes</w:t>
      </w:r>
      <w:r>
        <w:t xml:space="preserve"> </w:t>
      </w:r>
      <w:r>
        <w:t xml:space="preserve">system-wide.</w:t>
      </w:r>
    </w:p>
    <w:p>
      <w:pPr>
        <w:pStyle w:val="BodyText"/>
      </w:pPr>
      <w:r>
        <w:t xml:space="preserve">In addition to identifying individual transcripts of interest, the</w:t>
      </w:r>
      <w:r>
        <w:t xml:space="preserve"> </w:t>
      </w:r>
      <w:r>
        <w:t xml:space="preserve">composite transcripts can be used as weighted vectors in multiple types</w:t>
      </w:r>
      <w:r>
        <w:t xml:space="preserve"> </w:t>
      </w:r>
      <w:r>
        <w:t xml:space="preserve">of analysis, such as drug prioritization using gene set enrichment</w:t>
      </w:r>
      <w:r>
        <w:t xml:space="preserve"> </w:t>
      </w:r>
      <w:r>
        <w:t xml:space="preserve">analysis (GSEA) and the CMAP database. In particular, the CMAP analysis</w:t>
      </w:r>
      <w:r>
        <w:t xml:space="preserve"> </w:t>
      </w:r>
      <w:r>
        <w:t xml:space="preserve">identified drugs that have been demonstrated to reverse insulin</w:t>
      </w:r>
      <w:r>
        <w:t xml:space="preserve"> </w:t>
      </w:r>
      <w:r>
        <w:t xml:space="preserve">resistance and other aspects of metabolic disease. This finding supports</w:t>
      </w:r>
      <w:r>
        <w:t xml:space="preserve"> </w:t>
      </w:r>
      <w:r>
        <w:t xml:space="preserve">the hypothesis that HDMA identified transcripts that truly mediate</w:t>
      </w:r>
      <w:r>
        <w:t xml:space="preserve"> </w:t>
      </w:r>
      <w:r>
        <w:t xml:space="preserve">genetic effects on traits. HDMA identifies transcriptional patterns that</w:t>
      </w:r>
      <w:r>
        <w:t xml:space="preserve"> </w:t>
      </w:r>
      <w:r>
        <w:t xml:space="preserve">are consistent with a mediation model, but alone does not prove</w:t>
      </w:r>
      <w:r>
        <w:t xml:space="preserve"> </w:t>
      </w:r>
      <w:r>
        <w:t xml:space="preserve">mediation. However, the finding that these drugs act both on the</w:t>
      </w:r>
      <w:r>
        <w:t xml:space="preserve"> </w:t>
      </w:r>
      <w:r>
        <w:t xml:space="preserve">transcriptional patterns and on the desired traits support the mediation</w:t>
      </w:r>
      <w:r>
        <w:t xml:space="preserve"> </w:t>
      </w:r>
      <w:r>
        <w:t xml:space="preserve">model and the hypothesis that these transcripts play a causal role in</w:t>
      </w:r>
      <w:r>
        <w:t xml:space="preserve"> </w:t>
      </w:r>
      <w:r>
        <w:t xml:space="preserve">pathogenesis of metabolic disease.</w:t>
      </w:r>
    </w:p>
    <w:p>
      <w:pPr>
        <w:pStyle w:val="BodyText"/>
      </w:pPr>
      <w:r>
        <w:t xml:space="preserve">Together, our results have shown that both tissue specificity and distal</w:t>
      </w:r>
      <w:r>
        <w:t xml:space="preserve"> </w:t>
      </w:r>
      <w:r>
        <w:t xml:space="preserve">gene regulation are critically important to understanding the genetic</w:t>
      </w:r>
      <w:r>
        <w:t xml:space="preserve"> </w:t>
      </w:r>
      <w:r>
        <w:t xml:space="preserve">architecture of complex traits. We identified important genes and gene</w:t>
      </w:r>
      <w:r>
        <w:t xml:space="preserve"> </w:t>
      </w:r>
      <w:r>
        <w:t xml:space="preserve">signatures that were heritable, plausibly causal of disease, and</w:t>
      </w:r>
      <w:r>
        <w:t xml:space="preserve"> </w:t>
      </w:r>
      <w:r>
        <w:t xml:space="preserve">translatable to other mouse populations and to humans. Finally, we have</w:t>
      </w:r>
      <w:r>
        <w:t xml:space="preserve"> </w:t>
      </w:r>
      <w:r>
        <w:t xml:space="preserve">shown that by directly acknowledging the complexity of both gene</w:t>
      </w:r>
      <w:r>
        <w:t xml:space="preserve"> </w:t>
      </w:r>
      <w:r>
        <w:t xml:space="preserve">regulation and the genotype-to-phenotype map, we can gain a new</w:t>
      </w:r>
      <w:r>
        <w:t xml:space="preserve"> </w:t>
      </w:r>
      <w:r>
        <w:t xml:space="preserve">perspective on disease pathogenesis and develop actionable hypotheses</w:t>
      </w:r>
      <w:r>
        <w:t xml:space="preserve"> </w:t>
      </w:r>
      <w:r>
        <w:t xml:space="preserve">about pathogenic mechanisms and potential treatments.</w:t>
      </w:r>
    </w:p>
    <w:bookmarkEnd w:id="36"/>
    <w:bookmarkStart w:id="92" w:name="methods"/>
    <w:p>
      <w:pPr>
        <w:pStyle w:val="Heading2"/>
      </w:pPr>
      <w:r>
        <w:t xml:space="preserve">Methods</w:t>
      </w:r>
    </w:p>
    <w:bookmarkStart w:id="37" w:name="statistics-and-reproducibility"/>
    <w:p>
      <w:pPr>
        <w:pStyle w:val="Heading3"/>
      </w:pPr>
      <w:r>
        <w:t xml:space="preserve">Statistics and</w:t>
      </w:r>
      <w:r>
        <w:t xml:space="preserve"> </w:t>
      </w:r>
      <w:r>
        <w:t xml:space="preserve">Reproducibility</w:t>
      </w:r>
    </w:p>
    <w:p>
      <w:pPr>
        <w:pStyle w:val="FirstParagraph"/>
      </w:pPr>
      <w:r>
        <w:t xml:space="preserve">In this study we used two populations of laboratory mice</w:t>
      </w:r>
      <w:r>
        <w:t xml:space="preserve"> </w:t>
      </w:r>
      <w:r>
        <w:t xml:space="preserve">(</w:t>
      </w:r>
      <w:r>
        <w:rPr>
          <w:iCs/>
          <w:i/>
        </w:rPr>
        <w:t xml:space="preserve">Mus musculus</w:t>
      </w:r>
      <w:r>
        <w:t xml:space="preserve">): 1) a population of 482 diversity outbred mice</w:t>
      </w:r>
      <w:r>
        <w:t xml:space="preserve"> </w:t>
      </w:r>
      <w:r>
        <w:t xml:space="preserve">(J:DO, JAX strain#:009376) (</w:t>
      </w:r>
      <m:oMath>
        <m:r>
          <m:t>n</m:t>
        </m:r>
        <m:r>
          <m:rPr>
            <m:sty m:val="p"/>
          </m:rPr>
          <m:t>=</m:t>
        </m:r>
        <m:r>
          <m:t>240</m:t>
        </m:r>
      </m:oMath>
      <w:r>
        <w:t xml:space="preserve"> </w:t>
      </w:r>
      <w:r>
        <w:t xml:space="preserve">females 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242</m:t>
        </m:r>
      </m:oMath>
      <w:r>
        <w:t xml:space="preserve"> </w:t>
      </w:r>
      <w:r>
        <w:t xml:space="preserve">males),</w:t>
      </w:r>
      <w:r>
        <w:t xml:space="preserve"> </w:t>
      </w:r>
      <w:r>
        <w:t xml:space="preserve">and 2) a population of 466 CC-RIX mice (</w:t>
      </w:r>
      <m:oMath>
        <m:r>
          <m:t>n</m:t>
        </m:r>
        <m:r>
          <m:rPr>
            <m:sty m:val="p"/>
          </m:rPr>
          <m:t>=</m:t>
        </m:r>
        <m:r>
          <m:t>234</m:t>
        </m:r>
      </m:oMath>
      <w:r>
        <w:t xml:space="preserve"> </w:t>
      </w:r>
      <w:r>
        <w:t xml:space="preserve">females, 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232</m:t>
        </m:r>
      </m:oMath>
      <w:r>
        <w:t xml:space="preserve"> </w:t>
      </w:r>
      <w:r>
        <w:t xml:space="preserve">males), which were F1 mice derived from crosses of the</w:t>
      </w:r>
      <w:r>
        <w:t xml:space="preserve"> </w:t>
      </w:r>
      <w:r>
        <w:t xml:space="preserve">following JAX strains of Collaborative Cross mice: CC043/GeniUncJ</w:t>
      </w:r>
      <w:r>
        <w:t xml:space="preserve"> </w:t>
      </w:r>
      <w:r>
        <w:t xml:space="preserve">(strain#:023828), CC011/UncJ (strain#018854), CC030/GeniUncJ</w:t>
      </w:r>
      <w:r>
        <w:t xml:space="preserve"> </w:t>
      </w:r>
      <w:r>
        <w:t xml:space="preserve">(strain#:025426), CC002/UncJ (strain#:021236), CC051/TauUncJ</w:t>
      </w:r>
      <w:r>
        <w:t xml:space="preserve"> </w:t>
      </w:r>
      <w:r>
        <w:t xml:space="preserve">(strain#:021897), CC019/TauUncJ (strain#:CC019), CC027/GeniUncJ</w:t>
      </w:r>
      <w:r>
        <w:t xml:space="preserve"> </w:t>
      </w:r>
      <w:r>
        <w:t xml:space="preserve">(strain#:025130), CC012/GeniUncJ (strain#:028409), CC024/GeniUncJ</w:t>
      </w:r>
      <w:r>
        <w:t xml:space="preserve"> </w:t>
      </w:r>
      <w:r>
        <w:t xml:space="preserve">(strain#:021891), CC075/UncJ (strain#:027293), CC005/TauUncJ</w:t>
      </w:r>
      <w:r>
        <w:t xml:space="preserve"> </w:t>
      </w:r>
      <w:r>
        <w:t xml:space="preserve">(strain#:020945), CC059/TauUncJ (strain#:025125), CC001/UncJ</w:t>
      </w:r>
      <w:r>
        <w:t xml:space="preserve"> </w:t>
      </w:r>
      <w:r>
        <w:t xml:space="preserve">(strain#:021238), CC042/GeniUncJ (strain#:020947), CC040/TauUncJ</w:t>
      </w:r>
      <w:r>
        <w:t xml:space="preserve"> </w:t>
      </w:r>
      <w:r>
        <w:t xml:space="preserve">(strain#:023831), CC004/TauUncJ (strain#:020944), CC009/UncJ</w:t>
      </w:r>
      <w:r>
        <w:t xml:space="preserve"> </w:t>
      </w:r>
      <w:r>
        <w:t xml:space="preserve">(strain#:018856), CC013/GeniUncJ (strain#:021892), and CC060/UncJ</w:t>
      </w:r>
      <w:r>
        <w:t xml:space="preserve"> </w:t>
      </w:r>
      <w:r>
        <w:t xml:space="preserve">(strain#:026427). Counts of male and female mice in each strain are</w:t>
      </w:r>
      <w:r>
        <w:t xml:space="preserve"> </w:t>
      </w:r>
      <w:r>
        <w:t xml:space="preserve">available in the supplementary file CC-RIX_strain_table.txt. All DO</w:t>
      </w:r>
      <w:r>
        <w:t xml:space="preserve"> </w:t>
      </w:r>
      <w:r>
        <w:t xml:space="preserve">mice were maintained on a high-fat, high-sugar diet. The CC-RIX mice</w:t>
      </w:r>
      <w:r>
        <w:t xml:space="preserve"> </w:t>
      </w:r>
      <w:r>
        <w:t xml:space="preserve">were randomized to a high-fat or a low-fat diet. The diets were</w:t>
      </w:r>
      <w:r>
        <w:t xml:space="preserve"> </w:t>
      </w:r>
      <w:r>
        <w:t xml:space="preserve">different colors, so blinding was not possible. CC-RIX mice were</w:t>
      </w:r>
      <w:r>
        <w:t xml:space="preserve"> </w:t>
      </w:r>
      <w:r>
        <w:t xml:space="preserve">sacrificed in a 6-month cohort and a 12-month cohort. In the DO</w:t>
      </w:r>
      <w:r>
        <w:t xml:space="preserve"> </w:t>
      </w:r>
      <w:r>
        <w:t xml:space="preserve">population, we used sex, DO generation, and DO wave as covariates in all</w:t>
      </w:r>
      <w:r>
        <w:t xml:space="preserve"> </w:t>
      </w:r>
      <w:r>
        <w:t xml:space="preserve">statistical tests. In the CC-RIX population, we used diet, sex, and age</w:t>
      </w:r>
      <w:r>
        <w:t xml:space="preserve"> </w:t>
      </w:r>
      <w:r>
        <w:t xml:space="preserve">as covariates in all statistical tests. We did not investiagate</w:t>
      </w:r>
      <w:r>
        <w:t xml:space="preserve"> </w:t>
      </w:r>
      <w:r>
        <w:t xml:space="preserve">sex-specific effects on genetic architecture in order to maximize power</w:t>
      </w:r>
      <w:r>
        <w:t xml:space="preserve"> </w:t>
      </w:r>
      <w:r>
        <w:t xml:space="preserve">and generalizability, as well as to simplify the overall analysis.</w:t>
      </w:r>
      <w:r>
        <w:t xml:space="preserve"> </w:t>
      </w:r>
      <w:r>
        <w:t xml:space="preserve">CC-RIX animals were randomly assigned to housing and diets based on</w:t>
      </w:r>
      <w:r>
        <w:t xml:space="preserve"> </w:t>
      </w:r>
      <w:r>
        <w:t xml:space="preserve">litters with multiple litters in each group. While undergoing metabolic</w:t>
      </w:r>
      <w:r>
        <w:t xml:space="preserve"> </w:t>
      </w:r>
      <w:r>
        <w:t xml:space="preserve">phenotyping animals were randomly assigned an order for testing. Sample</w:t>
      </w:r>
      <w:r>
        <w:t xml:space="preserve"> </w:t>
      </w:r>
      <w:r>
        <w:t xml:space="preserve">sizes were determined using statistical rules of thumb</w:t>
      </w:r>
      <w:r>
        <w:rPr>
          <w:vertAlign w:val="superscript"/>
        </w:rPr>
        <w:t xml:space="preserve">72</w:t>
      </w:r>
      <w:r>
        <w:t xml:space="preserve">. We included at least four biological</w:t>
      </w:r>
      <w:r>
        <w:t xml:space="preserve"> </w:t>
      </w:r>
      <w:r>
        <w:t xml:space="preserve">replicates that were tested over multiple months to increase replication</w:t>
      </w:r>
      <w:r>
        <w:t xml:space="preserve"> </w:t>
      </w:r>
      <w:r>
        <w:t xml:space="preserve">power. No data were excluded. Further experimental details and</w:t>
      </w:r>
      <w:r>
        <w:t xml:space="preserve"> </w:t>
      </w:r>
      <w:r>
        <w:t xml:space="preserve">statistical testing are described individually in the following Methods</w:t>
      </w:r>
      <w:r>
        <w:t xml:space="preserve"> </w:t>
      </w:r>
      <w:r>
        <w:t xml:space="preserve">sections.</w:t>
      </w:r>
    </w:p>
    <w:bookmarkEnd w:id="37"/>
    <w:bookmarkStart w:id="46" w:name="diversity-outbred-mice"/>
    <w:p>
      <w:pPr>
        <w:pStyle w:val="Heading3"/>
      </w:pPr>
      <w:r>
        <w:t xml:space="preserve">Diversity Outbred Mice</w:t>
      </w:r>
    </w:p>
    <w:p>
      <w:pPr>
        <w:pStyle w:val="FirstParagraph"/>
      </w:pPr>
      <w:r>
        <w:t xml:space="preserve">Mice were maintained and treated in accordance with the guidelines</w:t>
      </w:r>
      <w:r>
        <w:t xml:space="preserve"> </w:t>
      </w:r>
      <w:r>
        <w:t xml:space="preserve">approved by the Department of Biochemistry animal vivarium at the</w:t>
      </w:r>
      <w:r>
        <w:t xml:space="preserve"> </w:t>
      </w:r>
      <w:r>
        <w:t xml:space="preserve">University of Wisconsin. Animal husbandry and in vivo phenotyping</w:t>
      </w:r>
      <w:r>
        <w:t xml:space="preserve"> </w:t>
      </w:r>
      <w:r>
        <w:t xml:space="preserve">methods were previously published are are described briefly below</w:t>
      </w:r>
      <w:r>
        <w:rPr>
          <w:vertAlign w:val="superscript"/>
        </w:rPr>
        <w:t xml:space="preserve">12,28</w:t>
      </w:r>
      <w:r>
        <w:t xml:space="preserve">.</w:t>
      </w:r>
    </w:p>
    <w:p>
      <w:pPr>
        <w:pStyle w:val="BodyText"/>
      </w:pPr>
      <w:r>
        <w:t xml:space="preserve">A population of 482 diversity outbred mice (split evenly between male</w:t>
      </w:r>
      <w:r>
        <w:t xml:space="preserve"> </w:t>
      </w:r>
      <w:r>
        <w:t xml:space="preserve">and female) from generations 18, 19, and 21, was placed on a high-fat</w:t>
      </w:r>
      <w:r>
        <w:t xml:space="preserve"> </w:t>
      </w:r>
      <w:r>
        <w:t xml:space="preserve">(44.6% kcal fat), high-sugar (34% carbohydrate), adequate protein</w:t>
      </w:r>
      <w:r>
        <w:t xml:space="preserve"> </w:t>
      </w:r>
      <w:r>
        <w:t xml:space="preserve">(17.3% protein) diet from Envigo Teklad (catalog number TD.08811)</w:t>
      </w:r>
      <w:r>
        <w:t xml:space="preserve"> </w:t>
      </w:r>
      <w:r>
        <w:t xml:space="preserve">starting at four weeks of age as described previously</w:t>
      </w:r>
      <w:r>
        <w:rPr>
          <w:vertAlign w:val="superscript"/>
        </w:rPr>
        <w:t xml:space="preserve">12</w:t>
      </w:r>
      <w:r>
        <w:t xml:space="preserve">. Individuals were assessed longitudinally for</w:t>
      </w:r>
      <w:r>
        <w:t xml:space="preserve"> </w:t>
      </w:r>
      <w:r>
        <w:t xml:space="preserve">multiple metabolic measures including fasting glucose levels, glucose</w:t>
      </w:r>
      <w:r>
        <w:t xml:space="preserve"> </w:t>
      </w:r>
      <w:r>
        <w:t xml:space="preserve">tolerance, insulin levels, body weight, and blood lipid levels.</w:t>
      </w:r>
    </w:p>
    <w:p>
      <w:pPr>
        <w:pStyle w:val="BodyText"/>
      </w:pPr>
      <w:r>
        <w:t xml:space="preserve">When mice were harvested at 22 weeks of age, their pancreatic islets</w:t>
      </w:r>
      <w:r>
        <w:t xml:space="preserve"> </w:t>
      </w:r>
      <w:r>
        <w:t xml:space="preserve">were isolated by hand. Insulin per islet was measured, and whole</w:t>
      </w:r>
      <w:r>
        <w:t xml:space="preserve"> </w:t>
      </w:r>
      <w:r>
        <w:t xml:space="preserve">pancreas insulin content was calculated from the insulin per islet</w:t>
      </w:r>
      <w:r>
        <w:t xml:space="preserve"> </w:t>
      </w:r>
      <w:r>
        <w:t xml:space="preserve">measure and the total numer of islets per pancreas</w:t>
      </w:r>
      <w:r>
        <w:rPr>
          <w:vertAlign w:val="superscript"/>
        </w:rPr>
        <w:t xml:space="preserve">12</w:t>
      </w:r>
      <w:r>
        <w:t xml:space="preserve">.</w:t>
      </w:r>
      <w:r>
        <w:t xml:space="preserve"> </w:t>
      </w:r>
      <w:r>
        <w:t xml:space="preserve">RNA was isolated from the whole islets and sent to The Jackson</w:t>
      </w:r>
      <w:r>
        <w:t xml:space="preserve"> </w:t>
      </w:r>
      <w:r>
        <w:t xml:space="preserve">Laboratory for high-throughput sequencing</w:t>
      </w:r>
      <w:r>
        <w:rPr>
          <w:vertAlign w:val="superscript"/>
        </w:rPr>
        <w:t xml:space="preserve">12</w:t>
      </w:r>
      <w:r>
        <w:t xml:space="preserve">.</w:t>
      </w:r>
    </w:p>
    <w:bookmarkStart w:id="38" w:name="trait-measurements"/>
    <w:p>
      <w:pPr>
        <w:pStyle w:val="Heading4"/>
      </w:pPr>
      <w:r>
        <w:t xml:space="preserve">Trait measurements</w:t>
      </w:r>
    </w:p>
    <w:p>
      <w:pPr>
        <w:pStyle w:val="FirstParagraph"/>
      </w:pPr>
      <w:r>
        <w:t xml:space="preserve">Trait measurements were described previously in Keller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2018</w:t>
      </w:r>
      <w:r>
        <w:rPr>
          <w:vertAlign w:val="superscript"/>
        </w:rPr>
        <w:t xml:space="preserve">12</w:t>
      </w:r>
      <w:r>
        <w:t xml:space="preserve">. Briefly, body weight was measured every two</w:t>
      </w:r>
      <w:r>
        <w:t xml:space="preserve"> </w:t>
      </w:r>
      <w:r>
        <w:t xml:space="preserve">weeks, and 4-hour fasting plasma samples were collected to measure</w:t>
      </w:r>
      <w:r>
        <w:t xml:space="preserve"> </w:t>
      </w:r>
      <w:r>
        <w:t xml:space="preserve">insulin, glucose, and triglycerides (TG). At around 18 weeks of age, an</w:t>
      </w:r>
      <w:r>
        <w:t xml:space="preserve"> </w:t>
      </w:r>
      <w:r>
        <w:t xml:space="preserve">oral glucose tolerance test (oGTT) was conducted on 4-hour fasted mice</w:t>
      </w:r>
      <w:r>
        <w:t xml:space="preserve"> </w:t>
      </w:r>
      <w:r>
        <w:t xml:space="preserve">to assess changes in plasma insulin and glucose. Glucose (2 g/kg) was</w:t>
      </w:r>
      <w:r>
        <w:t xml:space="preserve"> </w:t>
      </w:r>
      <w:r>
        <w:t xml:space="preserve">given via oral gavage. Blood samples were taken from a retro-orbital</w:t>
      </w:r>
      <w:r>
        <w:t xml:space="preserve"> </w:t>
      </w:r>
      <w:r>
        <w:t xml:space="preserve">bleed before glucose administration, and at 5, 15, 30, 60, and 120</w:t>
      </w:r>
      <w:r>
        <w:t xml:space="preserve"> </w:t>
      </w:r>
      <w:r>
        <w:t xml:space="preserve">minutes afterward. The area under the curve (AUC) was calculated for</w:t>
      </w:r>
      <w:r>
        <w:t xml:space="preserve"> </w:t>
      </w:r>
      <w:r>
        <w:t xml:space="preserve">glucose and insulin. Glucose was measured using the glucose oxidase</w:t>
      </w:r>
      <w:r>
        <w:t xml:space="preserve"> </w:t>
      </w:r>
      <w:r>
        <w:t xml:space="preserve">method, and insulin was measured by radioimmunoassay.</w:t>
      </w:r>
    </w:p>
    <w:p>
      <w:pPr>
        <w:pStyle w:val="BodyText"/>
      </w:pPr>
      <w:r>
        <w:t xml:space="preserve">HOMA-IR and HOMA-B, which are homeostatic model assessments of insulin</w:t>
      </w:r>
      <w:r>
        <w:t xml:space="preserve"> </w:t>
      </w:r>
      <w:r>
        <w:t xml:space="preserve">resistance (IR) and pancreatic islet function (B), were calculated using</w:t>
      </w:r>
      <w:r>
        <w:t xml:space="preserve"> </w:t>
      </w:r>
      <w:r>
        <w:t xml:space="preserve">fasting plasma glucose and insulin values at the start of the oGTT.</w:t>
      </w:r>
      <w:r>
        <w:t xml:space="preserve"> </w:t>
      </w:r>
      <w:r>
        <w:t xml:space="preserve">HOMA-IR = (glucose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405 and HOMA-B = (360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(glucose - 63). Plasma glucose and insulin units</w:t>
      </w:r>
      <w:r>
        <w:t xml:space="preserve"> </w:t>
      </w:r>
      <w:r>
        <w:t xml:space="preserve">are mg/dL and mU/L, respectively.</w:t>
      </w:r>
    </w:p>
    <w:bookmarkEnd w:id="38"/>
    <w:bookmarkStart w:id="40" w:name="genotyping"/>
    <w:p>
      <w:pPr>
        <w:pStyle w:val="Heading4"/>
      </w:pPr>
      <w:r>
        <w:t xml:space="preserve">Genotyping</w:t>
      </w:r>
    </w:p>
    <w:p>
      <w:pPr>
        <w:pStyle w:val="FirstParagraph"/>
      </w:pPr>
      <w:r>
        <w:t xml:space="preserve">Genotypes at 143,259 markers was performed using the Mouse Universal</w:t>
      </w:r>
      <w:r>
        <w:t xml:space="preserve"> </w:t>
      </w:r>
      <w:r>
        <w:t xml:space="preserve">Genotyping Array (GigaMUGA)</w:t>
      </w:r>
      <w:r>
        <w:rPr>
          <w:vertAlign w:val="superscript"/>
        </w:rPr>
        <w:t xml:space="preserve">73</w:t>
      </w:r>
      <w:r>
        <w:t xml:space="preserve"> </w:t>
      </w:r>
      <w:r>
        <w:t xml:space="preserve">at Neogen (Lincoln, NE)</w:t>
      </w:r>
      <w:r>
        <w:t xml:space="preserve"> </w:t>
      </w:r>
      <w:r>
        <w:t xml:space="preserve">as described previously</w:t>
      </w:r>
      <w:r>
        <w:rPr>
          <w:vertAlign w:val="superscript"/>
        </w:rPr>
        <w:t xml:space="preserve">12,74</w:t>
      </w:r>
      <w:r>
        <w:t xml:space="preserve">. Genotypes</w:t>
      </w:r>
      <w:r>
        <w:t xml:space="preserve"> </w:t>
      </w:r>
      <w:r>
        <w:t xml:space="preserve">were converted to founder strain-haplotype reconstructions using the</w:t>
      </w:r>
      <w:r>
        <w:t xml:space="preserve"> </w:t>
      </w:r>
      <w:r>
        <w:t xml:space="preserve">R/DOQTL software</w:t>
      </w:r>
      <w:r>
        <w:rPr>
          <w:vertAlign w:val="superscript"/>
        </w:rPr>
        <w:t xml:space="preserve">75</w:t>
      </w:r>
      <w:r>
        <w:t xml:space="preserve"> </w:t>
      </w:r>
      <w:r>
        <w:t xml:space="preserve">and interpolated onto a grid with</w:t>
      </w:r>
      <w:r>
        <w:t xml:space="preserve"> </w:t>
      </w:r>
      <w:r>
        <w:t xml:space="preserve">0.02-cM spacing to yield 69,005 pseudomarkers. Individual chromosome</w:t>
      </w:r>
      <w:r>
        <w:t xml:space="preserve"> </w:t>
      </w:r>
      <w:r>
        <w:t xml:space="preserve">(Chr) haplotypes were reconstructed from RNA-seq data using a hidden</w:t>
      </w:r>
      <w:r>
        <w:t xml:space="preserve"> </w:t>
      </w:r>
      <w:r>
        <w:t xml:space="preserve">Markov model</w:t>
      </w:r>
      <w:r>
        <w:rPr>
          <w:vertAlign w:val="superscript"/>
        </w:rPr>
        <w:t xml:space="preserve">76</w:t>
      </w:r>
      <w:r>
        <w:t xml:space="preserve"> </w:t>
      </w:r>
      <w:r>
        <w:t xml:space="preserve">(GBRS,</w:t>
      </w:r>
      <w:r>
        <w:t xml:space="preserve"> </w:t>
      </w:r>
      <w:hyperlink r:id="rId39">
        <w:r>
          <w:rPr>
            <w:rStyle w:val="Hyperlink"/>
          </w:rPr>
          <w:t xml:space="preserve">https://github.com/churchill-lab/gbrs</w:t>
        </w:r>
      </w:hyperlink>
      <w:r>
        <w:t xml:space="preserve">). Using both methods to call</w:t>
      </w:r>
      <w:r>
        <w:t xml:space="preserve"> </w:t>
      </w:r>
      <w:r>
        <w:t xml:space="preserve">haplotypes provided redundancy for quality control. Three mice had</w:t>
      </w:r>
      <w:r>
        <w:t xml:space="preserve"> </w:t>
      </w:r>
      <w:r>
        <w:t xml:space="preserve">inconsistent calls between the two methods and were excluded from the</w:t>
      </w:r>
      <w:r>
        <w:t xml:space="preserve"> </w:t>
      </w:r>
      <w:r>
        <w:t xml:space="preserve">analysis</w:t>
      </w:r>
      <w:r>
        <w:rPr>
          <w:vertAlign w:val="superscript"/>
        </w:rPr>
        <w:t xml:space="preserve">12</w:t>
      </w:r>
      <w:r>
        <w:t xml:space="preserve">.</w:t>
      </w:r>
    </w:p>
    <w:bookmarkEnd w:id="40"/>
    <w:bookmarkStart w:id="42" w:name="trait-selection-in-do"/>
    <w:p>
      <w:pPr>
        <w:pStyle w:val="Heading4"/>
      </w:pPr>
      <w:r>
        <w:t xml:space="preserve">Trait selection in DO</w:t>
      </w:r>
    </w:p>
    <w:p>
      <w:pPr>
        <w:pStyle w:val="FirstParagraph"/>
      </w:pPr>
      <w:r>
        <w:t xml:space="preserve">We filtered the measured traits in this study to a set of relatively</w:t>
      </w:r>
      <w:r>
        <w:t xml:space="preserve"> </w:t>
      </w:r>
      <w:r>
        <w:t xml:space="preserve">non-redundant measures that were well-represented in the population</w:t>
      </w:r>
      <w:r>
        <w:t xml:space="preserve"> </w:t>
      </w:r>
      <w:r>
        <w:t xml:space="preserve">(having at least 80% of individuals measured). A complete description</w:t>
      </w:r>
      <w:r>
        <w:t xml:space="preserve"> </w:t>
      </w:r>
      <w:r>
        <w:t xml:space="preserve">of trait filtering can be found at Figshare DOI:</w:t>
      </w:r>
      <w:r>
        <w:t xml:space="preserve"> </w:t>
      </w:r>
      <w:r>
        <w:t xml:space="preserve">10.6084/m9.figshare.27066979</w:t>
      </w:r>
      <w:r>
        <w:rPr>
          <w:vertAlign w:val="superscript"/>
        </w:rPr>
        <w:t xml:space="preserve">77</w:t>
      </w:r>
      <w:r>
        <w:t xml:space="preserve"> </w:t>
      </w:r>
      <w:r>
        <w:t xml:space="preserve">in the file Documents</w:t>
      </w:r>
      <w:r>
        <w:t xml:space="preserve"> </w:t>
      </w:r>
      <w:r>
        <w:t xml:space="preserve">&gt; 1.DO &gt; 1b.Trait_Selection.Rmd.</w:t>
      </w:r>
    </w:p>
    <w:p>
      <w:pPr>
        <w:pStyle w:val="BodyText"/>
      </w:pPr>
      <w:r>
        <w:t xml:space="preserve">We took two approaches for traits with multiple redundant measurements,</w:t>
      </w:r>
      <w:r>
        <w:t xml:space="preserve"> </w:t>
      </w:r>
      <w:r>
        <w:t xml:space="preserve">for example longitudinal body weights. In the case of longitudinal</w:t>
      </w:r>
      <w:r>
        <w:t xml:space="preserve"> </w:t>
      </w:r>
      <w:r>
        <w:t xml:space="preserve">measurements, we used the final measurement, as this was the closest</w:t>
      </w:r>
      <w:r>
        <w:t xml:space="preserve"> </w:t>
      </w:r>
      <w:r>
        <w:t xml:space="preserve">physiological measurement to the measurement of gene expression, which</w:t>
      </w:r>
      <w:r>
        <w:t xml:space="preserve"> </w:t>
      </w:r>
      <w:r>
        <w:t xml:space="preserve">was done at the end of the experiment. The labels for these traits have</w:t>
      </w:r>
      <w:r>
        <w:t xml:space="preserve"> </w:t>
      </w:r>
      <w:r>
        <w:t xml:space="preserve">the word Final appended to their name. For traits with multiple highly</w:t>
      </w:r>
      <w:r>
        <w:t xml:space="preserve"> </w:t>
      </w:r>
      <w:r>
        <w:t xml:space="preserve">related measurements, such as cholesterol, we used the first principal</w:t>
      </w:r>
      <w:r>
        <w:t xml:space="preserve"> </w:t>
      </w:r>
      <w:r>
        <w:t xml:space="preserve">component of the group of measurements. For example, we used the first</w:t>
      </w:r>
      <w:r>
        <w:t xml:space="preserve"> </w:t>
      </w:r>
      <w:r>
        <w:t xml:space="preserve">principal component of all LDL measurements as the measurement of LDL.</w:t>
      </w:r>
      <w:r>
        <w:t xml:space="preserve"> </w:t>
      </w:r>
      <w:r>
        <w:t xml:space="preserve">For each set of traits, we ensured the first principal component had the</w:t>
      </w:r>
      <w:r>
        <w:t xml:space="preserve"> </w:t>
      </w:r>
      <w:r>
        <w:t xml:space="preserve">correct sign by correlating it with the average of the traits. For</w:t>
      </w:r>
      <w:r>
        <w:t xml:space="preserve"> </w:t>
      </w:r>
      <w:r>
        <w:t xml:space="preserve">pearson correlation coefficients (</w:t>
      </w:r>
      <m:oMath>
        <m:r>
          <m:t>r</m:t>
        </m:r>
      </m:oMath>
      <w:r>
        <w:t xml:space="preserve">) less than 0, we multiplied the</w:t>
      </w:r>
      <w:r>
        <w:t xml:space="preserve"> </w:t>
      </w:r>
      <w:r>
        <w:t xml:space="preserve">principal component by -1. The labels for these traits have the term PC1</w:t>
      </w:r>
      <w:r>
        <w:t xml:space="preserve"> </w:t>
      </w:r>
      <w:r>
        <w:t xml:space="preserve">appended to their name.</w:t>
      </w:r>
    </w:p>
    <w:p>
      <w:pPr>
        <w:pStyle w:val="BodyText"/>
      </w:pPr>
      <w:r>
        <w:t xml:space="preserve">Heritability of each trait was estimates using the R package qtl2</w:t>
      </w:r>
      <w:r>
        <w:rPr>
          <w:vertAlign w:val="superscript"/>
        </w:rPr>
        <w:t xml:space="preserve">34</w:t>
      </w:r>
      <w:r>
        <w:t xml:space="preserve">. Standard errors of heritability were estimated</w:t>
      </w:r>
      <w:r>
        <w:t xml:space="preserve"> </w:t>
      </w:r>
      <w:r>
        <w:t xml:space="preserve">using a purpose-built function by Karl Broman available on</w:t>
      </w:r>
      <w:r>
        <w:t xml:space="preserve"> </w:t>
      </w:r>
      <w:r>
        <w:t xml:space="preserve">(GitHub)</w:t>
      </w:r>
      <w:r>
        <w:t xml:space="preserve">[</w:t>
      </w:r>
      <w:hyperlink r:id="rId41">
        <w:r>
          <w:rPr>
            <w:rStyle w:val="Hyperlink"/>
          </w:rPr>
          <w:t xml:space="preserve">https://github.com/rqtl/qtl2/issues/193</w:t>
        </w:r>
      </w:hyperlink>
      <w:r>
        <w:t xml:space="preserve">]</w:t>
      </w:r>
      <w:r>
        <w:t xml:space="preserve">. This method</w:t>
      </w:r>
      <w:r>
        <w:t xml:space="preserve"> </w:t>
      </w:r>
      <w:r>
        <w:t xml:space="preserve">is based on equation 2 in Visscher and Goddard</w:t>
      </w:r>
      <w:r>
        <w:t xml:space="preserve"> </w:t>
      </w:r>
      <w:r>
        <w:t xml:space="preserve">(2015)</w:t>
      </w:r>
      <w:r>
        <w:rPr>
          <w:vertAlign w:val="superscript"/>
        </w:rPr>
        <w:t xml:space="preserve">78</w:t>
      </w:r>
      <w:r>
        <w:t xml:space="preserve">.</w:t>
      </w:r>
    </w:p>
    <w:bookmarkEnd w:id="42"/>
    <w:bookmarkStart w:id="45" w:name="processed-do-data"/>
    <w:p>
      <w:pPr>
        <w:pStyle w:val="Heading4"/>
      </w:pPr>
      <w:r>
        <w:t xml:space="preserve">Processed DO Data</w:t>
      </w:r>
    </w:p>
    <w:p>
      <w:pPr>
        <w:pStyle w:val="FirstParagraph"/>
      </w:pPr>
      <w:r>
        <w:t xml:space="preserve">The DO data used in this study were generated in a previous</w:t>
      </w:r>
      <w:r>
        <w:t xml:space="preserve"> </w:t>
      </w:r>
      <w:r>
        <w:t xml:space="preserve">study</w:t>
      </w:r>
      <w:r>
        <w:rPr>
          <w:vertAlign w:val="superscript"/>
        </w:rPr>
        <w:t xml:space="preserve">12,28</w:t>
      </w:r>
      <w:r>
        <w:t xml:space="preserve">. We downloaded genotypes,</w:t>
      </w:r>
      <w:r>
        <w:t xml:space="preserve"> </w:t>
      </w:r>
      <w:r>
        <w:t xml:space="preserve">phenotypes, and pancreatic islet gene expression data from</w:t>
      </w:r>
      <w:r>
        <w:t xml:space="preserve"> </w:t>
      </w:r>
      <w:hyperlink r:id="rId43">
        <w:r>
          <w:rPr>
            <w:rStyle w:val="Hyperlink"/>
          </w:rPr>
          <w:t xml:space="preserve">Dryad</w:t>
        </w:r>
      </w:hyperlink>
      <w:r>
        <w:t xml:space="preserve"> </w:t>
      </w:r>
      <w:hyperlink r:id="rId44">
        <w:r>
          <w:rPr>
            <w:rStyle w:val="Hyperlink"/>
          </w:rPr>
          <w:t xml:space="preserve">doi:10.5061/dryad.pj105</w:t>
        </w:r>
      </w:hyperlink>
      <w:r>
        <w:rPr>
          <w:vertAlign w:val="superscript"/>
        </w:rPr>
        <w:t xml:space="preserve">79</w:t>
      </w:r>
      <w:r>
        <w:t xml:space="preserve">.</w:t>
      </w:r>
    </w:p>
    <w:bookmarkEnd w:id="45"/>
    <w:bookmarkEnd w:id="46"/>
    <w:bookmarkStart w:id="47" w:name="X273c471639e2095090719a2025faff5748fd793"/>
    <w:p>
      <w:pPr>
        <w:pStyle w:val="Heading3"/>
      </w:pPr>
      <w:r>
        <w:t xml:space="preserve">Collaborative cross recombinant inbred mice</w:t>
      </w:r>
      <w:r>
        <w:t xml:space="preserve"> </w:t>
      </w:r>
      <w:r>
        <w:t xml:space="preserve">(CC-RIX)</w:t>
      </w:r>
    </w:p>
    <w:p>
      <w:pPr>
        <w:pStyle w:val="FirstParagraph"/>
      </w:pPr>
      <w:r>
        <w:t xml:space="preserve">CC-RIX mice were derived by crossing strains of Collaborative Cross (CC)</w:t>
      </w:r>
      <w:r>
        <w:t xml:space="preserve"> </w:t>
      </w:r>
      <w:r>
        <w:t xml:space="preserve">mice to produce heterozygous F1 mice. Each strain included between 19</w:t>
      </w:r>
      <w:r>
        <w:t xml:space="preserve"> </w:t>
      </w:r>
      <w:r>
        <w:t xml:space="preserve">and 24 biological replicates. The strains used and the number of mice in</w:t>
      </w:r>
      <w:r>
        <w:t xml:space="preserve"> </w:t>
      </w:r>
      <w:r>
        <w:t xml:space="preserve">each are reported in the supplemental file CC-RIX_strain_table.txt.</w:t>
      </w:r>
    </w:p>
    <w:p>
      <w:pPr>
        <w:pStyle w:val="BodyText"/>
      </w:pPr>
      <w:r>
        <w:t xml:space="preserve">Mice were cared for and treated following the guidelines approved by the</w:t>
      </w:r>
      <w:r>
        <w:t xml:space="preserve"> </w:t>
      </w:r>
      <w:r>
        <w:t xml:space="preserve">Association for Assessment and Accreditation of Laboratory Animal Care</w:t>
      </w:r>
      <w:r>
        <w:t xml:space="preserve"> </w:t>
      </w:r>
      <w:r>
        <w:t xml:space="preserve">at The Jackson Laboratory. All animals were obtained from The Jackson</w:t>
      </w:r>
      <w:r>
        <w:t xml:space="preserve"> </w:t>
      </w:r>
      <w:r>
        <w:t xml:space="preserve">Laboratory. The mice were kept in a pathogen-free room at a temperature</w:t>
      </w:r>
      <w:r>
        <w:t xml:space="preserve"> </w:t>
      </w:r>
      <w:r>
        <w:t xml:space="preserve">ranging from 20 to</w:t>
      </w:r>
      <w:r>
        <w:t xml:space="preserve"> </w:t>
      </w:r>
      <m:oMath>
        <m:sSup>
          <m:e>
            <m:r>
              <m:t>22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with a 12-hour light/dark cycle.</w:t>
      </w:r>
      <w:r>
        <w:t xml:space="preserve"> </w:t>
      </w:r>
      <w:r>
        <w:t xml:space="preserve">Starting at 6 weeks of age, they were fed either a custom-designed</w:t>
      </w:r>
      <w:r>
        <w:t xml:space="preserve"> </w:t>
      </w:r>
      <w:r>
        <w:t xml:space="preserve">high-fat, high-sugar (HFHS) diet (Research Diets D19070208) or a control</w:t>
      </w:r>
      <w:r>
        <w:t xml:space="preserve"> </w:t>
      </w:r>
      <w:r>
        <w:t xml:space="preserve">diet (Research Diets D19072203)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libitum</w:t>
      </w:r>
      <w:r>
        <w:t xml:space="preserve">. Body weight was measured weekly until the mice were about 16</w:t>
      </w:r>
      <w:r>
        <w:t xml:space="preserve"> </w:t>
      </w:r>
      <w:r>
        <w:t xml:space="preserve">weeks old, after which measurements were taken every other week. Food</w:t>
      </w:r>
      <w:r>
        <w:t xml:space="preserve"> </w:t>
      </w:r>
      <w:r>
        <w:t xml:space="preserve">intake measurements were collected at 14 weeks, 23 weeks (for 6-month</w:t>
      </w:r>
      <w:r>
        <w:t xml:space="preserve"> </w:t>
      </w:r>
      <w:r>
        <w:t xml:space="preserve">cohorts), 26 weeks (for 12-month cohorts), 38 weeks, and 51 weeks by</w:t>
      </w:r>
      <w:r>
        <w:t xml:space="preserve"> </w:t>
      </w:r>
      <w:r>
        <w:t xml:space="preserve">weighing the grain contents in the cage over a three-day period. Fasted</w:t>
      </w:r>
      <w:r>
        <w:t xml:space="preserve"> </w:t>
      </w:r>
      <w:r>
        <w:t xml:space="preserve">serum was collected at 14 weeks, 28 weeks (for 6-month cohorts), 26</w:t>
      </w:r>
      <w:r>
        <w:t xml:space="preserve"> </w:t>
      </w:r>
      <w:r>
        <w:t xml:space="preserve">weeks (for 12-month cohorts), 38 weeks, and 56 weeks of age via</w:t>
      </w:r>
      <w:r>
        <w:t xml:space="preserve"> </w:t>
      </w:r>
      <w:r>
        <w:t xml:space="preserve">retro-orbital or submental vein. Sex, diet, and age were used as</w:t>
      </w:r>
      <w:r>
        <w:t xml:space="preserve"> </w:t>
      </w:r>
      <w:r>
        <w:t xml:space="preserve">covariates in all analyses.</w:t>
      </w:r>
    </w:p>
    <w:bookmarkEnd w:id="47"/>
    <w:bookmarkStart w:id="52" w:name="cc-rix-genotypes"/>
    <w:p>
      <w:pPr>
        <w:pStyle w:val="Heading3"/>
      </w:pPr>
      <w:r>
        <w:t xml:space="preserve">CC-RIX genotypes</w:t>
      </w:r>
    </w:p>
    <w:p>
      <w:pPr>
        <w:pStyle w:val="FirstParagraph"/>
      </w:pPr>
      <w:r>
        <w:t xml:space="preserve">We used the most recent common ancestor (MRCA) genotypes for the</w:t>
      </w:r>
      <w:r>
        <w:t xml:space="preserve"> </w:t>
      </w:r>
      <w:r>
        <w:t xml:space="preserve">Collaborative Cross (CC) mice available on the University of North</w:t>
      </w:r>
      <w:r>
        <w:t xml:space="preserve"> </w:t>
      </w:r>
      <w:r>
        <w:t xml:space="preserve">Carolina Computational Systems Biology website:</w:t>
      </w:r>
      <w:r>
        <w:t xml:space="preserve"> </w:t>
      </w:r>
      <w:hyperlink r:id="rId48">
        <w:r>
          <w:rPr>
            <w:rStyle w:val="Hyperlink"/>
          </w:rPr>
          <w:t xml:space="preserve">http://www.csbio.unc.edu/CCstatus/CCGenomes/</w:t>
        </w:r>
      </w:hyperlink>
    </w:p>
    <w:p>
      <w:pPr>
        <w:pStyle w:val="BodyText"/>
      </w:pPr>
      <w:r>
        <w:t xml:space="preserve">To generate CC-RIX genotypes, we averaged the haplotype probabilities</w:t>
      </w:r>
      <w:r>
        <w:t xml:space="preserve"> </w:t>
      </w:r>
      <w:r>
        <w:t xml:space="preserve">for the two parental strains at each locus.</w:t>
      </w:r>
    </w:p>
    <w:bookmarkStart w:id="49" w:name="clinical-chemistries"/>
    <w:p>
      <w:pPr>
        <w:pStyle w:val="Heading4"/>
      </w:pPr>
      <w:r>
        <w:t xml:space="preserve">Clinical chemistries</w:t>
      </w:r>
    </w:p>
    <w:p>
      <w:pPr>
        <w:pStyle w:val="FirstParagraph"/>
      </w:pPr>
      <w:r>
        <w:t xml:space="preserve">CC-RIX animals were fasted for four hours before serum collection via</w:t>
      </w:r>
      <w:r>
        <w:t xml:space="preserve"> </w:t>
      </w:r>
      <w:r>
        <w:t xml:space="preserve">the retro-orbital or submental vein. Whole blood was left at room</w:t>
      </w:r>
      <w:r>
        <w:t xml:space="preserve"> </w:t>
      </w:r>
      <w:r>
        <w:t xml:space="preserve">temperature for 30-60 minutes before being centrifuged for 5 minutes at</w:t>
      </w:r>
      <w:r>
        <w:t xml:space="preserve"> </w:t>
      </w:r>
      <w:r>
        <w:t xml:space="preserve">12,500 RPM. The serum was then tested for glucose (Beckman Coulter;</w:t>
      </w:r>
      <w:r>
        <w:t xml:space="preserve"> </w:t>
      </w:r>
      <w:r>
        <w:t xml:space="preserve">OSR6121), cholesterol (Beckman Coulter; OSR6116), triglycerides (Beckman</w:t>
      </w:r>
      <w:r>
        <w:t xml:space="preserve"> </w:t>
      </w:r>
      <w:r>
        <w:t xml:space="preserve">Coulter; OSR60118), insulin (MSD; K152BZC-1), or c-peptide (MSD;</w:t>
      </w:r>
      <w:r>
        <w:t xml:space="preserve"> </w:t>
      </w:r>
      <w:r>
        <w:t xml:space="preserve">K1526JK-1).</w:t>
      </w:r>
    </w:p>
    <w:bookmarkEnd w:id="49"/>
    <w:bookmarkStart w:id="50" w:name="X56a4204c795c9dc9aa70ed58c2abeff9797171f"/>
    <w:p>
      <w:pPr>
        <w:pStyle w:val="Heading4"/>
      </w:pPr>
      <w:r>
        <w:t xml:space="preserve">Intraperitoneal glucose tolerance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After a fasting period of 4-6 hours, baseline glucose measurements were</w:t>
      </w:r>
      <w:r>
        <w:t xml:space="preserve"> </w:t>
      </w:r>
      <w:r>
        <w:t xml:space="preserve">taken from CC-RIX mice using an AlphaTrak2 glucometer and test strips</w:t>
      </w:r>
      <w:r>
        <w:t xml:space="preserve"> </w:t>
      </w:r>
      <w:r>
        <w:t xml:space="preserve">(Zoetis) by making a small nick in the tail tip. A bolus intraperitoneal</w:t>
      </w:r>
      <w:r>
        <w:t xml:space="preserve"> </w:t>
      </w:r>
      <w:r>
        <w:t xml:space="preserve">injection of 20% glucose (1g/kg) was then administered, and additional</w:t>
      </w:r>
      <w:r>
        <w:t xml:space="preserve"> </w:t>
      </w:r>
      <w:r>
        <w:t xml:space="preserve">tail tip nicks were performed at 15, 30, 60, and 120 minutes</w:t>
      </w:r>
      <w:r>
        <w:t xml:space="preserve"> </w:t>
      </w:r>
      <w:r>
        <w:t xml:space="preserve">post-injection to measure glucose levels.</w:t>
      </w:r>
    </w:p>
    <w:bookmarkEnd w:id="50"/>
    <w:bookmarkStart w:id="51" w:name="bulk-tissue-collection"/>
    <w:p>
      <w:pPr>
        <w:pStyle w:val="Heading4"/>
      </w:pPr>
      <w:r>
        <w:t xml:space="preserve">Bulk tissue collection</w:t>
      </w:r>
    </w:p>
    <w:p>
      <w:pPr>
        <w:pStyle w:val="FirstParagraph"/>
      </w:pPr>
      <w:r>
        <w:t xml:space="preserve">At either 28 weeks of age (for the 6-month cohort) or 56 weeks of age</w:t>
      </w:r>
      <w:r>
        <w:t xml:space="preserve"> </w:t>
      </w:r>
      <w:r>
        <w:t xml:space="preserve">(for the 12-month cohort), CC-RIX animals were humanely euthanized by</w:t>
      </w:r>
      <w:r>
        <w:t xml:space="preserve"> </w:t>
      </w:r>
      <w:r>
        <w:t xml:space="preserve">cervical dislocation. Tissues, including adipose, gastrocnemius, and the</w:t>
      </w:r>
      <w:r>
        <w:t xml:space="preserve"> </w:t>
      </w:r>
      <w:r>
        <w:t xml:space="preserve">left liver lobe, were harvested and flash-frozen in liquid nitrogen for</w:t>
      </w:r>
      <w:r>
        <w:t xml:space="preserve"> </w:t>
      </w:r>
      <w:r>
        <w:t xml:space="preserve">RNA sequencing.</w:t>
      </w:r>
    </w:p>
    <w:bookmarkEnd w:id="51"/>
    <w:bookmarkEnd w:id="52"/>
    <w:bookmarkStart w:id="53" w:name="whole-pancreas-insulin-content"/>
    <w:p>
      <w:pPr>
        <w:pStyle w:val="Heading3"/>
      </w:pPr>
      <w:r>
        <w:t xml:space="preserve">Whole Pancreas Insulin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The animals were humanely euthanized at 16 weeks of age and the entire</w:t>
      </w:r>
      <w:r>
        <w:t xml:space="preserve"> </w:t>
      </w:r>
      <w:r>
        <w:t xml:space="preserve">pancreas was removed, ensuring no excess fat or mesentery tissue was</w:t>
      </w:r>
      <w:r>
        <w:t xml:space="preserve"> </w:t>
      </w:r>
      <w:r>
        <w:t xml:space="preserve">included. The pancreas tissue was placed in a pre-weighed 20 mL glass</w:t>
      </w:r>
      <w:r>
        <w:t xml:space="preserve"> </w:t>
      </w:r>
      <w:r>
        <w:t xml:space="preserve">scintillation vial containing acid ethanol (75% HPLC grade ethanol</w:t>
      </w:r>
      <w:r>
        <w:t xml:space="preserve"> </w:t>
      </w:r>
      <w:r>
        <w:t xml:space="preserve">(ThermoFisher; A995-4), 1.5% concentrated hydrochloric acid</w:t>
      </w:r>
      <w:r>
        <w:t xml:space="preserve"> </w:t>
      </w:r>
      <w:r>
        <w:t xml:space="preserve">(ThermoFisher; A144-212) in distilled water). The weight of the pancreas</w:t>
      </w:r>
      <w:r>
        <w:t xml:space="preserve"> </w:t>
      </w:r>
      <w:r>
        <w:t xml:space="preserve">was measured for normalization. Using curved scissors, the pancreas was</w:t>
      </w:r>
      <w:r>
        <w:t xml:space="preserve"> </w:t>
      </w:r>
      <w:r>
        <w:t xml:space="preserve">chopped for four minutes, and the samples were stored at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until all animals were harvested. For insulin</w:t>
      </w:r>
      <w:r>
        <w:t xml:space="preserve"> </w:t>
      </w:r>
      <w:r>
        <w:t xml:space="preserve">measurements, the contents of the scintillation vials were rinsed with 4</w:t>
      </w:r>
      <w:r>
        <w:t xml:space="preserve"> </w:t>
      </w:r>
      <w:r>
        <w:t xml:space="preserve">mL PBS (Roche; 1666789) with 1% BSA (Sigma; A7888), neutralized with 65</w:t>
      </w:r>
      <w:r>
        <w:t xml:space="preserve"> </w:t>
      </w:r>
      <w:r>
        <w:t xml:space="preserve">μL 10N NaOH (Fisher; SS255-1), and vortexed for 30</w:t>
      </w:r>
      <w:r>
        <w:t xml:space="preserve"> </w:t>
      </w:r>
      <w:r>
        <w:t xml:space="preserve">seconds. The samples were then centrifuged at</w:t>
      </w:r>
      <w:r>
        <w:t xml:space="preserve"> </w:t>
      </w:r>
      <m:oMath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5</w:t>
      </w:r>
      <w:r>
        <w:t xml:space="preserve"> </w:t>
      </w:r>
      <w:r>
        <w:t xml:space="preserve">minutes at 2,000 RPM. The samples were diluted 5000X in PBS with 1%</w:t>
      </w:r>
      <w:r>
        <w:t xml:space="preserve"> </w:t>
      </w:r>
      <w:r>
        <w:t xml:space="preserve">BSA, and insulin was measured (MSD; K152BZC-1).</w:t>
      </w:r>
    </w:p>
    <w:bookmarkEnd w:id="53"/>
    <w:bookmarkStart w:id="54" w:name="rna-isolation-and-qc"/>
    <w:p>
      <w:pPr>
        <w:pStyle w:val="Heading3"/>
      </w:pPr>
      <w:r>
        <w:t xml:space="preserve">RNA isolation and QC</w:t>
      </w:r>
    </w:p>
    <w:p>
      <w:pPr>
        <w:pStyle w:val="FirstParagraph"/>
      </w:pPr>
      <w:r>
        <w:t xml:space="preserve">RNA from both DO and CC-RIX adipose, gastrocnemius, and left liver lobe</w:t>
      </w:r>
      <w:r>
        <w:t xml:space="preserve"> </w:t>
      </w:r>
      <w:r>
        <w:t xml:space="preserve">tissues was isolated using the MagMAX mirVana Total RNA Isolation Kit</w:t>
      </w:r>
      <w:r>
        <w:t xml:space="preserve"> </w:t>
      </w:r>
      <w:r>
        <w:t xml:space="preserve">(ThermoFisher; A27828) and the KingFisher Flex purification system</w:t>
      </w:r>
      <w:r>
        <w:t xml:space="preserve"> </w:t>
      </w:r>
      <w:r>
        <w:t xml:space="preserve">(ThermoFisher; 5400610). The frozen tissues were pulverized with a</w:t>
      </w:r>
      <w:r>
        <w:t xml:space="preserve"> </w:t>
      </w:r>
      <w:r>
        <w:t xml:space="preserve">Bessman Tissue Pulverizer (Spectrum Chemical) and homogenized in</w:t>
      </w:r>
      <w:r>
        <w:t xml:space="preserve"> </w:t>
      </w:r>
      <w:r>
        <w:t xml:space="preserve">TRIzol</w:t>
      </w:r>
      <w:r>
        <w:t xml:space="preserve"> </w:t>
      </w:r>
      <w:r>
        <w:t xml:space="preserve">Reagent (ThermoFisher; 15596026)</w:t>
      </w:r>
      <w:r>
        <w:t xml:space="preserve"> </w:t>
      </w:r>
      <w:r>
        <w:t xml:space="preserve">using a gentleMACS dissociator (Miltenyi Biotec Inc). After adding</w:t>
      </w:r>
      <w:r>
        <w:t xml:space="preserve"> </w:t>
      </w:r>
      <w:r>
        <w:t xml:space="preserve">chloroform to the TRIzol homogenate, the RNA-containing aqueous layer</w:t>
      </w:r>
      <w:r>
        <w:t xml:space="preserve"> </w:t>
      </w:r>
      <w:r>
        <w:t xml:space="preserve">was extracted for RNA isolation, following the manufacturer’s protocol,</w:t>
      </w:r>
      <w:r>
        <w:t xml:space="preserve"> </w:t>
      </w:r>
      <w:r>
        <w:t xml:space="preserve">starting with the RNA bead binding step using the RNeasy Mini kit</w:t>
      </w:r>
      <w:r>
        <w:t xml:space="preserve"> </w:t>
      </w:r>
      <w:r>
        <w:t xml:space="preserve">(Qiagen; 74104). RNA concentrations and quality were assessed using the</w:t>
      </w:r>
      <w:r>
        <w:t xml:space="preserve"> </w:t>
      </w:r>
      <w:r>
        <w:t xml:space="preserve">Nanodrop 8000 spectrophotometer (Thermo Scientific) and the RNA 6000</w:t>
      </w:r>
      <w:r>
        <w:t xml:space="preserve"> </w:t>
      </w:r>
      <w:r>
        <w:t xml:space="preserve">Pico or RNA ScreenTape assay (Agilent Technologies).</w:t>
      </w:r>
    </w:p>
    <w:bookmarkEnd w:id="54"/>
    <w:bookmarkStart w:id="55" w:name="library-construction"/>
    <w:p>
      <w:pPr>
        <w:pStyle w:val="Heading3"/>
      </w:pPr>
      <w:r>
        <w:t xml:space="preserve">Library construction</w:t>
      </w:r>
    </w:p>
    <w:p>
      <w:pPr>
        <w:pStyle w:val="FirstParagraph"/>
      </w:pPr>
      <w:r>
        <w:t xml:space="preserve">Before library construction, 2 μL of diluted (1:1000)</w:t>
      </w:r>
      <w:r>
        <w:t xml:space="preserve"> </w:t>
      </w:r>
      <w:r>
        <w:t xml:space="preserve">ERCC Spike-in Control Mix 1 (ThermoFisher; 4456740) was added to 100 ng</w:t>
      </w:r>
      <w:r>
        <w:t xml:space="preserve"> </w:t>
      </w:r>
      <w:r>
        <w:t xml:space="preserve">of each RNA sample. Libraries were then constructed using the KAPA mRNA</w:t>
      </w:r>
      <w:r>
        <w:t xml:space="preserve"> </w:t>
      </w:r>
      <w:r>
        <w:t xml:space="preserve">HyperPrep Kit (Roche Sequencing Store; KK8580) following the</w:t>
      </w:r>
      <w:r>
        <w:t xml:space="preserve"> </w:t>
      </w:r>
      <w:r>
        <w:t xml:space="preserve">manufacturer’s protocol. The process involves isolating polyA-containing</w:t>
      </w:r>
      <w:r>
        <w:t xml:space="preserve"> </w:t>
      </w:r>
      <w:r>
        <w:t xml:space="preserve">mRNA using oligo-dT magnetic beads, fragmenting the RNA, synthesizing</w:t>
      </w:r>
      <w:r>
        <w:t xml:space="preserve"> </w:t>
      </w:r>
      <w:r>
        <w:t xml:space="preserve">the first and second strands of cDNA, ligating Illumina-specific</w:t>
      </w:r>
      <w:r>
        <w:t xml:space="preserve"> </w:t>
      </w:r>
      <w:r>
        <w:t xml:space="preserve">adapters with unique barcode sequences for each library, and performing</w:t>
      </w:r>
      <w:r>
        <w:t xml:space="preserve"> </w:t>
      </w:r>
      <w:r>
        <w:t xml:space="preserve">PCR amplification. The quality and concentration of the libraries were</w:t>
      </w:r>
      <w:r>
        <w:t xml:space="preserve"> </w:t>
      </w:r>
      <w:r>
        <w:t xml:space="preserve">evaluated using the D5000 ScreenTape (Agilent Technologies) and the</w:t>
      </w:r>
      <w:r>
        <w:t xml:space="preserve"> </w:t>
      </w:r>
      <w:r>
        <w:t xml:space="preserve">Qubit dsDNA HS Assay (ThermoFisher; Q32851), respectively, according to</w:t>
      </w:r>
      <w:r>
        <w:t xml:space="preserve"> </w:t>
      </w:r>
      <w:r>
        <w:t xml:space="preserve">the manufacturers’ instructions.</w:t>
      </w:r>
    </w:p>
    <w:bookmarkEnd w:id="55"/>
    <w:bookmarkStart w:id="56" w:name="sequencing"/>
    <w:p>
      <w:pPr>
        <w:pStyle w:val="Heading3"/>
      </w:pPr>
      <w:r>
        <w:t xml:space="preserve">Sequencing</w:t>
      </w:r>
    </w:p>
    <w:p>
      <w:pPr>
        <w:pStyle w:val="FirstParagraph"/>
      </w:pPr>
      <w:r>
        <w:t xml:space="preserve">Libraries were sequenced on an Illumina NovaSeq 6000 using the S4</w:t>
      </w:r>
      <w:r>
        <w:t xml:space="preserve"> </w:t>
      </w:r>
      <w:r>
        <w:t xml:space="preserve">Reagent Kit (Illumina; 20028312). All tissues underwent 100 bp</w:t>
      </w:r>
      <w:r>
        <w:t xml:space="preserve"> </w:t>
      </w:r>
      <w:r>
        <w:t xml:space="preserve">paired-end sequencing, aiming for a target read depth of 30 million read</w:t>
      </w:r>
      <w:r>
        <w:t xml:space="preserve"> </w:t>
      </w:r>
      <w:r>
        <w:t xml:space="preserve">pairs.</w:t>
      </w:r>
    </w:p>
    <w:bookmarkEnd w:id="56"/>
    <w:bookmarkStart w:id="58" w:name="processing-of-rna-sequencing-data"/>
    <w:p>
      <w:pPr>
        <w:pStyle w:val="Heading3"/>
      </w:pPr>
      <w:r>
        <w:t xml:space="preserve">Processing of RNA sequencing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We used the Expectation-Maximization algorithm for Allele Specific</w:t>
      </w:r>
      <w:r>
        <w:t xml:space="preserve"> </w:t>
      </w:r>
      <w:r>
        <w:t xml:space="preserve">Expression (EMASE)</w:t>
      </w:r>
      <w:r>
        <w:rPr>
          <w:vertAlign w:val="superscript"/>
        </w:rPr>
        <w:t xml:space="preserve">80,81</w:t>
      </w:r>
      <w:r>
        <w:t xml:space="preserve"> </w:t>
      </w:r>
      <w:r>
        <w:t xml:space="preserve">to quantify</w:t>
      </w:r>
      <w:r>
        <w:t xml:space="preserve"> </w:t>
      </w:r>
      <w:r>
        <w:t xml:space="preserve">multi-parent allele-specific and total expression from RNA-seq data for</w:t>
      </w:r>
      <w:r>
        <w:t xml:space="preserve"> </w:t>
      </w:r>
      <w:r>
        <w:t xml:space="preserve">each tissue. EMASE was performed by the Genotype by RNA-seq (GBRS)</w:t>
      </w:r>
      <w:r>
        <w:t xml:space="preserve"> </w:t>
      </w:r>
      <w:r>
        <w:t xml:space="preserve">software package (</w:t>
      </w:r>
      <w:hyperlink r:id="rId57">
        <w:r>
          <w:rPr>
            <w:rStyle w:val="Hyperlink"/>
          </w:rPr>
          <w:t xml:space="preserve">https://gbrs.readthedocs.io/en/latest/</w:t>
        </w:r>
      </w:hyperlink>
      <w:r>
        <w:t xml:space="preserve">). In the</w:t>
      </w:r>
      <w:r>
        <w:t xml:space="preserve"> </w:t>
      </w:r>
      <w:r>
        <w:t xml:space="preserve">process, R1 and R2 FASTQ files were combined and aligned to a hybridized</w:t>
      </w:r>
      <w:r>
        <w:t xml:space="preserve"> </w:t>
      </w:r>
      <w:r>
        <w:t xml:space="preserve">(8-way) transcriptome generated for the 8 DO founder strains as</w:t>
      </w:r>
      <w:r>
        <w:t xml:space="preserve"> </w:t>
      </w:r>
      <w:r>
        <w:t xml:space="preserve">single-ended reads. GBRS was also used to reconstruct the mouse genotype</w:t>
      </w:r>
      <w:r>
        <w:t xml:space="preserve"> </w:t>
      </w:r>
      <w:r>
        <w:t xml:space="preserve">probabilities along</w:t>
      </w:r>
      <w:r>
        <w:t xml:space="preserve"> </w:t>
      </w:r>
      <m:oMath>
        <m:r>
          <m:rPr>
            <m:sty m:val="p"/>
          </m:rPr>
          <m:t>∼</m:t>
        </m:r>
        <m:r>
          <m:t>69</m:t>
        </m:r>
      </m:oMath>
      <w:r>
        <w:t xml:space="preserve">K markers, which was used for confirming</w:t>
      </w:r>
      <w:r>
        <w:t xml:space="preserve"> </w:t>
      </w:r>
      <w:r>
        <w:t xml:space="preserve">genotypes in the quality control (QC) process. For the QC process, we</w:t>
      </w:r>
      <w:r>
        <w:t xml:space="preserve"> </w:t>
      </w:r>
      <w:r>
        <w:t xml:space="preserve">used a Euclidean distances method (developed by Greg Keele - Churchill</w:t>
      </w:r>
      <w:r>
        <w:t xml:space="preserve"> </w:t>
      </w:r>
      <w:r>
        <w:t xml:space="preserve">Lab) to compare the GBRS genotype probabilities between the tissues and</w:t>
      </w:r>
      <w:r>
        <w:t xml:space="preserve"> </w:t>
      </w:r>
      <w:r>
        <w:t xml:space="preserve">the genotype probabilities array for all mice. The counts matrix for</w:t>
      </w:r>
      <w:r>
        <w:t xml:space="preserve"> </w:t>
      </w:r>
      <w:r>
        <w:t xml:space="preserve">each tissue was processed to filter out transcripts with less than one</w:t>
      </w:r>
      <w:r>
        <w:t xml:space="preserve"> </w:t>
      </w:r>
      <w:r>
        <w:t xml:space="preserve">read for at least half of the samples. RNA-seq batch effects were</w:t>
      </w:r>
      <w:r>
        <w:t xml:space="preserve"> </w:t>
      </w:r>
      <w:r>
        <w:t xml:space="preserve">removed by regressing out batch as a random effect and considering sex</w:t>
      </w:r>
      <w:r>
        <w:t xml:space="preserve"> </w:t>
      </w:r>
      <w:r>
        <w:t xml:space="preserve">and generation as fixed effects using lme4 R package</w:t>
      </w:r>
      <w:r>
        <w:rPr>
          <w:vertAlign w:val="superscript"/>
        </w:rPr>
        <w:t xml:space="preserve">82</w:t>
      </w:r>
      <w:r>
        <w:t xml:space="preserve">. RNA-Seq counts were normalized relative to total</w:t>
      </w:r>
      <w:r>
        <w:t xml:space="preserve"> </w:t>
      </w:r>
      <w:r>
        <w:t xml:space="preserve">read counts using the variance stabilizing transform (VST) as</w:t>
      </w:r>
      <w:r>
        <w:t xml:space="preserve"> </w:t>
      </w:r>
      <w:r>
        <w:t xml:space="preserve">implemented in DESeq2</w:t>
      </w:r>
      <w:r>
        <w:rPr>
          <w:vertAlign w:val="superscript"/>
        </w:rPr>
        <w:t xml:space="preserve">83</w:t>
      </w:r>
      <w:r>
        <w:t xml:space="preserve"> </w:t>
      </w:r>
      <w:r>
        <w:t xml:space="preserve">and using rank normal score.</w:t>
      </w:r>
    </w:p>
    <w:bookmarkEnd w:id="58"/>
    <w:bookmarkStart w:id="59" w:name="eqtl-analysis"/>
    <w:p>
      <w:pPr>
        <w:pStyle w:val="Heading3"/>
      </w:pPr>
      <w:r>
        <w:t xml:space="preserve">eQTL analysis</w:t>
      </w:r>
    </w:p>
    <w:p>
      <w:pPr>
        <w:pStyle w:val="FirstParagraph"/>
      </w:pPr>
      <w:r>
        <w:t xml:space="preserve">We used the R package qtl2</w:t>
      </w:r>
      <w:r>
        <w:rPr>
          <w:vertAlign w:val="superscript"/>
        </w:rPr>
        <w:t xml:space="preserve">34</w:t>
      </w:r>
      <w:r>
        <w:t xml:space="preserve"> </w:t>
      </w:r>
      <w:r>
        <w:t xml:space="preserve">to perform eQTL analysis.</w:t>
      </w:r>
      <w:r>
        <w:t xml:space="preserve"> </w:t>
      </w:r>
      <w:r>
        <w:t xml:space="preserve">We used the rank normal score data and used sex, DO generation, and DO</w:t>
      </w:r>
      <w:r>
        <w:t xml:space="preserve"> </w:t>
      </w:r>
      <w:r>
        <w:t xml:space="preserve">wave as additive covariates. We also used kinship as a random effect. We</w:t>
      </w:r>
      <w:r>
        <w:t xml:space="preserve"> </w:t>
      </w:r>
      <w:r>
        <w:t xml:space="preserve">used permutations to find a LOD threshold of eight for significant QTLs</w:t>
      </w:r>
      <w:r>
        <w:t xml:space="preserve"> </w:t>
      </w:r>
      <w:r>
        <w:t xml:space="preserve">which corresponded to a genome-wide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0.01</w:t>
      </w:r>
      <w:r>
        <w:rPr>
          <w:vertAlign w:val="superscript"/>
        </w:rPr>
        <w:t xml:space="preserve">84</w:t>
      </w:r>
      <w:r>
        <w:t xml:space="preserve">.</w:t>
      </w:r>
    </w:p>
    <w:p>
      <w:pPr>
        <w:pStyle w:val="BodyText"/>
      </w:pPr>
      <w:r>
        <w:t xml:space="preserve">To assess whether eQTL were shared across tissues, we considered</w:t>
      </w:r>
      <w:r>
        <w:t xml:space="preserve"> </w:t>
      </w:r>
      <w:r>
        <w:t xml:space="preserve">significant eQTLs within 4Mb of each other to be overlapping. We</w:t>
      </w:r>
      <w:r>
        <w:t xml:space="preserve"> </w:t>
      </w:r>
      <w:r>
        <w:t xml:space="preserve">considered local and distal eQTLs separately. Local eQTL were defined as</w:t>
      </w:r>
      <w:r>
        <w:t xml:space="preserve"> </w:t>
      </w:r>
      <w:r>
        <w:t xml:space="preserve">an eQTL within 4Mb of the transcription start site (TSS) of the encoding</w:t>
      </w:r>
      <w:r>
        <w:t xml:space="preserve"> </w:t>
      </w:r>
      <w:r>
        <w:t xml:space="preserve">gene. Distal eQTL were defined as an eQTL greater than 4Mb from the TSS</w:t>
      </w:r>
      <w:r>
        <w:t xml:space="preserve"> </w:t>
      </w:r>
      <w:r>
        <w:t xml:space="preserve">of the encoding gene.</w:t>
      </w:r>
    </w:p>
    <w:bookmarkEnd w:id="59"/>
    <w:bookmarkStart w:id="60" w:name="Xda38f81f2df94ec7e63b57244459311be571e17"/>
    <w:p>
      <w:pPr>
        <w:pStyle w:val="Heading3"/>
      </w:pPr>
      <w:r>
        <w:t xml:space="preserve">Local and distal heritability of</w:t>
      </w:r>
      <w:r>
        <w:t xml:space="preserve"> </w:t>
      </w:r>
      <w:r>
        <w:t xml:space="preserve">transcripts</w:t>
      </w:r>
    </w:p>
    <w:p>
      <w:pPr>
        <w:pStyle w:val="FirstParagraph"/>
      </w:pPr>
      <w:r>
        <w:t xml:space="preserve">To estimate local and distal heritability of each transcript, we scaled</w:t>
      </w:r>
      <w:r>
        <w:t xml:space="preserve"> </w:t>
      </w:r>
      <w:r>
        <w:t xml:space="preserve">each normalized transcript to have a variance of 1. We then modeled this</w:t>
      </w:r>
      <w:r>
        <w:t xml:space="preserve"> </w:t>
      </w:r>
      <w:r>
        <w:t xml:space="preserve">transcript with the local genotype using the fit1() function in the R</w:t>
      </w:r>
      <w:r>
        <w:t xml:space="preserve"> </w:t>
      </w:r>
      <w:r>
        <w:t xml:space="preserve">package qtl2</w:t>
      </w:r>
      <w:r>
        <w:rPr>
          <w:vertAlign w:val="superscript"/>
        </w:rPr>
        <w:t xml:space="preserve">34</w:t>
      </w:r>
      <w:r>
        <w:t xml:space="preserve">. We used the resulting model to predict</w:t>
      </w:r>
      <w:r>
        <w:t xml:space="preserve"> </w:t>
      </w:r>
      <w:r>
        <w:t xml:space="preserve">the transcript values. The variance of the predicted transcript is its</w:t>
      </w:r>
      <w:r>
        <w:t xml:space="preserve"> </w:t>
      </w:r>
      <w:r>
        <w:t xml:space="preserve">local heritability. We then estimated the heritability of the residual</w:t>
      </w:r>
      <w:r>
        <w:t xml:space="preserve"> </w:t>
      </w:r>
      <w:r>
        <w:t xml:space="preserve">of the model fit. The variance of the residual multiplied by its</w:t>
      </w:r>
      <w:r>
        <w:t xml:space="preserve"> </w:t>
      </w:r>
      <w:r>
        <w:t xml:space="preserve">heritability is the estimate of the distal heritability of the</w:t>
      </w:r>
      <w:r>
        <w:t xml:space="preserve"> </w:t>
      </w:r>
      <w:r>
        <w:t xml:space="preserve">transcript.</w:t>
      </w:r>
    </w:p>
    <w:p>
      <w:pPr>
        <w:pStyle w:val="BodyText"/>
      </w:pPr>
      <w:r>
        <w:t xml:space="preserve">We compared local and distal estimates of heritability to measures of</w:t>
      </w:r>
      <w:r>
        <w:t xml:space="preserve"> </w:t>
      </w:r>
      <w:r>
        <w:t xml:space="preserve">trait relevance for each transcript. To calculate trait relevance of a</w:t>
      </w:r>
      <w:r>
        <w:t xml:space="preserve"> </w:t>
      </w:r>
      <w:r>
        <w:t xml:space="preserve">given transcript, we adjusted normalized transcript values for sex, DO</w:t>
      </w:r>
      <w:r>
        <w:t xml:space="preserve"> </w:t>
      </w:r>
      <w:r>
        <w:t xml:space="preserve">wave, and DO generation. We similarly adjusted traits by sex, DO wave,</w:t>
      </w:r>
      <w:r>
        <w:t xml:space="preserve"> </w:t>
      </w:r>
      <w:r>
        <w:t xml:space="preserve">and DO generation. We then calculated all Spearman correlation</w:t>
      </w:r>
      <w:r>
        <w:t xml:space="preserve"> </w:t>
      </w:r>
      <w:r>
        <w:t xml:space="preserve">coefficients (</w:t>
      </w:r>
      <m:oMath>
        <m:r>
          <m:t>ρ</m:t>
        </m:r>
      </m:oMath>
      <w:r>
        <w:t xml:space="preserve">) between adjusted traits and adjusted</w:t>
      </w:r>
      <w:r>
        <w:t xml:space="preserve"> </w:t>
      </w:r>
      <w:r>
        <w:t xml:space="preserve">transcripts. The trait relevance of a given tanscript was the maximum</w:t>
      </w:r>
      <w:r>
        <w:t xml:space="preserve"> </w:t>
      </w:r>
      <w:r>
        <w:t xml:space="preserve">absolute correlation coefficient across all traits.</w:t>
      </w:r>
    </w:p>
    <w:bookmarkEnd w:id="60"/>
    <w:bookmarkStart w:id="67" w:name="high-dimensional-mediation-analysis"/>
    <w:p>
      <w:pPr>
        <w:pStyle w:val="Heading3"/>
      </w:pPr>
      <w:r>
        <w:t xml:space="preserve">High-dimensional mediation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In this section we derive the objective function for high-dimensional</w:t>
      </w:r>
      <w:r>
        <w:t xml:space="preserve"> </w:t>
      </w:r>
      <w:r>
        <w:t xml:space="preserve">mediation analysis (HDMA) and present an iterative algorithm to optimize</w:t>
      </w:r>
      <w:r>
        <w:t xml:space="preserve"> </w:t>
      </w:r>
      <w:r>
        <w:t xml:space="preserve">this objective function. Our starting point is the univariate case,</w:t>
      </w:r>
      <w:r>
        <w:t xml:space="preserve"> </w:t>
      </w:r>
      <w:r>
        <w:t xml:space="preserve">where we describe perfect mediation as a constraint on the covariance</w:t>
      </w:r>
      <w:r>
        <w:t xml:space="preserve"> </w:t>
      </w:r>
      <w:r>
        <w:t xml:space="preserve">matrix among variables. We then leverage this constraint to define</w:t>
      </w:r>
      <w:r>
        <w:t xml:space="preserve"> </w:t>
      </w:r>
      <w:r>
        <w:t xml:space="preserve">projections of multivariate data that are maximally consistent with</w:t>
      </w:r>
      <w:r>
        <w:t xml:space="preserve"> </w:t>
      </w:r>
      <w:r>
        <w:t xml:space="preserve">perfect mediation (HDMA). Next, we demonstrate how to kernelize HDMA to</w:t>
      </w:r>
      <w:r>
        <w:t xml:space="preserve"> </w:t>
      </w:r>
      <w:r>
        <w:t xml:space="preserve">limit dimensionality of the model and enable non-linear HDMA models.</w:t>
      </w:r>
    </w:p>
    <w:bookmarkStart w:id="61" w:name="X7bf8ecac34e1d30c55e5b28a26cd6cbf4061843"/>
    <w:p>
      <w:pPr>
        <w:pStyle w:val="Heading4"/>
      </w:pPr>
      <w:r>
        <w:t xml:space="preserve">Perfect mediation as a constraint on covariance</w:t>
      </w:r>
      <w:r>
        <w:t xml:space="preserve"> </w:t>
      </w:r>
      <w:r>
        <w:t xml:space="preserve">matrices</w:t>
      </w:r>
    </w:p>
    <w:p>
      <w:pPr>
        <w:pStyle w:val="FirstParagraph"/>
      </w:pPr>
      <w:r>
        <w:t xml:space="preserve">Suppose we have three random variables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. Assume</w:t>
      </w:r>
      <w:r>
        <w:t xml:space="preserve"> </w:t>
      </w:r>
      <w:r>
        <w:t xml:space="preserve">they each have unit variance and that they satisfy the following</w:t>
      </w:r>
      <w:r>
        <w:t xml:space="preserve"> </w:t>
      </w:r>
      <w:r>
        <w:t xml:space="preserve">structural equation model (SEM) such that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perfectly mediates the</w:t>
      </w:r>
      <w:r>
        <w:t xml:space="preserve"> </w:t>
      </w:r>
      <w:r>
        <w:t xml:space="preserve">effect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From these structural equations, we have the model-implied covariance</w:t>
      </w:r>
      <w:r>
        <w:t xml:space="preserve"> </w:t>
      </w:r>
      <w:r>
        <w:t xml:space="preserve">matrix,</w:t>
      </w:r>
      <w:r>
        <w:t xml:space="preserve"> </w:t>
      </w:r>
      <m:oMath>
        <m:r>
          <m:t>Σ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Σ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α</m:t>
                          </m:r>
                        </m:e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  <m:e>
                          <m:r>
                            <m:t>β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Note that the assumption of perfect mediation forces the</w:t>
      </w:r>
      <w:r>
        <w:t xml:space="preserve"> </w:t>
      </w:r>
      <w:r>
        <w:t xml:space="preserve">covariance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 be</w:t>
      </w:r>
      <w:r>
        <w:t xml:space="preserve"> </w:t>
      </w:r>
      <m:oMath>
        <m:r>
          <m:t>α</m:t>
        </m:r>
        <m:r>
          <m:t>β</m:t>
        </m:r>
      </m:oMath>
      <w:r>
        <w:t xml:space="preserve">. In any finite</w:t>
      </w:r>
      <w:r>
        <w:t xml:space="preserve"> </w:t>
      </w:r>
      <w:r>
        <w:t xml:space="preserve">data set, however, the observed covariance matrix,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will not typically satisfy this constraint.</w:t>
      </w:r>
    </w:p>
    <w:p>
      <w:pPr>
        <w:pStyle w:val="BodyText"/>
      </w:pPr>
      <w:r>
        <w:t xml:space="preserve">The general negative log-likelihood fitting function for an SEM is given</w:t>
      </w:r>
      <w:r>
        <w:t xml:space="preserve"> </w:t>
      </w:r>
      <w:r>
        <w:t xml:space="preserve">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Σ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denotes the determinant of a matrix and</w:t>
      </w:r>
      <w:r>
        <w:t xml:space="preserve"> </w:t>
      </w:r>
      <m:oMath>
        <m:r>
          <m:rPr>
            <m:sty m:val="p"/>
          </m:rPr>
          <m:t>t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denotes the trace</w:t>
      </w:r>
      <w:r>
        <w:rPr>
          <w:vertAlign w:val="superscript"/>
        </w:rPr>
        <w:t xml:space="preserve">85</w:t>
      </w:r>
      <w:r>
        <w:t xml:space="preserve">.</w:t>
      </w:r>
      <w:r>
        <w:t xml:space="preserve"> </w:t>
      </w:r>
      <w:r>
        <w:t xml:space="preserve">For the perfect-mediation model, these values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Σ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r>
                      <m:t>Σ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α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β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these into the likelihood function, we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To simplify notation, we define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so the likelihood function is now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Note that this likelihood is maximized by fitting regression</w:t>
      </w:r>
      <w:r>
        <w:t xml:space="preserve"> </w:t>
      </w:r>
      <w:r>
        <w:t xml:space="preserve">coefficients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respectively, but the negative log-likelihood formulation is</w:t>
      </w:r>
      <w:r>
        <w:t xml:space="preserve"> </w:t>
      </w:r>
      <w:r>
        <w:t xml:space="preserve">useful for the multivariate extension below.</w:t>
      </w:r>
    </w:p>
    <w:bookmarkEnd w:id="61"/>
    <w:bookmarkStart w:id="62" w:name="X91aebd6c80c878926ba0b923914207231c8d6f7"/>
    <w:p>
      <w:pPr>
        <w:pStyle w:val="Heading4"/>
      </w:pPr>
      <w:r>
        <w:t xml:space="preserve">Projecting multivariate data to identify latent</w:t>
      </w:r>
      <w:r>
        <w:t xml:space="preserve"> </w:t>
      </w:r>
      <w:r>
        <w:t xml:space="preserve">mediators</w:t>
      </w:r>
    </w:p>
    <w:p>
      <w:pPr>
        <w:pStyle w:val="FirstParagraph"/>
      </w:pPr>
      <w:r>
        <w:t xml:space="preserve">Suppose now that we have three data matrices,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(individuals by variables) that are mean centered by column. The central</w:t>
      </w:r>
      <w:r>
        <w:t xml:space="preserve"> </w:t>
      </w:r>
      <w:r>
        <w:t xml:space="preserve">assumption of HDMA is that these multivariate data encode latent</w:t>
      </w:r>
      <w:r>
        <w:t xml:space="preserve"> </w:t>
      </w:r>
      <w:r>
        <w:t xml:space="preserve">variables that are causally linked according to the perfect-mediation</w:t>
      </w:r>
      <w:r>
        <w:t xml:space="preserve"> </w:t>
      </w:r>
      <w:r>
        <w:t xml:space="preserve">model, in a sense made precise as follows.</w:t>
      </w:r>
    </w:p>
    <w:p>
      <w:pPr>
        <w:pStyle w:val="BodyText"/>
      </w:pPr>
      <w:r>
        <w:t xml:space="preserve">We use the log-likelihood function (Eqn.</w:t>
      </w:r>
      <w:r>
        <w:t xml:space="preserve"> </w:t>
      </w:r>
      <w:hyperlink w:anchor="eqn:mediation_loglikelihood">
        <w:r>
          <w:rPr>
            <w:rStyle w:val="Hyperlink"/>
          </w:rPr>
          <w:t xml:space="preserve">[eqn:mediation_loglikelihood]</w:t>
        </w:r>
      </w:hyperlink>
      <w:r>
        <w:t xml:space="preserve">) of the perfect mediation model as an</w:t>
      </w:r>
      <w:r>
        <w:t xml:space="preserve"> </w:t>
      </w:r>
      <w:r>
        <w:t xml:space="preserve">objective function to identify latent variables,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that are are correlated as closely as possible to the</w:t>
      </w:r>
      <w:r>
        <w:t xml:space="preserve"> </w:t>
      </w:r>
      <w:r>
        <w:t xml:space="preserve">constraints of the perfect mediation model, Eqn.</w:t>
      </w:r>
      <w:r>
        <w:t xml:space="preserve"> </w:t>
      </w:r>
      <w:r>
        <w:t xml:space="preserve">(</w:t>
      </w:r>
      <w:hyperlink w:anchor="eqn:model_implied_covariance">
        <w:r>
          <w:rPr>
            <w:rStyle w:val="Hyperlink"/>
          </w:rPr>
          <w:t xml:space="preserve">[eqn:model_implied_covariance]</w:t>
        </w:r>
      </w:hyperlink>
      <w:r>
        <w:t xml:space="preserve">). We estimate these latent variables</w:t>
      </w:r>
      <w:r>
        <w:t xml:space="preserve"> </w:t>
      </w:r>
      <w:r>
        <w:t xml:space="preserve">as linear combinations of the measured variables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b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w:r>
        <w:t xml:space="preserve">The coefficient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are called loadings,</w:t>
      </w:r>
      <w:r>
        <w:t xml:space="preserve"> </w:t>
      </w:r>
      <w:r>
        <w:t xml:space="preserve">analogous to the terminology in PCA and CCA. Because the data matrices</w:t>
      </w:r>
      <w:r>
        <w:t xml:space="preserve"> </w:t>
      </w:r>
      <w:r>
        <w:t xml:space="preserve">are mean centered, we have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</m:t>
          </m:r>
          <m:r>
            <m:t>e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X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m</m:t>
          </m:r>
          <m:r>
            <m:t>e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M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m</m:t>
          </m:r>
          <m:r>
            <m:t>e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Y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we assume the loadings are scaled so that each latent variable has</w:t>
      </w:r>
      <w:r>
        <w:t xml:space="preserve"> </w:t>
      </w:r>
      <w:r>
        <w:t xml:space="preserve">unit variance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X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M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Y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Plugging these formulae into the objective function (Eqn.</w:t>
      </w:r>
      <w:r>
        <w:t xml:space="preserve"> </w:t>
      </w:r>
      <w:hyperlink w:anchor="eqn:mediation_loglikelihood_simple">
        <w:r>
          <w:rPr>
            <w:rStyle w:val="Hyperlink"/>
          </w:rPr>
          <w:t xml:space="preserve">[eqn:mediation_loglikelihood_simple]</w:t>
        </w:r>
      </w:hyperlink>
      <w:r>
        <w:t xml:space="preserve">), we have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</m:e>
            </m:mr>
            <m:mr>
              <m:e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t>c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This yields an objective function of two sets of parameters: the</w:t>
      </w:r>
      <w:r>
        <w:t xml:space="preserve"> </w:t>
      </w:r>
      <w:r>
        <w:t xml:space="preserve">structural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define the causal</w:t>
      </w:r>
      <w:r>
        <w:t xml:space="preserve"> </w:t>
      </w:r>
      <w:r>
        <w:t xml:space="preserve">model among latent variables, and the loading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that define the latent variables in terms of the measured</w:t>
      </w:r>
      <w:r>
        <w:t xml:space="preserve"> </w:t>
      </w:r>
      <w:r>
        <w:t xml:space="preserve">variables. The goal of HDMA is to optimize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 a function of all</w:t>
      </w:r>
      <w:r>
        <w:t xml:space="preserve"> </w:t>
      </w:r>
      <w:r>
        <w:t xml:space="preserve">parameters simultaneously. The form of the objective function, Eqn.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, is effectively a weighted sum of correlation</w:t>
      </w:r>
      <w:r>
        <w:t xml:space="preserve"> </w:t>
      </w:r>
      <w:r>
        <w:t xml:space="preserve">coefficients, connecting it to so-called sum-of-correlation, or SUMCOR,</w:t>
      </w:r>
      <w:r>
        <w:t xml:space="preserve"> </w:t>
      </w:r>
      <w:r>
        <w:t xml:space="preserve">optimization problems</w:t>
      </w:r>
      <w:r>
        <w:rPr>
          <w:vertAlign w:val="superscript"/>
        </w:rPr>
        <w:t xml:space="preserve">86</w:t>
      </w:r>
      <w:r>
        <w:t xml:space="preserve">, which we discuss</w:t>
      </w:r>
      <w:r>
        <w:t xml:space="preserve"> </w:t>
      </w:r>
      <w:r>
        <w:t xml:space="preserve">further below.</w:t>
      </w:r>
    </w:p>
    <w:bookmarkEnd w:id="62"/>
    <w:bookmarkStart w:id="63" w:name="an-algorithm-for-hdma"/>
    <w:p>
      <w:pPr>
        <w:pStyle w:val="Heading4"/>
      </w:pPr>
      <w:r>
        <w:t xml:space="preserve">An algorithm for HDMA</w:t>
      </w:r>
    </w:p>
    <w:p>
      <w:pPr>
        <w:pStyle w:val="FirstParagraph"/>
      </w:pPr>
      <w:r>
        <w:t xml:space="preserve">The global optimization of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 </w:t>
      </w:r>
      <w:r>
        <w:t xml:space="preserve">is challenging</w:t>
      </w:r>
      <w:r>
        <w:t xml:space="preserve"> </w:t>
      </w:r>
      <w:r>
        <w:t xml:space="preserve">because it is not a convex problem. However, the decomposition of the</w:t>
      </w:r>
      <w:r>
        <w:t xml:space="preserve"> </w:t>
      </w:r>
      <w:r>
        <w:t xml:space="preserve">variables into structural and loading variables suggests an iterative</w:t>
      </w:r>
      <w:r>
        <w:t xml:space="preserve"> </w:t>
      </w:r>
      <w:r>
        <w:t xml:space="preserve">algorithm, similar to the expectation-maximization algorithm, that</w:t>
      </w:r>
      <w:r>
        <w:t xml:space="preserve"> </w:t>
      </w:r>
      <w:r>
        <w:t xml:space="preserve">converges at least to a stationary point. The overall idea is to use a</w:t>
      </w:r>
      <w:r>
        <w:t xml:space="preserve"> </w:t>
      </w:r>
      <w:r>
        <w:t xml:space="preserve">block-coordinate-ascent strategy that iterates between optimizing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then optimizing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For fixed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 optimal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simply given by regression coefficients between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respectively. Given these regression</w:t>
      </w:r>
      <w:r>
        <w:t xml:space="preserve"> </w:t>
      </w:r>
      <w:r>
        <w:t xml:space="preserve">coefficients,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we then optimize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 For fixed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the term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irrelevant, so minimizing the negative</w:t>
      </w:r>
      <w:r>
        <w:t xml:space="preserve"> </w:t>
      </w:r>
      <w:r>
        <w:t xml:space="preserve">log-likelihood function reduces to maximizing the reduced function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r</m:t>
                    </m:r>
                    <m:r>
                      <m:t>e</m:t>
                    </m:r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which is a weighted sum of correlation coefficients. This is exactly a</w:t>
      </w:r>
      <w:r>
        <w:t xml:space="preserve"> </w:t>
      </w:r>
      <w:r>
        <w:t xml:space="preserve">(weighted) SUMCOR optimization problem</w:t>
      </w:r>
      <w:r>
        <w:rPr>
          <w:vertAlign w:val="superscript"/>
        </w:rPr>
        <w:t xml:space="preserve">86</w:t>
      </w:r>
      <w:r>
        <w:t xml:space="preserve">.</w:t>
      </w:r>
      <w:r>
        <w:t xml:space="preserve"> </w:t>
      </w:r>
      <w:r>
        <w:t xml:space="preserve">These optimization problems are still not convex, but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recently proved convergence for iterative</w:t>
      </w:r>
      <w:r>
        <w:t xml:space="preserve"> </w:t>
      </w:r>
      <w:r>
        <w:t xml:space="preserve">algorithms that optimize weighted SUMCOR problems</w:t>
      </w:r>
      <w:r>
        <w:rPr>
          <w:vertAlign w:val="superscript"/>
        </w:rPr>
        <w:t xml:space="preserve">86–88</w:t>
      </w:r>
      <w:r>
        <w:t xml:space="preserve">. These algorithms only</w:t>
      </w:r>
      <w:r>
        <w:t xml:space="preserve"> </w:t>
      </w:r>
      <w:r>
        <w:t xml:space="preserve">guarantee convergence to a stationary point not necessarily a maximum,</w:t>
      </w:r>
      <w:r>
        <w:t xml:space="preserve"> </w:t>
      </w:r>
      <w:r>
        <w:t xml:space="preserve">as is common in other non-convex problems, but this can be overcome with</w:t>
      </w:r>
      <w:r>
        <w:t xml:space="preserve"> </w:t>
      </w:r>
      <w:r>
        <w:t xml:space="preserve">multiple random restarts, if needed. Thus, we have a sub-routine</w:t>
      </w:r>
      <w:r>
        <w:t xml:space="preserve"> </w:t>
      </w:r>
      <m:oMath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that solves the weighted SUMCOR</w:t>
      </w:r>
      <w:r>
        <w:t xml:space="preserve"> </w:t>
      </w:r>
      <w:r>
        <w:t xml:space="preserve">problem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w</m:t>
                    </m:r>
                    <m:r>
                      <m:t>S</m:t>
                    </m:r>
                    <m:r>
                      <m:t>U</m:t>
                    </m:r>
                    <m:r>
                      <m:t>M</m:t>
                    </m:r>
                    <m:r>
                      <m:t>C</m:t>
                    </m:r>
                    <m:r>
                      <m:t>O</m:t>
                    </m:r>
                    <m:r>
                      <m:t>R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c</m:t>
                </m:r>
                <m:r>
                  <m:t>o</m:t>
                </m:r>
                <m:r>
                  <m:t>r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Iterating between optimizing the structural parameters and loading</w:t>
      </w:r>
      <w:r>
        <w:t xml:space="preserve"> </w:t>
      </w:r>
      <w:r>
        <w:t xml:space="preserve">parameters, we reduce the negative log-likelihood at each step and</w:t>
      </w:r>
      <w:r>
        <w:t xml:space="preserve"> </w:t>
      </w:r>
      <w:r>
        <w:t xml:space="preserve">converge to a fixed point.</w:t>
      </w:r>
    </w:p>
    <w:p>
      <w:pPr>
        <w:pStyle w:val="BodyText"/>
      </w:pPr>
      <w:r>
        <w:t xml:space="preserve">We summarize our optimization procedure in 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.</w:t>
      </w:r>
    </w:p>
    <w:p>
      <w:pPr>
        <w:pStyle w:val="BodyText"/>
      </w:pP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 </w:t>
      </w:r>
      <m:oMath>
        <m:r>
          <m:t>α</m:t>
        </m:r>
        <m:r>
          <m:rPr>
            <m:sty m:val="p"/>
          </m:rPr>
          <m:t>←</m:t>
        </m:r>
        <m:r>
          <m:t>0.5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←</m:t>
        </m:r>
        <m:r>
          <m:t>0.5</m:t>
        </m:r>
      </m:oMath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β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  <m:r>
          <m:rPr>
            <m:sty m:val="p"/>
          </m:rPr>
          <m:t>←</m:t>
        </m:r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  <m:r>
          <m:rPr>
            <m:sty m:val="p"/>
          </m:rPr>
          <m:t>←</m:t>
        </m:r>
        <m:r>
          <m:t>X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←</m:t>
        </m:r>
        <m:r>
          <m:t>M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  <m:r>
          <m:rPr>
            <m:sty m:val="p"/>
          </m:rPr>
          <m:t>←</m:t>
        </m:r>
        <m:r>
          <m:t>Y</m:t>
        </m:r>
        <m:r>
          <m:t>c</m:t>
        </m:r>
      </m:oMath>
      <w:r>
        <w:t xml:space="preserve"> </w:t>
      </w:r>
      <m:oMath>
        <m:r>
          <m:t>α</m:t>
        </m:r>
        <m:r>
          <m:rPr>
            <m:sty m:val="p"/>
          </m:rPr>
          <m:t>←</m:t>
        </m:r>
        <m:r>
          <m:rPr>
            <m:sty m:val="p"/>
          </m:rPr>
          <m:t>c</m:t>
        </m:r>
        <m:r>
          <m:t>o</m:t>
        </m:r>
        <m:r>
          <m:t>r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l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←</m:t>
        </m:r>
        <m:r>
          <m:rPr>
            <m:sty m:val="p"/>
          </m:rPr>
          <m:t>c</m:t>
        </m:r>
        <m:r>
          <m:t>o</m:t>
        </m:r>
        <m:r>
          <m:t>r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l</m:t>
                </m:r>
              </m:e>
              <m:sub>
                <m:r>
                  <m:t>Y</m:t>
                </m:r>
              </m:sub>
            </m:sSub>
          </m:e>
        </m:d>
      </m:oMath>
    </w:p>
    <w:bookmarkEnd w:id="63"/>
    <w:bookmarkStart w:id="64" w:name="kernel-hdma"/>
    <w:p>
      <w:pPr>
        <w:pStyle w:val="Heading4"/>
      </w:pPr>
      <w:r>
        <w:t xml:space="preserve">Kernel HDMA</w:t>
      </w:r>
    </w:p>
    <w:p>
      <w:pPr>
        <w:pStyle w:val="FirstParagraph"/>
      </w:pPr>
      <w:r>
        <w:t xml:space="preserve">For large data matrices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, especially with high</w:t>
      </w:r>
      <w:r>
        <w:t xml:space="preserve"> </w:t>
      </w:r>
      <w:r>
        <w:t xml:space="preserve">correlation among variables, as is common for high-throughput biological</w:t>
      </w:r>
      <w:r>
        <w:t xml:space="preserve"> </w:t>
      </w:r>
      <w:r>
        <w:t xml:space="preserve">assays (e.g., ~1M alleles for genotypes,</w:t>
      </w:r>
      <w:r>
        <w:t xml:space="preserve"> </w:t>
      </w:r>
      <w:r>
        <w:t xml:space="preserve">~20k transcripts), we can further reduce the</w:t>
      </w:r>
      <w:r>
        <w:t xml:space="preserve"> </w:t>
      </w:r>
      <w:r>
        <w:t xml:space="preserve">dimensionality of the HDMA model by requiring that loading vectors lie</w:t>
      </w:r>
      <w:r>
        <w:t xml:space="preserve"> </w:t>
      </w:r>
      <w:r>
        <w:t xml:space="preserve">in the span of the the measured individuals, namely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replaces the full feature data, say</w:t>
      </w:r>
      <w:r>
        <w:t xml:space="preserve"> </w:t>
      </w:r>
      <m:oMath>
        <m:r>
          <m:t>X</m:t>
        </m:r>
      </m:oMath>
      <w:r>
        <w:t xml:space="preserve">, with the covariances</w:t>
      </w:r>
      <w:r>
        <w:t xml:space="preserve"> </w:t>
      </w:r>
      <w:r>
        <w:t xml:space="preserve">among individuals (aka, Gram matrices),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  <w:r>
        <w:t xml:space="preserve">, and reduces the</w:t>
      </w:r>
      <w:r>
        <w:t xml:space="preserve"> </w:t>
      </w:r>
      <w:r>
        <w:t xml:space="preserve">dimensionality from the number of measured variables down to the number</w:t>
      </w:r>
      <w:r>
        <w:t xml:space="preserve"> </w:t>
      </w:r>
      <w:r>
        <w:t xml:space="preserve">of individuals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X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Y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reduction is called kernelization</w:t>
      </w:r>
      <w:r>
        <w:rPr>
          <w:vertAlign w:val="superscript"/>
        </w:rPr>
        <w:t xml:space="preserve">88</w:t>
      </w:r>
      <w:r>
        <w:t xml:space="preserve"> </w:t>
      </w:r>
      <w:r>
        <w:t xml:space="preserve">and is</w:t>
      </w:r>
      <w:r>
        <w:t xml:space="preserve"> </w:t>
      </w:r>
      <w:r>
        <w:t xml:space="preserve">widely applied to other linear models, including CCA, linear regression,</w:t>
      </w:r>
      <w:r>
        <w:t xml:space="preserve"> </w:t>
      </w:r>
      <w:r>
        <w:t xml:space="preserve">and classification.</w:t>
      </w:r>
    </w:p>
    <w:p>
      <w:pPr>
        <w:pStyle w:val="BodyText"/>
      </w:pPr>
      <w:r>
        <w:t xml:space="preserve">It is interesting to note that kernelization is often used to convert a</w:t>
      </w:r>
      <w:r>
        <w:t xml:space="preserve"> </w:t>
      </w:r>
      <w:r>
        <w:t xml:space="preserve">linear model to a non-linear model by replacing the covariance matrices,</w:t>
      </w:r>
      <w:r>
        <w:t xml:space="preserve"> </w:t>
      </w:r>
      <w:r>
        <w:t xml:space="preserve">e.g. 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 complex 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 encode</w:t>
      </w:r>
      <w:r>
        <w:t xml:space="preserve"> </w:t>
      </w:r>
      <w:r>
        <w:t xml:space="preserve">similarity measures among individuals that are non-linear functions of</w:t>
      </w:r>
      <w:r>
        <w:t xml:space="preserve"> </w:t>
      </w:r>
      <w:r>
        <w:t xml:space="preserve">the measured variables. non-linear model by replacing the covariance</w:t>
      </w:r>
      <w:r>
        <w:t xml:space="preserve"> </w:t>
      </w:r>
      <w:r>
        <w:t xml:space="preserve">matrices, e.g. 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 complex 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</w:t>
      </w:r>
      <w:r>
        <w:t xml:space="preserve"> </w:t>
      </w:r>
      <w:r>
        <w:t xml:space="preserve">encode similarity measures among individuals that are non-linear</w:t>
      </w:r>
      <w:r>
        <w:t xml:space="preserve"> </w:t>
      </w:r>
      <w:r>
        <w:t xml:space="preserve">functions of the measured variables. Promoting a linear model to a</w:t>
      </w:r>
      <w:r>
        <w:t xml:space="preserve"> </w:t>
      </w:r>
      <w:r>
        <w:t xml:space="preserve">non-linear model in this way is called the kernel trick and is widely</w:t>
      </w:r>
      <w:r>
        <w:t xml:space="preserve"> </w:t>
      </w:r>
      <w:r>
        <w:t xml:space="preserve">used in the machine learning field. The above considerations show that</w:t>
      </w:r>
      <w:r>
        <w:t xml:space="preserve"> </w:t>
      </w:r>
      <w:r>
        <w:t xml:space="preserve">HDMA is kernelizable in the same way as other linear models, although</w:t>
      </w:r>
      <w:r>
        <w:t xml:space="preserve"> </w:t>
      </w:r>
      <w:r>
        <w:t xml:space="preserve">the exploration of non-linear models is outside the scope of this study.</w:t>
      </w:r>
    </w:p>
    <w:p>
      <w:pPr>
        <w:pStyle w:val="BodyText"/>
      </w:pPr>
      <w:r>
        <w:t xml:space="preserve">We generated kernel matrices for the genome, phenome, and transcriptome</w:t>
      </w:r>
      <w:r>
        <w:t xml:space="preserve"> </w:t>
      </w:r>
      <w:r>
        <w:t xml:space="preserve">as described above. To test the effect of the presence of local eQTLs on</w:t>
      </w:r>
      <w:r>
        <w:t xml:space="preserve"> </w:t>
      </w:r>
      <w:r>
        <w:t xml:space="preserve">mediation, we further generated two additional transcriptomic kernels.</w:t>
      </w:r>
      <w:r>
        <w:t xml:space="preserve"> </w:t>
      </w:r>
      <w:r>
        <w:t xml:space="preserve">1) A distal-only kernel was derived first by regressing out the effect</w:t>
      </w:r>
      <w:r>
        <w:t xml:space="preserve"> </w:t>
      </w:r>
      <w:r>
        <w:t xml:space="preserve">of local haplotype on all transcripts as described above and generating</w:t>
      </w:r>
      <w:r>
        <w:t xml:space="preserve"> </w:t>
      </w:r>
      <w:r>
        <w:t xml:space="preserve">the kernel matrix using the residual expression (distal-affected only).</w:t>
      </w:r>
      <w:r>
        <w:t xml:space="preserve"> </w:t>
      </w:r>
      <w:r>
        <w:t xml:space="preserve">2) A local-only kernel was derived by imputing transcription levels for</w:t>
      </w:r>
      <w:r>
        <w:t xml:space="preserve"> </w:t>
      </w:r>
      <w:r>
        <w:t xml:space="preserve">each transcript as described above and then calculating the kernel with</w:t>
      </w:r>
      <w:r>
        <w:t xml:space="preserve"> </w:t>
      </w:r>
      <w:r>
        <w:t xml:space="preserve">only these locally derived expression values. We replaced the original</w:t>
      </w:r>
      <w:r>
        <w:t xml:space="preserve"> </w:t>
      </w:r>
      <w:r>
        <w:t xml:space="preserve">transcriptomic kernel with each of these additional kernels in turn and</w:t>
      </w:r>
      <w:r>
        <w:t xml:space="preserve"> </w:t>
      </w:r>
      <w:r>
        <w:t xml:space="preserve">performed HDMA. We calculated the correlation between all pairs of</w:t>
      </w:r>
      <w:r>
        <w:t xml:space="preserve"> </w:t>
      </w:r>
      <w:r>
        <w:t xml:space="preserve">latent variables and the path coefficient for each instance.</w:t>
      </w:r>
    </w:p>
    <w:bookmarkEnd w:id="64"/>
    <w:bookmarkStart w:id="66" w:name="implementation-details"/>
    <w:p>
      <w:pPr>
        <w:pStyle w:val="Heading4"/>
      </w:pPr>
      <w:r>
        <w:t xml:space="preserve">Implementation details</w:t>
      </w:r>
    </w:p>
    <w:p>
      <w:pPr>
        <w:pStyle w:val="FirstParagraph"/>
      </w:pPr>
      <w:r>
        <w:t xml:space="preserve">We have implemented HDMA (Algorithm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) in the R programming</w:t>
      </w:r>
      <w:r>
        <w:t xml:space="preserve"> </w:t>
      </w:r>
      <w:r>
        <w:t xml:space="preserve">language.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implemented their optimizers in</w:t>
      </w:r>
      <w:r>
        <w:t xml:space="preserve"> </w:t>
      </w:r>
      <w:r>
        <w:t xml:space="preserve">the Regularized Generalized Canonical Correlation Analysis (RGCCA) R</w:t>
      </w:r>
      <w:r>
        <w:t xml:space="preserve"> </w:t>
      </w:r>
      <w:r>
        <w:t xml:space="preserve">package</w:t>
      </w:r>
      <w:r>
        <w:rPr>
          <w:vertAlign w:val="superscript"/>
        </w:rPr>
        <w:t xml:space="preserve">89</w:t>
      </w:r>
      <w:r>
        <w:t xml:space="preserve">, which we use as the subroutine</w:t>
      </w:r>
      <w:r>
        <w:t xml:space="preserve"> </w:t>
      </w:r>
      <w:r>
        <w:rPr>
          <w:rStyle w:val="VerbatimChar"/>
        </w:rPr>
        <w:t xml:space="preserve">wSUMCOR</w:t>
      </w:r>
      <w:r>
        <w:t xml:space="preserve">. As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discuss optimizing the</w:t>
      </w:r>
      <w:r>
        <w:t xml:space="preserve"> </w:t>
      </w:r>
      <w:r>
        <w:t xml:space="preserve">empirical correlation coefficient</w:t>
      </w:r>
      <w:r>
        <w:t xml:space="preserve"> </w:t>
      </w:r>
      <w:r>
        <w:rPr>
          <w:iCs/>
          <w:i/>
        </w:rPr>
        <w:t xml:space="preserve">per se</w:t>
      </w:r>
      <w:r>
        <w:t xml:space="preserve"> </w:t>
      </w:r>
      <w:r>
        <w:t xml:space="preserve">is numerically</w:t>
      </w:r>
      <w:r>
        <w:t xml:space="preserve"> </w:t>
      </w:r>
      <w:r>
        <w:t xml:space="preserve">unstable due to the inversion of the covariance matrices of the measured</w:t>
      </w:r>
      <w:r>
        <w:t xml:space="preserve"> </w:t>
      </w:r>
      <w:r>
        <w:t xml:space="preserve">variables (e.g., the transcript-transcript covariance matrix). To</w:t>
      </w:r>
      <w:r>
        <w:t xml:space="preserve"> </w:t>
      </w:r>
      <w:r>
        <w:t xml:space="preserve">overcome this, the RGCCA package uses a regularized form of the</w:t>
      </w:r>
      <w:r>
        <w:t xml:space="preserve"> </w:t>
      </w:r>
      <w:r>
        <w:t xml:space="preserve">covariance matrix developed by Schaeffer and Strimmer</w:t>
      </w:r>
      <w:r>
        <w:rPr>
          <w:vertAlign w:val="superscript"/>
        </w:rPr>
        <w:t xml:space="preserve">90</w:t>
      </w:r>
      <w:r>
        <w:t xml:space="preserve">, which can be estimated rapidly using an</w:t>
      </w:r>
      <w:r>
        <w:t xml:space="preserve"> </w:t>
      </w:r>
      <w:r>
        <w:t xml:space="preserve">analytic formula.</w:t>
      </w:r>
    </w:p>
    <w:p>
      <w:pPr>
        <w:pStyle w:val="BodyText"/>
      </w:pPr>
      <w:r>
        <w:t xml:space="preserve">As a convergence criterion, we stop the iterations when both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change by less than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from their previous value</w:t>
      </w:r>
      <w:r>
        <w:t xml:space="preserve"> </w:t>
      </w:r>
      <w:r>
        <w:t xml:space="preserve">in one iteration.</w:t>
      </w:r>
    </w:p>
    <w:p>
      <w:pPr>
        <w:pStyle w:val="BodyText"/>
      </w:pPr>
      <w:r>
        <w:t xml:space="preserve">All code required to run HDMA is available at Figshare:</w:t>
      </w:r>
      <w:r>
        <w:t xml:space="preserve"> </w:t>
      </w:r>
      <w:hyperlink r:id="rId65">
        <w:r>
          <w:rPr>
            <w:rStyle w:val="Hyperlink"/>
          </w:rPr>
          <w:t xml:space="preserve">https://figshare.com/</w:t>
        </w:r>
      </w:hyperlink>
      <w:r>
        <w:t xml:space="preserve"> </w:t>
      </w:r>
      <w:r>
        <w:t xml:space="preserve">DOI: 10.6084/m9.figshare.27066979</w:t>
      </w:r>
      <w:r>
        <w:rPr>
          <w:vertAlign w:val="superscript"/>
        </w:rPr>
        <w:t xml:space="preserve">79</w:t>
      </w:r>
    </w:p>
    <w:bookmarkEnd w:id="66"/>
    <w:bookmarkEnd w:id="67"/>
    <w:bookmarkStart w:id="69" w:name="enrichment-of-biological-terms"/>
    <w:p>
      <w:pPr>
        <w:pStyle w:val="Heading3"/>
      </w:pPr>
      <w:r>
        <w:t xml:space="preserve">Enrichment of biological</w:t>
      </w:r>
      <w:r>
        <w:t xml:space="preserve"> </w:t>
      </w:r>
      <w:r>
        <w:t xml:space="preserve">terms</w:t>
      </w:r>
    </w:p>
    <w:p>
      <w:pPr>
        <w:pStyle w:val="FirstParagraph"/>
      </w:pPr>
      <w:r>
        <w:t xml:space="preserve">We performed gene set enrichment analysis (GSEA)</w:t>
      </w:r>
      <w:r>
        <w:rPr>
          <w:vertAlign w:val="superscript"/>
        </w:rPr>
        <w:t xml:space="preserve">40</w:t>
      </w:r>
      <w:r>
        <w:t xml:space="preserve"> </w:t>
      </w:r>
      <w:r>
        <w:t xml:space="preserve">using the transcript loadings in each tissue as gene weights. GSEA</w:t>
      </w:r>
      <w:r>
        <w:t xml:space="preserve"> </w:t>
      </w:r>
      <w:r>
        <w:t xml:space="preserve">determines enrichment of pathways based on where the contained genes</w:t>
      </w:r>
      <w:r>
        <w:t xml:space="preserve"> </w:t>
      </w:r>
      <w:r>
        <w:t xml:space="preserve">appear in a ranked list of genes. If the genes in the pathway are more</w:t>
      </w:r>
      <w:r>
        <w:t xml:space="preserve"> </w:t>
      </w:r>
      <w:r>
        <w:t xml:space="preserve">concentrated near the top (or the bottom) of the list than expected by</w:t>
      </w:r>
      <w:r>
        <w:t xml:space="preserve"> </w:t>
      </w:r>
      <w:r>
        <w:t xml:space="preserve">chance, the pathway can be interpreted as being enriched with positively</w:t>
      </w:r>
      <w:r>
        <w:t xml:space="preserve"> </w:t>
      </w:r>
      <w:r>
        <w:t xml:space="preserve">(negatively) loaded transcripts. We used the R package fgsea</w:t>
      </w:r>
      <w:r>
        <w:rPr>
          <w:vertAlign w:val="superscript"/>
        </w:rPr>
        <w:t xml:space="preserve">39</w:t>
      </w:r>
      <w:r>
        <w:t xml:space="preserve"> </w:t>
      </w:r>
      <w:r>
        <w:t xml:space="preserve">to calculate normalized enrichment scores for all GO terms</w:t>
      </w:r>
      <w:r>
        <w:t xml:space="preserve"> </w:t>
      </w:r>
      <w:r>
        <w:t xml:space="preserve">and all KEGG pathways.</w:t>
      </w:r>
    </w:p>
    <w:p>
      <w:pPr>
        <w:pStyle w:val="BodyText"/>
      </w:pPr>
      <w:r>
        <w:t xml:space="preserve">We downloaded all KEGG</w:t>
      </w:r>
      <w:r>
        <w:rPr>
          <w:vertAlign w:val="superscript"/>
        </w:rPr>
        <w:t xml:space="preserve">91</w:t>
      </w:r>
      <w:r>
        <w:t xml:space="preserve"> </w:t>
      </w:r>
      <w:r>
        <w:t xml:space="preserve">pathways for</w:t>
      </w:r>
      <w:r>
        <w:t xml:space="preserve"> </w:t>
      </w:r>
      <w:r>
        <w:rPr>
          <w:iCs/>
          <w:i/>
        </w:rPr>
        <w:t xml:space="preserve">Mus musculus</w:t>
      </w:r>
      <w:r>
        <w:t xml:space="preserve"> </w:t>
      </w:r>
      <w:r>
        <w:t xml:space="preserve">using the R package clusterProfiler</w:t>
      </w:r>
      <w:r>
        <w:rPr>
          <w:vertAlign w:val="superscript"/>
        </w:rPr>
        <w:t xml:space="preserve">91</w:t>
      </w:r>
      <w:r>
        <w:t xml:space="preserve">. We then used fgsea to calculate enrichment scores</w:t>
      </w:r>
      <w:r>
        <w:t xml:space="preserve"> </w:t>
      </w:r>
      <w:r>
        <w:t xml:space="preserve">in each tissue using the transcript loadings in each tissue as our</w:t>
      </w:r>
      <w:r>
        <w:t xml:space="preserve"> </w:t>
      </w:r>
      <w:r>
        <w:t xml:space="preserve">ranked list of genes. We reported the normalized enrichment score (NES)</w:t>
      </w:r>
      <w:r>
        <w:t xml:space="preserve"> </w:t>
      </w:r>
      <w:r>
        <w:t xml:space="preserve">for the 10 pathways with the largest positive NES and the 10 pathways</w:t>
      </w:r>
      <w:r>
        <w:t xml:space="preserve"> </w:t>
      </w:r>
      <w:r>
        <w:t xml:space="preserve">with the largest negative NES.</w:t>
      </w:r>
    </w:p>
    <w:p>
      <w:pPr>
        <w:pStyle w:val="BodyText"/>
      </w:pPr>
      <w:r>
        <w:t xml:space="preserve">We used the R package pathview</w:t>
      </w:r>
      <w:r>
        <w:rPr>
          <w:vertAlign w:val="superscript"/>
        </w:rPr>
        <w:t xml:space="preserve">92</w:t>
      </w:r>
      <w:r>
        <w:t xml:space="preserve"> </w:t>
      </w:r>
      <w:r>
        <w:t xml:space="preserve">to visualize the</w:t>
      </w:r>
      <w:r>
        <w:t xml:space="preserve"> </w:t>
      </w:r>
      <w:r>
        <w:t xml:space="preserve">loadings from each tissue in interesting pathways. We scaled the</w:t>
      </w:r>
      <w:r>
        <w:t xml:space="preserve"> </w:t>
      </w:r>
      <w:r>
        <w:t xml:space="preserve">loadings in each tissue by the maximum absolute value of loadings across</w:t>
      </w:r>
      <w:r>
        <w:t xml:space="preserve"> </w:t>
      </w:r>
      <w:r>
        <w:t xml:space="preserve">all tissues to compare them across tissues.</w:t>
      </w:r>
    </w:p>
    <w:p>
      <w:pPr>
        <w:pStyle w:val="BodyText"/>
      </w:pPr>
      <w:r>
        <w:t xml:space="preserve">We downloaded GO term annotations from Mouse Genome Informatics at the</w:t>
      </w:r>
      <w:r>
        <w:t xml:space="preserve"> </w:t>
      </w:r>
      <w:r>
        <w:t xml:space="preserve">Jackson Laboratory</w:t>
      </w:r>
      <w:r>
        <w:rPr>
          <w:vertAlign w:val="superscript"/>
        </w:rPr>
        <w:t xml:space="preserve">93</w:t>
      </w:r>
      <w:r>
        <w:t xml:space="preserve"> </w:t>
      </w:r>
      <w:hyperlink r:id="rId68">
        <w:r>
          <w:rPr>
            <w:rStyle w:val="Hyperlink"/>
          </w:rPr>
          <w:t xml:space="preserve">https://www.informatics.jax.org/downloads/reports/index.html</w:t>
        </w:r>
      </w:hyperlink>
      <w:r>
        <w:t xml:space="preserve"> </w:t>
      </w:r>
      <w:r>
        <w:t xml:space="preserve">We</w:t>
      </w:r>
      <w:r>
        <w:t xml:space="preserve"> </w:t>
      </w:r>
      <w:r>
        <w:t xml:space="preserve">removed gene-annotation pairs labeled with NOT, indicating that these</w:t>
      </w:r>
      <w:r>
        <w:t xml:space="preserve"> </w:t>
      </w:r>
      <w:r>
        <w:t xml:space="preserve">genes were known not to be involved in these GO terms. We also limited</w:t>
      </w:r>
      <w:r>
        <w:t xml:space="preserve"> </w:t>
      </w:r>
      <w:r>
        <w:t xml:space="preserve">our search to GO terms with between 80 and 3000 genes. We used the R</w:t>
      </w:r>
      <w:r>
        <w:t xml:space="preserve"> </w:t>
      </w:r>
      <w:r>
        <w:t xml:space="preserve">package annotate</w:t>
      </w:r>
      <w:r>
        <w:rPr>
          <w:vertAlign w:val="superscript"/>
        </w:rPr>
        <w:t xml:space="preserve">94</w:t>
      </w:r>
      <w:r>
        <w:t xml:space="preserve"> </w:t>
      </w:r>
      <w:r>
        <w:t xml:space="preserve">to identify the ontology of each term</w:t>
      </w:r>
      <w:r>
        <w:t xml:space="preserve"> </w:t>
      </w:r>
      <w:r>
        <w:t xml:space="preserve">and the R package pRoloc</w:t>
      </w:r>
      <w:r>
        <w:rPr>
          <w:vertAlign w:val="superscript"/>
        </w:rPr>
        <w:t xml:space="preserve">95</w:t>
      </w:r>
      <w:r>
        <w:t xml:space="preserve"> </w:t>
      </w:r>
      <w:r>
        <w:t xml:space="preserve">to convert between GO terms</w:t>
      </w:r>
      <w:r>
        <w:t xml:space="preserve"> </w:t>
      </w:r>
      <w:r>
        <w:t xml:space="preserve">and names. As with the KEGG pathways, we used fgsea to calculate a</w:t>
      </w:r>
      <w:r>
        <w:t xml:space="preserve"> </w:t>
      </w:r>
      <w:r>
        <w:t xml:space="preserve">normalized enrichment score for each GO term and collected loadings for</w:t>
      </w:r>
      <w:r>
        <w:t xml:space="preserve"> </w:t>
      </w:r>
      <w:r>
        <w:t xml:space="preserve">the transcripts in each term to compare across tissues.</w:t>
      </w:r>
    </w:p>
    <w:bookmarkEnd w:id="69"/>
    <w:bookmarkStart w:id="70" w:name="twas-in-do-mice"/>
    <w:p>
      <w:pPr>
        <w:pStyle w:val="Heading3"/>
      </w:pPr>
      <w:r>
        <w:t xml:space="preserve">TWAS in DO mice</w:t>
      </w:r>
    </w:p>
    <w:p>
      <w:pPr>
        <w:pStyle w:val="FirstParagraph"/>
      </w:pPr>
      <w:r>
        <w:t xml:space="preserve">We performed a transcriptome-wide analysis (TWAS)</w:t>
      </w:r>
      <w:r>
        <w:rPr>
          <w:vertAlign w:val="superscript"/>
        </w:rPr>
        <w:t xml:space="preserve">9,11</w:t>
      </w:r>
      <w:r>
        <w:t xml:space="preserve"> </w:t>
      </w:r>
      <w:r>
        <w:t xml:space="preserve">in the DO mice to compare to the results of</w:t>
      </w:r>
      <w:r>
        <w:t xml:space="preserve"> </w:t>
      </w:r>
      <w:r>
        <w:t xml:space="preserve">high-dimensional mediation. To perform TWAS, we fit a linear model to</w:t>
      </w:r>
      <w:r>
        <w:t xml:space="preserve"> </w:t>
      </w:r>
      <w:r>
        <w:t xml:space="preserve">explain variation in each transcript across the population using the</w:t>
      </w:r>
      <w:r>
        <w:t xml:space="preserve"> </w:t>
      </w:r>
      <w:r>
        <w:t xml:space="preserve">genotype at the nearest marker to the gene transcription start site</w:t>
      </w:r>
      <w:r>
        <w:t xml:space="preserve"> </w:t>
      </w:r>
      <w:r>
        <w:t xml:space="preserve">(TSS). We used kinship as a random effect and sex, diet, and DO</w:t>
      </w:r>
      <w:r>
        <w:t xml:space="preserve"> </w:t>
      </w:r>
      <w:r>
        <w:t xml:space="preserve">generation as fixed effects. The predicted transcript from each of these</w:t>
      </w:r>
      <w:r>
        <w:t xml:space="preserve"> </w:t>
      </w:r>
      <w:r>
        <w:t xml:space="preserve">models was the imputed transcript based only on the local genotype.</w:t>
      </w:r>
    </w:p>
    <w:p>
      <w:pPr>
        <w:pStyle w:val="BodyText"/>
      </w:pPr>
      <w:r>
        <w:t xml:space="preserve">We correlated each imputed transcript with each of the metabolic</w:t>
      </w:r>
      <w:r>
        <w:t xml:space="preserve"> </w:t>
      </w:r>
      <w:r>
        <w:t xml:space="preserve">phenotypes after adjusting phenotypes for sex, diet, DO generation, and</w:t>
      </w:r>
      <w:r>
        <w:t xml:space="preserve"> </w:t>
      </w:r>
      <w:r>
        <w:t xml:space="preserve">DO wave. To calculate significance of these correlations, we performed</w:t>
      </w:r>
      <w:r>
        <w:t xml:space="preserve"> </w:t>
      </w:r>
      <w:r>
        <w:t xml:space="preserve">permutation testing by shuffling labels of individual mice and</w:t>
      </w:r>
      <w:r>
        <w:t xml:space="preserve"> </w:t>
      </w:r>
      <w:r>
        <w:t xml:space="preserve">recalculating correlation values. Significant correlations were those</w:t>
      </w:r>
      <w:r>
        <w:t xml:space="preserve"> </w:t>
      </w:r>
      <w:r>
        <w:t xml:space="preserve">more extreme than any of the permuted values, corresponding to an</w:t>
      </w:r>
      <w:r>
        <w:t xml:space="preserve"> </w:t>
      </w:r>
      <w:r>
        <w:t xml:space="preserve">empirical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 These are transcripts whose locally encoded</w:t>
      </w:r>
      <w:r>
        <w:t xml:space="preserve"> </w:t>
      </w:r>
      <w:r>
        <w:t xml:space="preserve">expression level was significantly correlated with one of the metabolic</w:t>
      </w:r>
      <w:r>
        <w:t xml:space="preserve"> </w:t>
      </w:r>
      <w:r>
        <w:t xml:space="preserve">traits. This suggests an association between the genetically encoded</w:t>
      </w:r>
      <w:r>
        <w:t xml:space="preserve"> </w:t>
      </w:r>
      <w:r>
        <w:t xml:space="preserve">transcript level and the trait but does not identify a direction of</w:t>
      </w:r>
      <w:r>
        <w:t xml:space="preserve"> </w:t>
      </w:r>
      <w:r>
        <w:t xml:space="preserve">causation.</w:t>
      </w:r>
    </w:p>
    <w:bookmarkEnd w:id="70"/>
    <w:bookmarkStart w:id="71" w:name="literature-support-for-genes"/>
    <w:p>
      <w:pPr>
        <w:pStyle w:val="Heading3"/>
      </w:pPr>
      <w:r>
        <w:t xml:space="preserve">Literature support for</w:t>
      </w:r>
      <w:r>
        <w:t xml:space="preserve"> </w:t>
      </w:r>
      <w:r>
        <w:t xml:space="preserve">genes</w:t>
      </w:r>
    </w:p>
    <w:p>
      <w:pPr>
        <w:pStyle w:val="FirstParagraph"/>
      </w:pPr>
      <w:r>
        <w:t xml:space="preserve">To determine whether each gene among those with large loadings or large</w:t>
      </w:r>
      <w:r>
        <w:t xml:space="preserve"> </w:t>
      </w:r>
      <w:r>
        <w:t xml:space="preserve">heritability had a supported connection to obesity or diabetes in the</w:t>
      </w:r>
      <w:r>
        <w:t xml:space="preserve"> </w:t>
      </w:r>
      <w:r>
        <w:t xml:space="preserve">literature, we used the R package easyPubMed</w:t>
      </w:r>
      <w:r>
        <w:rPr>
          <w:vertAlign w:val="superscript"/>
        </w:rPr>
        <w:t xml:space="preserve">96</w:t>
      </w:r>
      <w:r>
        <w:t xml:space="preserve">. We</w:t>
      </w:r>
      <w:r>
        <w:t xml:space="preserve"> </w:t>
      </w:r>
      <w:r>
        <w:t xml:space="preserve">searched for the terms (diabetes OR obesity) along with the tissue name</w:t>
      </w:r>
      <w:r>
        <w:t xml:space="preserve"> </w:t>
      </w:r>
      <w:r>
        <w:t xml:space="preserve">(adipose, islet, liver, or muscle), and the gene name. We restricted the</w:t>
      </w:r>
      <w:r>
        <w:t xml:space="preserve"> </w:t>
      </w:r>
      <w:r>
        <w:t xml:space="preserve">gene name to appear in the title or abstract as some short names</w:t>
      </w:r>
      <w:r>
        <w:t xml:space="preserve"> </w:t>
      </w:r>
      <w:r>
        <w:t xml:space="preserve">appeared coincidentally in contact information. We checked each gene</w:t>
      </w:r>
      <w:r>
        <w:t xml:space="preserve"> </w:t>
      </w:r>
      <w:r>
        <w:t xml:space="preserve">with apparent literature support by hand to verify that support, and we</w:t>
      </w:r>
      <w:r>
        <w:t xml:space="preserve"> </w:t>
      </w:r>
      <w:r>
        <w:t xml:space="preserve">removed spurious associations. For example, FAU is used as an acronym</w:t>
      </w:r>
      <w:r>
        <w:t xml:space="preserve"> </w:t>
      </w:r>
      <w:r>
        <w:t xml:space="preserve">for fatty acid uptake and CAD is used as an acronym for coronary artery</w:t>
      </w:r>
      <w:r>
        <w:t xml:space="preserve"> </w:t>
      </w:r>
      <w:r>
        <w:t xml:space="preserve">disease. Both terms co-occur with the terms diabetes and obesity in a</w:t>
      </w:r>
      <w:r>
        <w:t xml:space="preserve"> </w:t>
      </w:r>
      <w:r>
        <w:t xml:space="preserve">manner independent of the genes</w:t>
      </w:r>
      <w:r>
        <w:t xml:space="preserve"> </w:t>
      </w:r>
      <w:r>
        <w:rPr>
          <w:iCs/>
          <w:i/>
        </w:rPr>
        <w:t xml:space="preserve">Fau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Cad</w:t>
      </w:r>
      <w:r>
        <w:t xml:space="preserve">. Other</w:t>
      </w:r>
      <w:r>
        <w:t xml:space="preserve"> </w:t>
      </w:r>
      <w:r>
        <w:t xml:space="preserve">genes that co-occurred with diabetes and obesity, but not as a</w:t>
      </w:r>
      <w:r>
        <w:t xml:space="preserve"> </w:t>
      </w:r>
      <w:r>
        <w:t xml:space="preserve">functional connection were similarly removed. For example, the gene</w:t>
      </w:r>
      <w:r>
        <w:t xml:space="preserve"> </w:t>
      </w:r>
      <w:r>
        <w:rPr>
          <w:iCs/>
          <w:i/>
        </w:rPr>
        <w:t xml:space="preserve">Rpl27</w:t>
      </w:r>
      <w:r>
        <w:t xml:space="preserve"> </w:t>
      </w:r>
      <w:r>
        <w:t xml:space="preserve">is used as a reference gene for quantification of the</w:t>
      </w:r>
      <w:r>
        <w:t xml:space="preserve"> </w:t>
      </w:r>
      <w:r>
        <w:t xml:space="preserve">expression of other genes, and co-occurrence with diabetes and obesity</w:t>
      </w:r>
      <w:r>
        <w:t xml:space="preserve"> </w:t>
      </w:r>
      <w:r>
        <w:t xml:space="preserve">is a coincidence. We counted the abstracts associated with diabetes or</w:t>
      </w:r>
      <w:r>
        <w:t xml:space="preserve"> </w:t>
      </w:r>
      <w:r>
        <w:t xml:space="preserve">obesity and each gene name and determined that a gene had literature</w:t>
      </w:r>
      <w:r>
        <w:t xml:space="preserve"> </w:t>
      </w:r>
      <w:r>
        <w:t xml:space="preserve">support when it had at least two abstracts linking it to the terms</w:t>
      </w:r>
      <w:r>
        <w:t xml:space="preserve"> </w:t>
      </w:r>
      <w:r>
        <w:t xml:space="preserve">diabetes or obesity in the respective tissue.</w:t>
      </w:r>
    </w:p>
    <w:bookmarkEnd w:id="71"/>
    <w:bookmarkStart w:id="72" w:name="tissue-specific-clusters"/>
    <w:p>
      <w:pPr>
        <w:pStyle w:val="Heading3"/>
      </w:pPr>
      <w:r>
        <w:t xml:space="preserve">Tissue-specific clusters</w:t>
      </w:r>
    </w:p>
    <w:p>
      <w:pPr>
        <w:pStyle w:val="FirstParagraph"/>
      </w:pPr>
      <w:r>
        <w:t xml:space="preserve">To compare the top loading genes across tissues, we selected genes with</w:t>
      </w:r>
      <w:r>
        <w:t xml:space="preserve"> </w:t>
      </w:r>
      <w:r>
        <w:t xml:space="preserve">a loading at least 2.5 standard deviations from the mean across all</w:t>
      </w:r>
      <w:r>
        <w:t xml:space="preserve"> </w:t>
      </w:r>
      <w:r>
        <w:t xml:space="preserve">tissues. We made a matrix consisting of the union of these sets</w:t>
      </w:r>
      <w:r>
        <w:t xml:space="preserve"> </w:t>
      </w:r>
      <w:r>
        <w:t xml:space="preserve">populated with the tissue-specific loading for each gene. We used the</w:t>
      </w:r>
      <w:r>
        <w:t xml:space="preserve"> </w:t>
      </w:r>
      <w:r>
        <w:t xml:space="preserve">pam() function in the R package cluster</w:t>
      </w:r>
      <w:r>
        <w:rPr>
          <w:vertAlign w:val="superscript"/>
        </w:rPr>
        <w:t xml:space="preserve">97</w:t>
      </w:r>
      <w:r>
        <w:t xml:space="preserve"> </w:t>
      </w:r>
      <w:r>
        <w:t xml:space="preserve">to cluster the</w:t>
      </w:r>
      <w:r>
        <w:t xml:space="preserve"> </w:t>
      </w:r>
      <w:r>
        <w:t xml:space="preserve">loading profiles around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medoids. We tested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through 20</w:t>
      </w:r>
      <w:r>
        <w:t xml:space="preserve"> </w:t>
      </w:r>
      <w:r>
        <w:t xml:space="preserve">and used silhouette analysis to compare the separation of the clusters.</w:t>
      </w:r>
      <w:r>
        <w:t xml:space="preserve"> </w:t>
      </w:r>
      <w:r>
        <w:t xml:space="preserve">The best separation was achieved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clusters. For each</w:t>
      </w:r>
      <w:r>
        <w:t xml:space="preserve"> </w:t>
      </w:r>
      <w:r>
        <w:t xml:space="preserve">cluster we used the R package gprofiler2</w:t>
      </w:r>
      <w:r>
        <w:rPr>
          <w:vertAlign w:val="superscript"/>
        </w:rPr>
        <w:t xml:space="preserve">98</w:t>
      </w:r>
      <w:r>
        <w:t xml:space="preserve"> </w:t>
      </w:r>
      <w:r>
        <w:t xml:space="preserve">to identify</w:t>
      </w:r>
      <w:r>
        <w:t xml:space="preserve"> </w:t>
      </w:r>
      <w:r>
        <w:t xml:space="preserve">enriched GO terms and KEGG pathways for the genes in each cluster.</w:t>
      </w:r>
    </w:p>
    <w:bookmarkEnd w:id="72"/>
    <w:bookmarkStart w:id="73" w:name="imputation-of-gene-expression-in-cc-rix"/>
    <w:p>
      <w:pPr>
        <w:pStyle w:val="Heading3"/>
      </w:pPr>
      <w:r>
        <w:t xml:space="preserve">Imputation of gene expression in</w:t>
      </w:r>
      <w:r>
        <w:t xml:space="preserve"> </w:t>
      </w:r>
      <w:r>
        <w:t xml:space="preserve">CC-RIX</w:t>
      </w:r>
    </w:p>
    <w:p>
      <w:pPr>
        <w:pStyle w:val="FirstParagraph"/>
      </w:pPr>
      <w:r>
        <w:t xml:space="preserve">To impute gene expression in the CC-RIX, we performed the following</w:t>
      </w:r>
      <w:r>
        <w:t xml:space="preserve"> </w:t>
      </w:r>
      <w:r>
        <w:t xml:space="preserve">steps for each transcript in each tissue (adipose, liver, and skeletal</w:t>
      </w:r>
      <w:r>
        <w:t xml:space="preserve"> </w:t>
      </w:r>
      <w:r>
        <w:t xml:space="preserve">muscle):</w:t>
      </w:r>
    </w:p>
    <w:p>
      <w:pPr>
        <w:numPr>
          <w:ilvl w:val="0"/>
          <w:numId w:val="1001"/>
        </w:numPr>
      </w:pPr>
      <w:r>
        <w:t xml:space="preserve">Calculate diploid CC-RIX genotype for all CC-RIX individuals at the</w:t>
      </w:r>
      <w:r>
        <w:t xml:space="preserve"> </w:t>
      </w:r>
      <w:r>
        <w:t xml:space="preserve">marker nearest the transcription start site of the transcript.</w:t>
      </w:r>
    </w:p>
    <w:p>
      <w:pPr>
        <w:numPr>
          <w:ilvl w:val="0"/>
          <w:numId w:val="1001"/>
        </w:numPr>
      </w:pPr>
      <w:r>
        <w:t xml:space="preserve">Multiply the genotype probabilities by the eQTL coefficients</w:t>
      </w:r>
      <w:r>
        <w:t xml:space="preserve"> </w:t>
      </w:r>
      <w:r>
        <w:t xml:space="preserve">identified in the DO population.</w:t>
      </w:r>
    </w:p>
    <w:p>
      <w:pPr>
        <w:pStyle w:val="FirstParagraph"/>
      </w:pPr>
      <w:r>
        <w:t xml:space="preserve">To check the accuracy of the imputation, we correlated each imputed</w:t>
      </w:r>
      <w:r>
        <w:t xml:space="preserve"> </w:t>
      </w:r>
      <w:r>
        <w:t xml:space="preserve">transcript with the measured transcript. The average Pearson correlation</w:t>
      </w:r>
      <w:r>
        <w:t xml:space="preserve"> </w:t>
      </w:r>
      <w:r>
        <w:t xml:space="preserve">(r) was close to 0.5 for all three tissues (Supplementary Figure</w:t>
      </w:r>
      <w:r>
        <w:t xml:space="preserve"> </w:t>
      </w:r>
      <w:hyperlink w:anchor="fig:cc_imputation">
        <w:r>
          <w:rPr>
            <w:rStyle w:val="Hyperlink"/>
          </w:rPr>
          <w:t xml:space="preserve">[fig:cc_imputation]</w:t>
        </w:r>
      </w:hyperlink>
      <w:r>
        <w:t xml:space="preserve">A), and as expected, the correlation between the</w:t>
      </w:r>
      <w:r>
        <w:t xml:space="preserve"> </w:t>
      </w:r>
      <w:r>
        <w:t xml:space="preserve">imputed transcript and the measured transcript was highly positively</w:t>
      </w:r>
      <w:r>
        <w:t xml:space="preserve"> </w:t>
      </w:r>
      <w:r>
        <w:t xml:space="preserve">dependent on the local eQTL LOD score of the transcript (Supplementary</w:t>
      </w:r>
      <w:r>
        <w:t xml:space="preserve"> </w:t>
      </w:r>
      <w:r>
        <w:t xml:space="preserve">Figure</w:t>
      </w:r>
      <w:r>
        <w:t xml:space="preserve"> </w:t>
      </w:r>
      <w:hyperlink w:anchor="fig:cc_imputation">
        <w:r>
          <w:rPr>
            <w:rStyle w:val="Hyperlink"/>
          </w:rPr>
          <w:t xml:space="preserve">[fig:cc_imputation]</w:t>
        </w:r>
      </w:hyperlink>
      <w:r>
        <w:t xml:space="preserve">B).</w:t>
      </w:r>
    </w:p>
    <w:bookmarkEnd w:id="73"/>
    <w:bookmarkStart w:id="74" w:name="prediction-of-cc-rix-traits"/>
    <w:p>
      <w:pPr>
        <w:pStyle w:val="Heading3"/>
      </w:pPr>
      <w:r>
        <w:t xml:space="preserve">Prediction of CC-RIX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We used both measured expression and imputed expression combined with</w:t>
      </w:r>
      <w:r>
        <w:t xml:space="preserve"> </w:t>
      </w:r>
      <w:r>
        <w:t xml:space="preserve">the results from HDM in the to predict metabolic disease index (MDI) in</w:t>
      </w:r>
      <w:r>
        <w:t xml:space="preserve"> </w:t>
      </w:r>
      <w:r>
        <w:t xml:space="preserve">the CC-RIX. The traits measured in the DO and the CC-RIX were not</w:t>
      </w:r>
      <w:r>
        <w:t xml:space="preserve"> </w:t>
      </w:r>
      <w:r>
        <w:t xml:space="preserve">identical, so we limited our prediction to body weight, which was</w:t>
      </w:r>
      <w:r>
        <w:t xml:space="preserve"> </w:t>
      </w:r>
      <w:r>
        <w:t xml:space="preserve">measured in both populations, and was the largest contributor to MDI in</w:t>
      </w:r>
      <w:r>
        <w:t xml:space="preserve"> </w:t>
      </w:r>
      <w:r>
        <w:t xml:space="preserve">the DO.</w:t>
      </w:r>
    </w:p>
    <w:p>
      <w:pPr>
        <w:pStyle w:val="BodyText"/>
      </w:pPr>
      <w:r>
        <w:t xml:space="preserve">For each CC-RIX individual, we multiplied the transcript abundances</w:t>
      </w:r>
      <w:r>
        <w:t xml:space="preserve"> </w:t>
      </w:r>
      <w:r>
        <w:t xml:space="preserve">across the transcriptome by the loadings derived from the HDM in the DO</w:t>
      </w:r>
      <w:r>
        <w:t xml:space="preserve"> </w:t>
      </w:r>
      <w:r>
        <w:t xml:space="preserve">population. This resulted in a vector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transcripts in the trancriptome. Each element was a</w:t>
      </w:r>
      <w:r>
        <w:t xml:space="preserve"> </w:t>
      </w:r>
      <w:r>
        <w:t xml:space="preserve">weighted value that combined the relative abundance of the transcript</w:t>
      </w:r>
      <w:r>
        <w:t xml:space="preserve"> </w:t>
      </w:r>
      <w:r>
        <w:t xml:space="preserve">with how that abundance affected MDI. We averaged the values in this</w:t>
      </w:r>
      <w:r>
        <w:t xml:space="preserve"> </w:t>
      </w:r>
      <w:r>
        <w:t xml:space="preserve">vector to calculate an overall predicted MDI for the individual CC-RIX</w:t>
      </w:r>
      <w:r>
        <w:t xml:space="preserve"> </w:t>
      </w:r>
      <w:r>
        <w:t xml:space="preserve">animal.</w:t>
      </w:r>
    </w:p>
    <w:p>
      <w:pPr>
        <w:pStyle w:val="BodyText"/>
      </w:pPr>
      <w:r>
        <w:t xml:space="preserve">After calculating this predicted MDI across all CC-RIX animals, we</w:t>
      </w:r>
      <w:r>
        <w:t xml:space="preserve"> </w:t>
      </w:r>
      <w:r>
        <w:t xml:space="preserve">correlated the predicted values from each tissue with measured body</w:t>
      </w:r>
      <w:r>
        <w:t xml:space="preserve"> </w:t>
      </w:r>
      <w:r>
        <w:t xml:space="preserve">weight (Supplementary Figure</w:t>
      </w:r>
      <w:r>
        <w:t xml:space="preserve"> </w:t>
      </w:r>
      <w:hyperlink w:anchor="fig:cc_imputation">
        <w:r>
          <w:rPr>
            <w:rStyle w:val="Hyperlink"/>
          </w:rPr>
          <w:t xml:space="preserve">[fig:cc_imputation]</w:t>
        </w:r>
      </w:hyperlink>
      <w:r>
        <w:t xml:space="preserve">B).</w:t>
      </w:r>
    </w:p>
    <w:bookmarkEnd w:id="74"/>
    <w:bookmarkStart w:id="75" w:name="cell-type-specificity"/>
    <w:p>
      <w:pPr>
        <w:pStyle w:val="Heading3"/>
      </w:pPr>
      <w:r>
        <w:t xml:space="preserve">Cell type specificity</w:t>
      </w:r>
    </w:p>
    <w:p>
      <w:pPr>
        <w:pStyle w:val="FirstParagraph"/>
      </w:pPr>
      <w:r>
        <w:t xml:space="preserve">We investigated whether the loadings derived from HDM reflected tissue</w:t>
      </w:r>
      <w:r>
        <w:t xml:space="preserve"> </w:t>
      </w:r>
      <w:r>
        <w:t xml:space="preserve">composition changes in the DO mice prone to obesity on the high-fat</w:t>
      </w:r>
      <w:r>
        <w:t xml:space="preserve"> </w:t>
      </w:r>
      <w:r>
        <w:t xml:space="preserve">diet. To do this, we acquired lists of cell-type specific transcripts</w:t>
      </w:r>
      <w:r>
        <w:t xml:space="preserve"> </w:t>
      </w:r>
      <w:r>
        <w:t xml:space="preserve">from the literature. In adipose tissue, we looked at cell-type specific</w:t>
      </w:r>
      <w:r>
        <w:t xml:space="preserve"> </w:t>
      </w:r>
      <w:r>
        <w:t xml:space="preserve">transcripts for macrophages, leukocytes, adipocyte progenitors, and</w:t>
      </w:r>
      <w:r>
        <w:t xml:space="preserve"> </w:t>
      </w:r>
      <w:r>
        <w:t xml:space="preserve">adipocytes as defined in Ehrlund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(2017)</w:t>
      </w:r>
      <w:r>
        <w:rPr>
          <w:vertAlign w:val="superscript"/>
        </w:rPr>
        <w:t xml:space="preserve">99</w:t>
      </w:r>
      <w:r>
        <w:t xml:space="preserve">. In pancreatic islets, we looked at cell-type</w:t>
      </w:r>
      <w:r>
        <w:t xml:space="preserve"> </w:t>
      </w:r>
      <w:r>
        <w:t xml:space="preserve">specific transcripts for alpha cells, beta cells, delta cells, ductal</w:t>
      </w:r>
      <w:r>
        <w:t xml:space="preserve"> </w:t>
      </w:r>
      <w:r>
        <w:t xml:space="preserve">cells, mast cells, macrophages, acinar cells, stellate cells, gamma and</w:t>
      </w:r>
      <w:r>
        <w:t xml:space="preserve"> </w:t>
      </w:r>
      <w:r>
        <w:t xml:space="preserve">epsilon cells, and endothelial cells as defined by Elgamal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</w:t>
      </w:r>
      <w:r>
        <w:rPr>
          <w:vertAlign w:val="superscript"/>
        </w:rPr>
        <w:t xml:space="preserve">100</w:t>
      </w:r>
      <w:r>
        <w:t xml:space="preserve">. Both studies defined</w:t>
      </w:r>
      <w:r>
        <w:t xml:space="preserve"> </w:t>
      </w:r>
      <w:r>
        <w:t xml:space="preserve">cell-type specific transcripts based on human cell types. We collected</w:t>
      </w:r>
      <w:r>
        <w:t xml:space="preserve"> </w:t>
      </w:r>
      <w:r>
        <w:t xml:space="preserve">the loadings for each set of cell-type specific transcripts in the</w:t>
      </w:r>
      <w:r>
        <w:t xml:space="preserve"> </w:t>
      </w:r>
      <w:r>
        <w:t xml:space="preserve">respective tissue and asked whether the mean loading for the cell type</w:t>
      </w:r>
      <w:r>
        <w:t xml:space="preserve"> </w:t>
      </w:r>
      <w:r>
        <w:t xml:space="preserve">differed significantly from 0. A significant positive loading for the</w:t>
      </w:r>
      <w:r>
        <w:t xml:space="preserve"> </w:t>
      </w:r>
      <w:r>
        <w:t xml:space="preserve">cell type would suggest a genetic predisposition to have a higher</w:t>
      </w:r>
      <w:r>
        <w:t xml:space="preserve"> </w:t>
      </w:r>
      <w:r>
        <w:t xml:space="preserve">proportion of that cell type in the tissue. To determine whether each</w:t>
      </w:r>
      <w:r>
        <w:t xml:space="preserve"> </w:t>
      </w:r>
      <w:r>
        <w:t xml:space="preserve">mean loading differed significantly from 0, we performed permutation</w:t>
      </w:r>
      <w:r>
        <w:t xml:space="preserve"> </w:t>
      </w:r>
      <w:r>
        <w:t xml:space="preserve">tests. We randomly sampled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genes outside of the cell-type</w:t>
      </w:r>
      <w:r>
        <w:t xml:space="preserve"> </w:t>
      </w:r>
      <w:r>
        <w:t xml:space="preserve">specific,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was the number of genes in the set. We compared</w:t>
      </w:r>
      <w:r>
        <w:t xml:space="preserve"> </w:t>
      </w:r>
      <w:r>
        <w:t xml:space="preserve">the distribution of loading means over 10,000 random draws to that seen</w:t>
      </w:r>
      <w:r>
        <w:t xml:space="preserve"> </w:t>
      </w:r>
      <w:r>
        <w:t xml:space="preserve">in the observed data. We used a significance threshold of 0.01.</w:t>
      </w:r>
    </w:p>
    <w:bookmarkEnd w:id="75"/>
    <w:bookmarkStart w:id="80" w:name="X729ad63acc6713e670929761563426c121fd2bb"/>
    <w:p>
      <w:pPr>
        <w:pStyle w:val="Heading3"/>
      </w:pPr>
      <w:r>
        <w:t xml:space="preserve">Comparison of transcriptomic signatures to human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signatures</w:t>
      </w:r>
    </w:p>
    <w:p>
      <w:pPr>
        <w:pStyle w:val="FirstParagraph"/>
      </w:pPr>
      <w:r>
        <w:t xml:space="preserve">To compare the transcriptomic signatures identified in the DO mice to</w:t>
      </w:r>
      <w:r>
        <w:t xml:space="preserve"> </w:t>
      </w:r>
      <w:r>
        <w:t xml:space="preserve">those seen in human patients, we downloaded human gene expression data</w:t>
      </w:r>
      <w:r>
        <w:t xml:space="preserve"> </w:t>
      </w:r>
      <w:r>
        <w:t xml:space="preserve">from the Gene Expression Omnibus (GEO)</w:t>
      </w:r>
      <w:r>
        <w:rPr>
          <w:vertAlign w:val="superscript"/>
        </w:rPr>
        <w:t xml:space="preserve">101,102</w:t>
      </w:r>
      <w:r>
        <w:t xml:space="preserve">. We focused on adipose tissue because</w:t>
      </w:r>
      <w:r>
        <w:t xml:space="preserve"> </w:t>
      </w:r>
      <w:r>
        <w:t xml:space="preserve">this had the strongest relationship to obesity and insulin resistance in</w:t>
      </w:r>
      <w:r>
        <w:t xml:space="preserve"> </w:t>
      </w:r>
      <w:r>
        <w:t xml:space="preserve">the DO. We downloaded the following human gene expression data sets:</w:t>
      </w:r>
    </w:p>
    <w:p>
      <w:pPr>
        <w:numPr>
          <w:ilvl w:val="0"/>
          <w:numId w:val="1002"/>
        </w:numPr>
      </w:pPr>
      <w:r>
        <w:t xml:space="preserve">Accession number</w:t>
      </w:r>
      <w:r>
        <w:t xml:space="preserve"> </w:t>
      </w:r>
      <w:hyperlink r:id="rId76">
        <w:r>
          <w:rPr>
            <w:rStyle w:val="Hyperlink"/>
          </w:rPr>
          <w:t xml:space="preserve">GSE152517</w:t>
        </w:r>
      </w:hyperlink>
      <w:r>
        <w:t xml:space="preserve"> </w:t>
      </w:r>
      <w:r>
        <w:t xml:space="preserve">- Bulk RNA sequencing on visceral adipose tissue resected from seven</w:t>
      </w:r>
      <w:r>
        <w:t xml:space="preserve"> </w:t>
      </w:r>
      <w:r>
        <w:t xml:space="preserve">diabetic and seven non-diabetic obese individuals.</w:t>
      </w:r>
    </w:p>
    <w:p>
      <w:pPr>
        <w:numPr>
          <w:ilvl w:val="0"/>
          <w:numId w:val="1002"/>
        </w:numPr>
      </w:pPr>
      <w:r>
        <w:t xml:space="preserve">Accession number</w:t>
      </w:r>
      <w:r>
        <w:t xml:space="preserve"> </w:t>
      </w:r>
      <w:hyperlink r:id="rId77">
        <w:r>
          <w:rPr>
            <w:rStyle w:val="Hyperlink"/>
          </w:rPr>
          <w:t xml:space="preserve">GSE44000</w:t>
        </w:r>
      </w:hyperlink>
      <w:r>
        <w:t xml:space="preserve"> </w:t>
      </w:r>
      <w:r>
        <w:t xml:space="preserve">- Agilent-014850 4X44K human whole genome platform arrays (GPL6480)</w:t>
      </w:r>
      <w:r>
        <w:t xml:space="preserve"> </w:t>
      </w:r>
      <w:r>
        <w:t xml:space="preserve">measuring gene expression in purified adipocytes derived from the</w:t>
      </w:r>
      <w:r>
        <w:t xml:space="preserve"> </w:t>
      </w:r>
      <w:r>
        <w:t xml:space="preserve">subcutaneous adipose tissue of seven obese (BMI&gt;30) and</w:t>
      </w:r>
      <w:r>
        <w:t xml:space="preserve"> </w:t>
      </w:r>
      <w:r>
        <w:t xml:space="preserve">seven lean (BMI&lt;25) post-menopausal women.</w:t>
      </w:r>
    </w:p>
    <w:p>
      <w:pPr>
        <w:numPr>
          <w:ilvl w:val="0"/>
          <w:numId w:val="1002"/>
        </w:numPr>
      </w:pPr>
      <w:r>
        <w:t xml:space="preserve">Accession number</w:t>
      </w:r>
      <w:r>
        <w:t xml:space="preserve"> </w:t>
      </w:r>
      <w:hyperlink r:id="rId78">
        <w:r>
          <w:rPr>
            <w:rStyle w:val="Hyperlink"/>
          </w:rPr>
          <w:t xml:space="preserve">GSE205668</w:t>
        </w:r>
      </w:hyperlink>
      <w:r>
        <w:t xml:space="preserve"> </w:t>
      </w:r>
      <w:r>
        <w:t xml:space="preserve">- Subcutaneous adipose tissue was resected during elective surgery</w:t>
      </w:r>
      <w:r>
        <w:t xml:space="preserve"> </w:t>
      </w:r>
      <w:r>
        <w:t xml:space="preserve">from 35 normal weight, and 26 obese children. Gene expression was</w:t>
      </w:r>
      <w:r>
        <w:t xml:space="preserve"> </w:t>
      </w:r>
      <w:r>
        <w:t xml:space="preserve">measured by RNA sequencing with an Illumina HiSeq 2500.</w:t>
      </w:r>
    </w:p>
    <w:p>
      <w:pPr>
        <w:numPr>
          <w:ilvl w:val="0"/>
          <w:numId w:val="1002"/>
        </w:numPr>
      </w:pPr>
      <w:r>
        <w:t xml:space="preserve">Accession number</w:t>
      </w:r>
      <w:r>
        <w:t xml:space="preserve"> </w:t>
      </w:r>
      <w:hyperlink r:id="rId79">
        <w:r>
          <w:rPr>
            <w:rStyle w:val="Hyperlink"/>
          </w:rPr>
          <w:t xml:space="preserve">GSE29231</w:t>
        </w:r>
      </w:hyperlink>
      <w:r>
        <w:t xml:space="preserve"> </w:t>
      </w:r>
      <w:r>
        <w:t xml:space="preserve">- Visceral adipose biopsies were taken from three (four technical</w:t>
      </w:r>
      <w:r>
        <w:t xml:space="preserve"> </w:t>
      </w:r>
      <w:r>
        <w:t xml:space="preserve">replicates each) female patients with type 2 diabetes, and three (four</w:t>
      </w:r>
      <w:r>
        <w:t xml:space="preserve"> </w:t>
      </w:r>
      <w:r>
        <w:t xml:space="preserve">technical replicates each) non-diabetic female patients. Expression</w:t>
      </w:r>
      <w:r>
        <w:t xml:space="preserve"> </w:t>
      </w:r>
      <w:r>
        <w:t xml:space="preserve">was measured with Illumina HumanHT-12 v3 Expression BeadChip arrays.</w:t>
      </w:r>
    </w:p>
    <w:p>
      <w:pPr>
        <w:pStyle w:val="FirstParagraph"/>
      </w:pPr>
      <w:r>
        <w:t xml:space="preserve">We downloaded each data set from GEO using the R package GEOquery</w:t>
      </w:r>
      <w:r>
        <w:rPr>
          <w:vertAlign w:val="superscript"/>
        </w:rPr>
        <w:t xml:space="preserve">103</w:t>
      </w:r>
      <w:r>
        <w:t xml:space="preserve">. In each case, we verified that gene expression was log</w:t>
      </w:r>
      <w:r>
        <w:t xml:space="preserve"> </w:t>
      </w:r>
      <w:r>
        <w:t xml:space="preserve">transformed and performed the transformation ourselves if it had not</w:t>
      </w:r>
      <w:r>
        <w:t xml:space="preserve"> </w:t>
      </w:r>
      <w:r>
        <w:t xml:space="preserve">already been done. When covariates such as age and sex were available in</w:t>
      </w:r>
      <w:r>
        <w:t xml:space="preserve"> </w:t>
      </w:r>
      <w:r>
        <w:t xml:space="preserve">the metadata files, we regressed out these variables (GSE205668 - sex</w:t>
      </w:r>
      <w:r>
        <w:t xml:space="preserve"> </w:t>
      </w:r>
      <w:r>
        <w:t xml:space="preserve">and age; GSE44000 - none; GSE29231 - age; GSE152517 - none). We</w:t>
      </w:r>
      <w:r>
        <w:t xml:space="preserve"> </w:t>
      </w:r>
      <w:r>
        <w:t xml:space="preserve">mean-centered and standardized gene expression across transcripts.</w:t>
      </w:r>
    </w:p>
    <w:p>
      <w:pPr>
        <w:pStyle w:val="BodyText"/>
      </w:pPr>
      <w:r>
        <w:t xml:space="preserve">We matched the human gene expression to the mouse gene expression by</w:t>
      </w:r>
      <w:r>
        <w:t xml:space="preserve"> </w:t>
      </w:r>
      <w:r>
        <w:t xml:space="preserve">pairing orthologs as defined in The Jackson Laboratory’s mouse genome</w:t>
      </w:r>
      <w:r>
        <w:t xml:space="preserve"> </w:t>
      </w:r>
      <w:r>
        <w:t xml:space="preserve">informatics data base (MGI)</w:t>
      </w:r>
      <w:r>
        <w:rPr>
          <w:vertAlign w:val="superscript"/>
        </w:rPr>
        <w:t xml:space="preserve">104</w:t>
      </w:r>
      <w:r>
        <w:t xml:space="preserve">. We multiplied each</w:t>
      </w:r>
      <w:r>
        <w:t xml:space="preserve"> </w:t>
      </w:r>
      <w:r>
        <w:t xml:space="preserve">transcript in the human data by the adipose tissue loading of its</w:t>
      </w:r>
      <w:r>
        <w:t xml:space="preserve"> </w:t>
      </w:r>
      <w:r>
        <w:t xml:space="preserve">ortholog in the DO mice. This resulted in a vector of weighted</w:t>
      </w:r>
      <w:r>
        <w:t xml:space="preserve"> </w:t>
      </w:r>
      <w:r>
        <w:t xml:space="preserve">transcript values for each patient based on their own transcriptional</w:t>
      </w:r>
      <w:r>
        <w:t xml:space="preserve"> </w:t>
      </w:r>
      <w:r>
        <w:t xml:space="preserve">profile and the obesity-related transcriptional signature from the DO</w:t>
      </w:r>
      <w:r>
        <w:t xml:space="preserve"> </w:t>
      </w:r>
      <w:r>
        <w:t xml:space="preserve">analysis. The mean of this vector for an individual was the prediction</w:t>
      </w:r>
      <w:r>
        <w:t xml:space="preserve"> </w:t>
      </w:r>
      <w:r>
        <w:t xml:space="preserve">of their obesity status (MDI). Higher values indicate a prediction of</w:t>
      </w:r>
      <w:r>
        <w:t xml:space="preserve"> </w:t>
      </w:r>
      <w:r>
        <w:t xml:space="preserve">higher obesity or risk of metabolic disease based on adipose gene</w:t>
      </w:r>
      <w:r>
        <w:t xml:space="preserve"> </w:t>
      </w:r>
      <w:r>
        <w:t xml:space="preserve">expression.</w:t>
      </w:r>
    </w:p>
    <w:p>
      <w:pPr>
        <w:pStyle w:val="BodyText"/>
      </w:pPr>
      <w:r>
        <w:t xml:space="preserve">We then compared the values across groups, either obese and non-obese,</w:t>
      </w:r>
      <w:r>
        <w:t xml:space="preserve"> </w:t>
      </w:r>
      <w:r>
        <w:t xml:space="preserve">or diabetic and non-diabetic depending on the groups in each study. For</w:t>
      </w:r>
      <w:r>
        <w:t xml:space="preserve"> </w:t>
      </w:r>
      <w:r>
        <w:t xml:space="preserve">the three studies without technical replicates (accession numbers</w:t>
      </w:r>
      <w:r>
        <w:t xml:space="preserve"> </w:t>
      </w:r>
      <w:r>
        <w:t xml:space="preserve">GSE152517, GSE44000, and GSE205668), we used Welch’s t-test to compare</w:t>
      </w:r>
      <w:r>
        <w:t xml:space="preserve"> </w:t>
      </w:r>
      <w:r>
        <w:t xml:space="preserve">the means of the two groups. This is the default t-test in base R and</w:t>
      </w:r>
      <w:r>
        <w:t xml:space="preserve"> </w:t>
      </w:r>
      <w:r>
        <w:t xml:space="preserve">assumes unequal variance across groups. For the study that included</w:t>
      </w:r>
      <w:r>
        <w:t xml:space="preserve"> </w:t>
      </w:r>
      <w:r>
        <w:t xml:space="preserve">technical replicates (GSE29231) we fit a linear mixed model from the R</w:t>
      </w:r>
      <w:r>
        <w:t xml:space="preserve"> </w:t>
      </w:r>
      <w:r>
        <w:t xml:space="preserve">packages lme4</w:t>
      </w:r>
      <w:r>
        <w:rPr>
          <w:vertAlign w:val="superscript"/>
        </w:rPr>
        <w:t xml:space="preserve">82</w:t>
      </w:r>
      <w:r>
        <w:t xml:space="preserve"> </w:t>
      </w:r>
      <w:r>
        <w:t xml:space="preserve">and lmerTest</w:t>
      </w:r>
      <w:r>
        <w:rPr>
          <w:vertAlign w:val="superscript"/>
        </w:rPr>
        <w:t xml:space="preserve">105</w:t>
      </w:r>
      <w:r>
        <w:t xml:space="preserve">.</w:t>
      </w:r>
      <w:r>
        <w:t xml:space="preserve"> </w:t>
      </w:r>
      <w:r>
        <w:t xml:space="preserve">We used subject ID as a random variable.</w:t>
      </w:r>
    </w:p>
    <w:bookmarkEnd w:id="80"/>
    <w:bookmarkStart w:id="82" w:name="connectivity-map-queries"/>
    <w:p>
      <w:pPr>
        <w:pStyle w:val="Heading3"/>
      </w:pPr>
      <w:r>
        <w:t xml:space="preserve">Connectivity Map Queries</w:t>
      </w:r>
    </w:p>
    <w:p>
      <w:pPr>
        <w:pStyle w:val="FirstParagraph"/>
      </w:pPr>
      <w:r>
        <w:t xml:space="preserve">We queried the transcript loading signatures from adipose tissue and</w:t>
      </w:r>
      <w:r>
        <w:t xml:space="preserve"> </w:t>
      </w:r>
      <w:r>
        <w:t xml:space="preserve">pancreatic islets with the CMAP database. These tissues are the most</w:t>
      </w:r>
      <w:r>
        <w:t xml:space="preserve"> </w:t>
      </w:r>
      <w:r>
        <w:t xml:space="preserve">related to metabolic disease and diabetes respectively.</w:t>
      </w:r>
    </w:p>
    <w:p>
      <w:pPr>
        <w:pStyle w:val="BodyText"/>
      </w:pPr>
      <w:r>
        <w:t xml:space="preserve">The gene expression profiles in the Connectivity Map database are</w:t>
      </w:r>
      <w:r>
        <w:t xml:space="preserve"> </w:t>
      </w:r>
      <w:r>
        <w:t xml:space="preserve">derived from human cell lines and human primary cultures and are indexed</w:t>
      </w:r>
      <w:r>
        <w:t xml:space="preserve"> </w:t>
      </w:r>
      <w:r>
        <w:t xml:space="preserve">by Entrez gene IDs. To query the CMAP database, we identified the Entrez</w:t>
      </w:r>
      <w:r>
        <w:t xml:space="preserve"> </w:t>
      </w:r>
      <w:r>
        <w:t xml:space="preserve">gene IDs for the human orthologs of the mouse genes expressed in each</w:t>
      </w:r>
      <w:r>
        <w:t xml:space="preserve"> </w:t>
      </w:r>
      <w:r>
        <w:t xml:space="preserve">tissue. Each CMAP query takes the 150 most up-regulated and the 150 most</w:t>
      </w:r>
      <w:r>
        <w:t xml:space="preserve"> </w:t>
      </w:r>
      <w:r>
        <w:t xml:space="preserve">down-regulated genes in a signature, however, not all human genes are</w:t>
      </w:r>
      <w:r>
        <w:t xml:space="preserve"> </w:t>
      </w:r>
      <w:r>
        <w:t xml:space="preserve">included in their database. To ensure we had as many genes as possible</w:t>
      </w:r>
      <w:r>
        <w:t xml:space="preserve"> </w:t>
      </w:r>
      <w:r>
        <w:t xml:space="preserve">in the query, we selected the top and bottom 200 genes with the most</w:t>
      </w:r>
      <w:r>
        <w:t xml:space="preserve"> </w:t>
      </w:r>
      <w:r>
        <w:t xml:space="preserve">extreme positive and negative loadings respectively. We pasted these</w:t>
      </w:r>
      <w:r>
        <w:t xml:space="preserve"> </w:t>
      </w:r>
      <w:r>
        <w:t xml:space="preserve">into the CLUE query application available at</w:t>
      </w:r>
      <w:r>
        <w:t xml:space="preserve"> </w:t>
      </w:r>
      <w:hyperlink r:id="rId81">
        <w:r>
          <w:rPr>
            <w:rStyle w:val="Hyperlink"/>
          </w:rPr>
          <w:t xml:space="preserve">https://clue.io/query</w:t>
        </w:r>
      </w:hyperlink>
      <w:r>
        <w:t xml:space="preserve">. These gene lists are available as Source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We filtered the results in two ways: First, we looked at the most</w:t>
      </w:r>
      <w:r>
        <w:t xml:space="preserve"> </w:t>
      </w:r>
      <w:r>
        <w:t xml:space="preserve">significantly anti-correlated</w:t>
      </w:r>
      <w:r>
        <w:t xml:space="preserve"> </w:t>
      </w:r>
      <w:r>
        <w:t xml:space="preserve">(</w:t>
      </w:r>
      <m:oMath>
        <m:r>
          <m:rPr>
            <m:sty m:val="p"/>
          </m:rPr>
          <m:t>−</m:t>
        </m:r>
        <m:sSub>
          <m:e>
            <m:r>
              <m:rPr>
                <m:sty m:val="p"/>
              </m:rPr>
              <m:t>l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q</m:t>
            </m:r>
          </m:e>
        </m:d>
        <m:r>
          <m:rPr>
            <m:sty m:val="p"/>
          </m:rPr>
          <m:t>&gt;</m:t>
        </m:r>
        <m:r>
          <m:t>15</m:t>
        </m:r>
      </m:oMath>
      <w:r>
        <w:t xml:space="preserve">) hits across all cell</w:t>
      </w:r>
      <w:r>
        <w:t xml:space="preserve"> </w:t>
      </w:r>
      <w:r>
        <w:t xml:space="preserve">types. Second, we looked at the most anti-correlated within the most</w:t>
      </w:r>
      <w:r>
        <w:t xml:space="preserve"> </w:t>
      </w:r>
      <w:r>
        <w:t xml:space="preserve">related cell type to the query and considered hits regardless of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rPr>
                <m:sty m:val="p"/>
              </m:rPr>
              <m:t>l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p</m:t>
            </m:r>
          </m:e>
        </m:d>
      </m:oMath>
      <w:r>
        <w:t xml:space="preserve">. For adipose tissue we looked in</w:t>
      </w:r>
      <w:r>
        <w:t xml:space="preserve"> </w:t>
      </w:r>
      <w:r>
        <w:t xml:space="preserve">normal adipocytes, abbreviated ASC in the CMAP database, and for</w:t>
      </w:r>
      <w:r>
        <w:t xml:space="preserve"> </w:t>
      </w:r>
      <w:r>
        <w:t xml:space="preserve">pancreatic islets we looked in pancreatic cancer cells, abbreviated YAPC</w:t>
      </w:r>
      <w:r>
        <w:t xml:space="preserve"> </w:t>
      </w:r>
      <w:r>
        <w:t xml:space="preserve">in the CMAP database.</w:t>
      </w:r>
    </w:p>
    <w:bookmarkEnd w:id="82"/>
    <w:bookmarkStart w:id="91" w:name="data-availability"/>
    <w:p>
      <w:pPr>
        <w:pStyle w:val="Heading3"/>
      </w:pPr>
      <w:r>
        <w:t xml:space="preserve">Data Availability</w:t>
      </w:r>
    </w:p>
    <w:p>
      <w:pPr>
        <w:pStyle w:val="FirstParagraph"/>
      </w:pPr>
      <w:r>
        <w:rPr>
          <w:bCs/>
          <w:b/>
        </w:rPr>
        <w:t xml:space="preserve">DO mice:</w:t>
      </w:r>
      <w:r>
        <w:t xml:space="preserve"> </w:t>
      </w:r>
      <w:r>
        <w:t xml:space="preserve">Genotypes, phenotypes, and pancreatic islet gene</w:t>
      </w:r>
      <w:r>
        <w:t xml:space="preserve"> </w:t>
      </w:r>
      <w:r>
        <w:t xml:space="preserve">expression data were previously published</w:t>
      </w:r>
      <w:r>
        <w:rPr>
          <w:vertAlign w:val="superscript"/>
        </w:rPr>
        <w:t xml:space="preserve">12</w:t>
      </w:r>
      <w:r>
        <w:t xml:space="preserve">. Gene</w:t>
      </w:r>
      <w:r>
        <w:t xml:space="preserve"> </w:t>
      </w:r>
      <w:r>
        <w:t xml:space="preserve">expression for the other tissues can be found at the</w:t>
      </w:r>
      <w:r>
        <w:t xml:space="preserve"> </w:t>
      </w:r>
      <w:hyperlink r:id="rId83">
        <w:r>
          <w:rPr>
            <w:rStyle w:val="Hyperlink"/>
          </w:rPr>
          <w:t xml:space="preserve">Gene Expression Omnibus</w:t>
        </w:r>
      </w:hyperlink>
      <w:r>
        <w:t xml:space="preserve"> </w:t>
      </w:r>
      <w:r>
        <w:t xml:space="preserve">with</w:t>
      </w:r>
      <w:r>
        <w:t xml:space="preserve"> </w:t>
      </w:r>
      <w:r>
        <w:t xml:space="preserve">the following accession numbers:</w:t>
      </w:r>
      <w:r>
        <w:t xml:space="preserve"> </w:t>
      </w:r>
      <w:hyperlink r:id="rId84"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adipose tissue - GSE266549</w:t>
        </w:r>
      </w:hyperlink>
      <w:r>
        <w:t xml:space="preserve">;</w:t>
      </w:r>
      <w:r>
        <w:t xml:space="preserve"> </w:t>
      </w:r>
      <w:hyperlink r:id="rId85"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liver tissue - GSE266569</w:t>
        </w:r>
      </w:hyperlink>
      <w:r>
        <w:t xml:space="preserve">;</w:t>
      </w:r>
      <w:r>
        <w:t xml:space="preserve"> </w:t>
      </w:r>
      <w:hyperlink r:id="rId86"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skeletal muscle - GSE266567</w:t>
        </w:r>
      </w:hyperlink>
      <w:r>
        <w:t xml:space="preserve">.</w:t>
      </w:r>
    </w:p>
    <w:p>
      <w:pPr>
        <w:pStyle w:val="BodyText"/>
      </w:pPr>
      <w:r>
        <w:t xml:space="preserve">Expression data with calculated eQTLs are available at</w:t>
      </w:r>
      <w:r>
        <w:t xml:space="preserve"> </w:t>
      </w:r>
      <w:hyperlink r:id="rId65">
        <w:r>
          <w:rPr>
            <w:rStyle w:val="Hyperlink"/>
          </w:rPr>
          <w:t xml:space="preserve">Figshare</w:t>
        </w:r>
      </w:hyperlink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10.6084/m9.figshare.27066979</w:t>
        </w:r>
      </w:hyperlink>
      <w:r>
        <w:rPr>
          <w:vertAlign w:val="superscript"/>
        </w:rPr>
        <w:t xml:space="preserve">77</w:t>
      </w:r>
    </w:p>
    <w:p>
      <w:pPr>
        <w:pStyle w:val="BodyText"/>
      </w:pPr>
      <w:r>
        <w:rPr>
          <w:bCs/>
          <w:b/>
        </w:rPr>
        <w:t xml:space="preserve">CC-RIX mice:</w:t>
      </w:r>
      <w:r>
        <w:t xml:space="preserve"> </w:t>
      </w:r>
      <w:r>
        <w:t xml:space="preserve">Gene expression can be found at the</w:t>
      </w:r>
      <w:r>
        <w:t xml:space="preserve"> </w:t>
      </w:r>
      <w:hyperlink r:id="rId83">
        <w:r>
          <w:rPr>
            <w:rStyle w:val="Hyperlink"/>
          </w:rPr>
          <w:t xml:space="preserve">Gene Expression Omnibus</w:t>
        </w:r>
      </w:hyperlink>
      <w:r>
        <w:t xml:space="preserve"> </w:t>
      </w:r>
      <w:r>
        <w:t xml:space="preserve">with</w:t>
      </w:r>
      <w:r>
        <w:t xml:space="preserve"> </w:t>
      </w:r>
      <w:r>
        <w:t xml:space="preserve">the following accession numbers:</w:t>
      </w:r>
      <w:r>
        <w:t xml:space="preserve"> </w:t>
      </w:r>
      <w:hyperlink r:id="rId88">
        <w:r>
          <w:rPr>
            <w:rStyle w:val="Hyperlink"/>
          </w:rPr>
          <w:t xml:space="preserve">CC-RIX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adipose tissue - GSE237737</w:t>
        </w:r>
      </w:hyperlink>
      <w:r>
        <w:t xml:space="preserve">;</w:t>
      </w:r>
      <w:r>
        <w:t xml:space="preserve"> </w:t>
      </w:r>
      <w:hyperlink r:id="rId89">
        <w:r>
          <w:rPr>
            <w:rStyle w:val="Hyperlink"/>
          </w:rPr>
          <w:t xml:space="preserve">CC-RIX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liver tissue - GSE237743</w:t>
        </w:r>
      </w:hyperlink>
      <w:r>
        <w:t xml:space="preserve">;</w:t>
      </w:r>
      <w:r>
        <w:t xml:space="preserve"> </w:t>
      </w:r>
      <w:hyperlink r:id="rId90">
        <w:r>
          <w:rPr>
            <w:rStyle w:val="Hyperlink"/>
          </w:rPr>
          <w:t xml:space="preserve">CC-RIX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skeletal muscle - GSE237747</w:t>
        </w:r>
      </w:hyperlink>
      <w:r>
        <w:t xml:space="preserve">.</w:t>
      </w:r>
    </w:p>
    <w:p>
      <w:pPr>
        <w:pStyle w:val="BodyText"/>
      </w:pPr>
      <w:r>
        <w:t xml:space="preserve">Count matrices and phenotype data can be found at</w:t>
      </w:r>
      <w:r>
        <w:t xml:space="preserve"> </w:t>
      </w:r>
      <w:hyperlink r:id="rId65">
        <w:r>
          <w:rPr>
            <w:rStyle w:val="Hyperlink"/>
          </w:rPr>
          <w:t xml:space="preserve">Figshare</w:t>
        </w:r>
      </w:hyperlink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10.6084/m9.figshare.27066979</w:t>
        </w:r>
      </w:hyperlink>
      <w:r>
        <w:rPr>
          <w:vertAlign w:val="superscript"/>
        </w:rPr>
        <w:t xml:space="preserve">77</w:t>
      </w:r>
    </w:p>
    <w:p>
      <w:pPr>
        <w:pStyle w:val="BodyText"/>
      </w:pPr>
      <w:r>
        <w:rPr>
          <w:bCs/>
          <w:b/>
        </w:rPr>
        <w:t xml:space="preserve">Data from previous publications:</w:t>
      </w:r>
    </w:p>
    <w:p>
      <w:pPr>
        <w:pStyle w:val="BodyText"/>
      </w:pPr>
      <w:r>
        <w:t xml:space="preserve">We downloaded genotypes, phenotypes, and pancreatic islet gene</w:t>
      </w:r>
      <w:r>
        <w:t xml:space="preserve"> </w:t>
      </w:r>
      <w:r>
        <w:t xml:space="preserve">expression data from</w:t>
      </w:r>
      <w:r>
        <w:t xml:space="preserve"> </w:t>
      </w:r>
      <w:hyperlink r:id="rId43">
        <w:r>
          <w:rPr>
            <w:rStyle w:val="Hyperlink"/>
          </w:rPr>
          <w:t xml:space="preserve">Dryad</w:t>
        </w:r>
      </w:hyperlink>
      <w:r>
        <w:t xml:space="preserve"> </w:t>
      </w:r>
      <w:hyperlink r:id="rId44">
        <w:r>
          <w:rPr>
            <w:rStyle w:val="Hyperlink"/>
          </w:rPr>
          <w:t xml:space="preserve">doi:10.5061/dryad.pj105</w:t>
        </w:r>
      </w:hyperlink>
      <w:r>
        <w:rPr>
          <w:vertAlign w:val="superscript"/>
        </w:rPr>
        <w:t xml:space="preserve">79</w:t>
      </w:r>
      <w:r>
        <w:t xml:space="preserve">. To predict human MDI from RNA-seq profiles, the</w:t>
      </w:r>
      <w:r>
        <w:t xml:space="preserve"> </w:t>
      </w:r>
      <w:r>
        <w:t xml:space="preserve">following data were downloaded from the Gene Expression Omnibus: *</w:t>
      </w:r>
      <w:r>
        <w:t xml:space="preserve"> </w:t>
      </w:r>
      <w:r>
        <w:t xml:space="preserve">Accession number</w:t>
      </w:r>
      <w:r>
        <w:t xml:space="preserve"> </w:t>
      </w:r>
      <w:hyperlink r:id="rId76">
        <w:r>
          <w:rPr>
            <w:rStyle w:val="Hyperlink"/>
          </w:rPr>
          <w:t xml:space="preserve">GSE152517</w:t>
        </w:r>
      </w:hyperlink>
      <w:r>
        <w:t xml:space="preserve"> </w:t>
      </w:r>
      <w:r>
        <w:t xml:space="preserve">Gene expression in visceral adipose tissue resected from seven diabetic</w:t>
      </w:r>
      <w:r>
        <w:t xml:space="preserve"> </w:t>
      </w:r>
      <w:r>
        <w:t xml:space="preserve">and seven non-diabetic obese individuals. * Accession number</w:t>
      </w:r>
      <w:r>
        <w:t xml:space="preserve"> </w:t>
      </w:r>
      <w:hyperlink r:id="rId77">
        <w:r>
          <w:rPr>
            <w:rStyle w:val="Hyperlink"/>
          </w:rPr>
          <w:t xml:space="preserve">GSE44000</w:t>
        </w:r>
      </w:hyperlink>
      <w:r>
        <w:t xml:space="preserve"> </w:t>
      </w:r>
      <w:r>
        <w:t xml:space="preserve">Gene expression in purified adipocytes derived from the subcutaneous</w:t>
      </w:r>
      <w:r>
        <w:t xml:space="preserve"> </w:t>
      </w:r>
      <w:r>
        <w:t xml:space="preserve">adipose tissue of seven obese (BMI&gt;30) and seven lean</w:t>
      </w:r>
      <w:r>
        <w:t xml:space="preserve"> </w:t>
      </w:r>
      <w:r>
        <w:t xml:space="preserve">(BMI&lt;25) post-menopausal women. * Accession number</w:t>
      </w:r>
      <w:r>
        <w:t xml:space="preserve"> </w:t>
      </w:r>
      <w:hyperlink r:id="rId78">
        <w:r>
          <w:rPr>
            <w:rStyle w:val="Hyperlink"/>
          </w:rPr>
          <w:t xml:space="preserve">GSE205668</w:t>
        </w:r>
      </w:hyperlink>
      <w:r>
        <w:t xml:space="preserve"> </w:t>
      </w:r>
      <w:r>
        <w:t xml:space="preserve">Gene expression in subcutaneous adipose tissue from 35 normal weight,</w:t>
      </w:r>
      <w:r>
        <w:t xml:space="preserve"> </w:t>
      </w:r>
      <w:r>
        <w:t xml:space="preserve">and 26 obese children. * Accession number</w:t>
      </w:r>
      <w:r>
        <w:t xml:space="preserve"> </w:t>
      </w:r>
      <w:hyperlink r:id="rId79">
        <w:r>
          <w:rPr>
            <w:rStyle w:val="Hyperlink"/>
          </w:rPr>
          <w:t xml:space="preserve">GSE29231</w:t>
        </w:r>
      </w:hyperlink>
      <w:r>
        <w:t xml:space="preserve"> </w:t>
      </w:r>
      <w:r>
        <w:t xml:space="preserve">Visceral adipose biopsies were measured in four technical replicates</w:t>
      </w:r>
      <w:r>
        <w:t xml:space="preserve"> </w:t>
      </w:r>
      <w:r>
        <w:t xml:space="preserve">each in three female patients with type 2 diabetes, and three</w:t>
      </w:r>
      <w:r>
        <w:t xml:space="preserve"> </w:t>
      </w:r>
      <w:r>
        <w:t xml:space="preserve">non-diabetic female patients.</w:t>
      </w:r>
    </w:p>
    <w:p>
      <w:pPr>
        <w:pStyle w:val="BodyText"/>
      </w:pPr>
      <w:r>
        <w:t xml:space="preserve">Source data for figures are provided as tab-delimited text files on</w:t>
      </w:r>
      <w:r>
        <w:t xml:space="preserve"> </w:t>
      </w:r>
      <w:hyperlink r:id="rId87">
        <w:r>
          <w:rPr>
            <w:rStyle w:val="Hyperlink"/>
          </w:rPr>
          <w:t xml:space="preserve">Figshare</w:t>
        </w:r>
      </w:hyperlink>
      <w:r>
        <w:t xml:space="preserve"> </w:t>
      </w:r>
      <w:r>
        <w:t xml:space="preserve">in the file Source_Data.zip.</w:t>
      </w:r>
    </w:p>
    <w:bookmarkEnd w:id="91"/>
    <w:bookmarkEnd w:id="92"/>
    <w:bookmarkStart w:id="94" w:name="code-availability"/>
    <w:p>
      <w:pPr>
        <w:pStyle w:val="Heading2"/>
      </w:pPr>
      <w:r>
        <w:t xml:space="preserve">Code Availability</w:t>
      </w:r>
    </w:p>
    <w:p>
      <w:pPr>
        <w:pStyle w:val="FirstParagraph"/>
      </w:pPr>
      <w:r>
        <w:rPr>
          <w:bCs/>
          <w:b/>
        </w:rPr>
        <w:t xml:space="preserve">Code</w:t>
      </w:r>
      <w:r>
        <w:t xml:space="preserve">: All code used to run the analyses reported here are</w:t>
      </w:r>
      <w:r>
        <w:t xml:space="preserve"> </w:t>
      </w:r>
      <w:r>
        <w:t xml:space="preserve">available at Figshare:</w:t>
      </w:r>
      <w:r>
        <w:t xml:space="preserve"> </w:t>
      </w:r>
      <w:hyperlink r:id="rId93">
        <w:r>
          <w:rPr>
            <w:rStyle w:val="Hyperlink"/>
          </w:rPr>
          <w:t xml:space="preserve">https://figshare.com</w:t>
        </w:r>
      </w:hyperlink>
      <w:r>
        <w:t xml:space="preserve"> </w:t>
      </w:r>
      <w:hyperlink r:id="rId87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10.6084/m9.figshare.27066979</w:t>
        </w:r>
      </w:hyperlink>
      <w:r>
        <w:rPr>
          <w:vertAlign w:val="superscript"/>
        </w:rPr>
        <w:t xml:space="preserve">77</w:t>
      </w:r>
    </w:p>
    <w:bookmarkEnd w:id="94"/>
    <w:bookmarkStart w:id="95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This project was supported by The Jackson Laboratory Cube Initiative, as</w:t>
      </w:r>
      <w:r>
        <w:t xml:space="preserve"> </w:t>
      </w:r>
      <w:r>
        <w:t xml:space="preserve">well as grants from the National Institutes of Health (grant numbers.:</w:t>
      </w:r>
      <w:r>
        <w:t xml:space="preserve"> </w:t>
      </w:r>
      <w:r>
        <w:t xml:space="preserve">R01DK101573, R01DK102948, and RC2DK125961) (to A. D. A.) and by the</w:t>
      </w:r>
      <w:r>
        <w:t xml:space="preserve"> </w:t>
      </w:r>
      <w:r>
        <w:t xml:space="preserve">University of Wisconsin-Madison, Department of Biochemistry and Office</w:t>
      </w:r>
      <w:r>
        <w:t xml:space="preserve"> </w:t>
      </w:r>
      <w:r>
        <w:t xml:space="preserve">of the Vice Chancellor for Research and Graduate Education with funding</w:t>
      </w:r>
      <w:r>
        <w:t xml:space="preserve"> </w:t>
      </w:r>
      <w:r>
        <w:t xml:space="preserve">from the Wisconsin Alumni Research Foundation (to M. P. K.).</w:t>
      </w:r>
    </w:p>
    <w:p>
      <w:pPr>
        <w:pStyle w:val="BodyText"/>
      </w:pPr>
      <w:r>
        <w:t xml:space="preserve">We thank the following scientific services at The Jackson Laboratory:</w:t>
      </w:r>
      <w:r>
        <w:t xml:space="preserve"> </w:t>
      </w:r>
      <w:r>
        <w:t xml:space="preserve">Genome Technologies for the RNA sequencing, necropsy services for the</w:t>
      </w:r>
      <w:r>
        <w:t xml:space="preserve"> </w:t>
      </w:r>
      <w:r>
        <w:t xml:space="preserve">tissue harvests, and the Center for Biometric Analysis for metabolic</w:t>
      </w:r>
      <w:r>
        <w:t xml:space="preserve"> </w:t>
      </w:r>
      <w:r>
        <w:t xml:space="preserve">phenotyping.</w:t>
      </w:r>
    </w:p>
    <w:bookmarkEnd w:id="95"/>
    <w:bookmarkStart w:id="96" w:name="author-contributions-statement"/>
    <w:p>
      <w:pPr>
        <w:pStyle w:val="Heading2"/>
      </w:pPr>
      <w:r>
        <w:t xml:space="preserve">Author Contributions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Conceptualization: J.M.M., A.D.A., N.A.R., MJB, G.A.C., G.W.C.</w:t>
      </w:r>
      <w:r>
        <w:t xml:space="preserve"> </w:t>
      </w:r>
      <w:r>
        <w:t xml:space="preserve">Methodology: G.A.C., A.D.A., J.M.M., C.N.B., M.P.K. Software: A.L.T.,</w:t>
      </w:r>
      <w:r>
        <w:t xml:space="preserve"> </w:t>
      </w:r>
      <w:r>
        <w:t xml:space="preserve">J.M.M., I.G.G., A.S. Formal Analysis: A.L.T., I.G.G., A.S.</w:t>
      </w:r>
      <w:r>
        <w:t xml:space="preserve"> </w:t>
      </w:r>
      <w:r>
        <w:t xml:space="preserve">Investigation: C.N.B., M.G. Resources: A.D.A., M.P.K., C.N.B., NAR, MJB,</w:t>
      </w:r>
      <w:r>
        <w:t xml:space="preserve"> </w:t>
      </w:r>
      <w:r>
        <w:t xml:space="preserve">G.A.C., G.W.C. Data Curation: C.N.B., A.L.T. Writing - Original Draft:</w:t>
      </w:r>
      <w:r>
        <w:t xml:space="preserve"> </w:t>
      </w:r>
      <w:r>
        <w:t xml:space="preserve">A.L.T, J.M.M. Writing - Review and Editing: A.L.T., J.M.M, G.A.C,</w:t>
      </w:r>
      <w:r>
        <w:t xml:space="preserve"> </w:t>
      </w:r>
      <w:r>
        <w:t xml:space="preserve">G.W.C., M.P.K., C.N.B. Visualization: A.L.T. Supervision: M.J.B.,</w:t>
      </w:r>
      <w:r>
        <w:t xml:space="preserve"> </w:t>
      </w:r>
      <w:r>
        <w:t xml:space="preserve">N.A.R., A.D.A., G.A.C., G.W.C. Project Administration: M.J.B., C.N.B.</w:t>
      </w:r>
      <w:r>
        <w:t xml:space="preserve"> </w:t>
      </w:r>
      <w:r>
        <w:t xml:space="preserve">Funding acquisition: N.A.R., A.D.A., G.A.C., G.W.C.</w:t>
      </w:r>
    </w:p>
    <w:bookmarkEnd w:id="96"/>
    <w:bookmarkStart w:id="97" w:name="competing-interest-statement"/>
    <w:p>
      <w:pPr>
        <w:pStyle w:val="Heading2"/>
      </w:pPr>
      <w:r>
        <w:t xml:space="preserve">Competing Interest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The authors declare no competing interests.</w:t>
      </w:r>
    </w:p>
    <w:bookmarkEnd w:id="97"/>
    <w:bookmarkStart w:id="216" w:name="figure-legendscaptions"/>
    <w:p>
      <w:pPr>
        <w:pStyle w:val="Heading2"/>
      </w:pPr>
      <w:r>
        <w:t xml:space="preserve">Figure Legends/Captions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Clinical overview.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Distributions of final body</w:t>
      </w:r>
      <w:r>
        <w:t xml:space="preserve"> </w:t>
      </w:r>
      <w:r>
        <w:t xml:space="preserve">weight in female (green) and male (blue) diversity outbred mice.</w:t>
      </w:r>
      <w:r>
        <w:t xml:space="preserve"> </w:t>
      </w:r>
      <w:r>
        <w:t xml:space="preserve">The average B6 female and male adult weights at 24 weeks of</w:t>
      </w:r>
      <w:r>
        <w:t xml:space="preserve"> </w:t>
      </w:r>
      <w:r>
        <w:t xml:space="preserve">age are indicated by green and blue bars respectively on the</w:t>
      </w:r>
      <w:r>
        <w:t xml:space="preserve"> </w:t>
      </w:r>
      <m:oMath>
        <m:r>
          <m:t>x</m:t>
        </m:r>
      </m:oMath>
      <w:r>
        <w:t xml:space="preserve">-axis.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Distributions of fasting glucose in female</w:t>
      </w:r>
      <w:r>
        <w:t xml:space="preserve"> </w:t>
      </w:r>
      <w:r>
        <w:t xml:space="preserve">(green) and male (blue) DO mice. Normal (green), pre-diabetic</w:t>
      </w:r>
      <w:r>
        <w:t xml:space="preserve"> </w:t>
      </w:r>
      <w:r>
        <w:t xml:space="preserve">(yellow), and diabetic (red) fasting glucose ranges for mice are</w:t>
      </w:r>
      <w:r>
        <w:t xml:space="preserve"> </w:t>
      </w:r>
      <w:r>
        <w:t xml:space="preserve">shown by colored bars along the</w:t>
      </w:r>
      <w:r>
        <w:t xml:space="preserve"> </w:t>
      </w:r>
      <m:oMath>
        <m:r>
          <m:t>x</m:t>
        </m:r>
      </m:oMath>
      <w:r>
        <w:t xml:space="preserve">-axis.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Males</w:t>
      </w:r>
      <w:r>
        <w:t xml:space="preserve"> </w:t>
      </w:r>
      <w:r>
        <w:t xml:space="preserve">(blue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242</m:t>
        </m:r>
      </m:oMath>
      <w:r>
        <w:t xml:space="preserve">) had higher fasting blood glucose on average</w:t>
      </w:r>
      <w:r>
        <w:t xml:space="preserve"> </w:t>
      </w:r>
      <w:r>
        <w:t xml:space="preserve">(mean = 170.0 mg/dL) than females (green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240</m:t>
        </m:r>
      </m:oMath>
      <w:r>
        <w:t xml:space="preserve">,</w:t>
      </w:r>
      <w:r>
        <w:t xml:space="preserve"> </w:t>
      </w:r>
      <w:r>
        <w:t xml:space="preserve">mean = 136) (two-sided Welch’s t test: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8.02</m:t>
        </m:r>
      </m:oMath>
      <w:r>
        <w:t xml:space="preserve">,</w:t>
      </w:r>
      <w:r>
        <w:t xml:space="preserve"> </w:t>
      </w:r>
      <w:r>
        <w:t xml:space="preserve">df = 428.9, 95% CI of difference = 25.4 to 42.0 mg/dL;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1.05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14</m:t>
            </m:r>
          </m:sup>
        </m:sSup>
      </m:oMath>
      <w:r>
        <w:t xml:space="preserve">). Lines in boxes</w:t>
      </w:r>
      <w:r>
        <w:t xml:space="preserve"> </w:t>
      </w:r>
      <w:r>
        <w:t xml:space="preserve">correspond to the median; lower and upper edges of</w:t>
      </w:r>
      <w:r>
        <w:t xml:space="preserve"> </w:t>
      </w:r>
      <w:r>
        <w:t xml:space="preserve">boxes indicate the first and third quartiles; whiskers</w:t>
      </w:r>
      <w:r>
        <w:t xml:space="preserve"> </w:t>
      </w:r>
      <w:r>
        <w:t xml:space="preserve">indicate the first and third quartiles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1.5 times</w:t>
      </w:r>
      <w:r>
        <w:t xml:space="preserve"> </w:t>
      </w:r>
      <w:r>
        <w:t xml:space="preserve">the interquartile range; dots indicate outliers beyond 1.5 times</w:t>
      </w:r>
      <w:r>
        <w:t xml:space="preserve"> </w:t>
      </w:r>
      <w:r>
        <w:t xml:space="preserve">the interquartile range.</w:t>
      </w:r>
      <w:r>
        <w:t xml:space="preserve"> </w:t>
      </w:r>
      <w:r>
        <w:rPr>
          <w:bCs/>
          <w:b/>
        </w:rPr>
        <w:t xml:space="preserve">D.</w:t>
      </w:r>
      <w:r>
        <w:t xml:space="preserve"> </w:t>
      </w:r>
      <w:r>
        <w:t xml:space="preserve">The relationship between</w:t>
      </w:r>
      <w:r>
        <w:t xml:space="preserve"> </w:t>
      </w:r>
      <w:r>
        <w:t xml:space="preserve">food consumption and body weight for female (green) and</w:t>
      </w:r>
      <w:r>
        <w:t xml:space="preserve"> </w:t>
      </w:r>
      <w:r>
        <w:t xml:space="preserve">male (blue) DO mice. (Linear regression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0.51</m:t>
        </m:r>
      </m:oMath>
      <w:r>
        <w:t xml:space="preserve">; beta coefficient =</w:t>
      </w:r>
      <w:r>
        <w:t xml:space="preserve"> </w:t>
      </w:r>
      <m:oMath>
        <m:r>
          <m:t>12.6</m:t>
        </m:r>
        <m:r>
          <m:rPr>
            <m:sty m:val="p"/>
          </m:rPr>
          <m:t>±</m:t>
        </m:r>
        <m:r>
          <m:t>0.57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22.2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</w:t>
      </w:r>
      <w:r>
        <w:t xml:space="preserve"> </w:t>
      </w:r>
      <w:r>
        <w:rPr>
          <w:bCs/>
          <w:b/>
        </w:rPr>
        <w:t xml:space="preserve">E.</w:t>
      </w:r>
      <w:r>
        <w:t xml:space="preserve"> </w:t>
      </w:r>
      <w:r>
        <w:t xml:space="preserve">Relationship between body weight and fasting glucose for</w:t>
      </w:r>
      <w:r>
        <w:t xml:space="preserve"> </w:t>
      </w:r>
      <w:r>
        <w:t xml:space="preserve">female (green) and male (blue) DO mice. (Linear regression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0.21</m:t>
        </m:r>
      </m:oMath>
      <w:r>
        <w:t xml:space="preserve">; beta coefficient =</w:t>
      </w:r>
      <w:r>
        <w:t xml:space="preserve"> </w:t>
      </w:r>
      <m:oMath>
        <m:r>
          <m:t>2.49</m:t>
        </m:r>
        <m:r>
          <m:rPr>
            <m:sty m:val="p"/>
          </m:rPr>
          <m:t>±</m:t>
        </m:r>
        <m:r>
          <m:t>0.22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11.34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 In D and E,</w:t>
      </w:r>
      <w:r>
        <w:t xml:space="preserve"> </w:t>
      </w:r>
      <w:r>
        <w:t xml:space="preserve">blue lines show line of best fit.</w:t>
      </w:r>
      <w:r>
        <w:t xml:space="preserve"> </w:t>
      </w:r>
      <w:r>
        <w:rPr>
          <w:bCs/>
          <w:b/>
        </w:rPr>
        <w:t xml:space="preserve">F.</w:t>
      </w:r>
      <w:r>
        <w:t xml:space="preserve"> </w:t>
      </w:r>
      <w:r>
        <w:t xml:space="preserve">Data</w:t>
      </w:r>
      <w:r>
        <w:t xml:space="preserve"> </w:t>
      </w:r>
      <w:r>
        <w:t xml:space="preserve">presented are heritability estimates for each physiological trait.</w:t>
      </w:r>
      <w:r>
        <w:t xml:space="preserve"> </w:t>
      </w:r>
      <w:r>
        <w:t xml:space="preserve">Bars show standard error of each estimate. The number of animals</w:t>
      </w:r>
      <w:r>
        <w:t xml:space="preserve"> </w:t>
      </w:r>
      <w:r>
        <w:t xml:space="preserve">used in each estimate is shown in parentheses after each trait name.</w:t>
      </w:r>
      <w:r>
        <w:t xml:space="preserve"> </w:t>
      </w:r>
      <w:r>
        <w:rPr>
          <w:bCs/>
          <w:b/>
        </w:rPr>
        <w:t xml:space="preserve">G.</w:t>
      </w:r>
      <w:r>
        <w:t xml:space="preserve"> </w:t>
      </w:r>
      <w:r>
        <w:t xml:space="preserve">Correlation structure between pairs of physiological</w:t>
      </w:r>
      <w:r>
        <w:t xml:space="preserve"> </w:t>
      </w:r>
      <w:r>
        <w:t xml:space="preserve">traits. The upper and lower triangle show the Pearson correlation</w:t>
      </w:r>
      <w:r>
        <w:t xml:space="preserve"> </w:t>
      </w:r>
      <w:r>
        <w:t xml:space="preserve">coefficients (</w:t>
      </w:r>
      <m:oMath>
        <m:r>
          <m:t>r</m:t>
        </m:r>
      </m:oMath>
      <w:r>
        <w:t xml:space="preserve">) between LOD traces of trait pairs (blue) and trait</w:t>
      </w:r>
      <w:r>
        <w:t xml:space="preserve"> </w:t>
      </w:r>
      <w:r>
        <w:t xml:space="preserve">pairs (purple) respectively. The diagonal (orange) shows the estimated</w:t>
      </w:r>
      <w:r>
        <w:t xml:space="preserve"> </w:t>
      </w:r>
      <w:r>
        <w:t xml:space="preserve">heritability of each trait. BMD - bone mineral density, WPIC - whole</w:t>
      </w:r>
      <w:r>
        <w:t xml:space="preserve"> </w:t>
      </w:r>
      <w:r>
        <w:t xml:space="preserve">pancreas insulin content, Glu tAUC - glucose total area under the</w:t>
      </w:r>
      <w:r>
        <w:t xml:space="preserve"> </w:t>
      </w:r>
      <w:r>
        <w:t xml:space="preserve">curve, HOMA IR - homeostatic measurement of insulin resistance,</w:t>
      </w:r>
      <w:r>
        <w:t xml:space="preserve"> </w:t>
      </w:r>
      <w:r>
        <w:t xml:space="preserve">HOMA B - homeostatic measure of beta cell health, VLDL - very</w:t>
      </w:r>
      <w:r>
        <w:t xml:space="preserve"> </w:t>
      </w:r>
      <w:r>
        <w:t xml:space="preserve">low-density lipoprotein, LDL - low-density lipoprotein, IDL - intermediate</w:t>
      </w:r>
      <w:r>
        <w:t xml:space="preserve"> </w:t>
      </w:r>
      <w:r>
        <w:t xml:space="preserve">density lipoprotein, HDL - high-density lipoprotein, TG - triglyceride.</w:t>
      </w:r>
      <w:r>
        <w:t xml:space="preserve"> </w:t>
      </w:r>
      <w:r>
        <w:t xml:space="preserve">Source data are provided as a Source Data file.</w:t>
      </w:r>
      <w:r>
        <w:t xml:space="preserve"> 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Transcript heritability and trait relevance.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Distributions of local (brown) and distal (gray)</w:t>
      </w:r>
      <w:r>
        <w:t xml:space="preserve"> </w:t>
      </w:r>
      <w:r>
        <w:t xml:space="preserve">heritability of transcripts across the four tissues. Overall</w:t>
      </w:r>
      <w:r>
        <w:t xml:space="preserve"> </w:t>
      </w:r>
      <w:r>
        <w:t xml:space="preserve">local and distal factors contribute equally to transcript</w:t>
      </w:r>
      <w:r>
        <w:t xml:space="preserve"> </w:t>
      </w:r>
      <w:r>
        <w:t xml:space="preserve">heritability. Each distribution contains 14102 transcripts.</w:t>
      </w:r>
      <w:r>
        <w:t xml:space="preserve"> </w:t>
      </w:r>
      <w:r>
        <w:t xml:space="preserve">Numbers below distributions indicate the median and</w:t>
      </w:r>
      <w:r>
        <w:t xml:space="preserve"> </w:t>
      </w:r>
      <w:r>
        <w:t xml:space="preserve">standard deviation of each.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local (brown) and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distal (gray) heritability and trait relevance across</w:t>
      </w:r>
      <w:r>
        <w:t xml:space="preserve"> </w:t>
      </w:r>
      <w:r>
        <w:t xml:space="preserve">all four tissues. Here trait relevance is defined as the maximum</w:t>
      </w:r>
      <w:r>
        <w:t xml:space="preserve"> </w:t>
      </w:r>
      <w:r>
        <w:t xml:space="preserve">correlation between the transcript and all traits. The upper</w:t>
      </w:r>
      <w:r>
        <w:t xml:space="preserve"> </w:t>
      </w:r>
      <w:r>
        <w:t xml:space="preserve">and lower dashed line in each panel show the 95th and 5th</w:t>
      </w:r>
      <w:r>
        <w:t xml:space="preserve"> </w:t>
      </w:r>
      <w:r>
        <w:t xml:space="preserve">percentile correlation respectively. The solid line shows the</w:t>
      </w:r>
      <w:r>
        <w:t xml:space="preserve"> </w:t>
      </w:r>
      <w:r>
        <w:t xml:space="preserve">mean trait correlation in transcripts with increasing variance</w:t>
      </w:r>
      <w:r>
        <w:t xml:space="preserve"> </w:t>
      </w:r>
      <w:r>
        <w:t xml:space="preserve">explained either locally (B) or distally (C). Transcripts that are</w:t>
      </w:r>
      <w:r>
        <w:t xml:space="preserve"> </w:t>
      </w:r>
      <w:r>
        <w:t xml:space="preserve">highly correlated with traits tend to have low local heritability</w:t>
      </w:r>
      <w:r>
        <w:t xml:space="preserve"> </w:t>
      </w:r>
      <w:r>
        <w:t xml:space="preserve">and high distal heritability. All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values from Spearman rank</w:t>
      </w:r>
      <w:r>
        <w:t xml:space="preserve"> </w:t>
      </w:r>
      <w:r>
        <w:t xml:space="preserve">correlation tests are two-sided. No adjustments were made</w:t>
      </w:r>
      <w:r>
        <w:t xml:space="preserve"> </w:t>
      </w:r>
      <w:r>
        <w:t xml:space="preserve">for multiple comparisons. Source data are provided as a Source</w:t>
      </w:r>
      <w:r>
        <w:t xml:space="preserve"> </w:t>
      </w:r>
      <w:r>
        <w:t xml:space="preserve">Data file.</w:t>
      </w:r>
      <w:r>
        <w:t xml:space="preserve"> 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High-dimensional mediation.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Workflow</w:t>
      </w:r>
      <w:r>
        <w:t xml:space="preserve"> </w:t>
      </w:r>
      <w:r>
        <w:t xml:space="preserve">indicating major steps of high-dimensional mediation. The</w:t>
      </w:r>
      <w:r>
        <w:t xml:space="preserve"> </w:t>
      </w:r>
      <w:r>
        <w:t xml:space="preserve">genotype, transcriptome, and phenotype matrices were</w:t>
      </w:r>
      <w:r>
        <w:t xml:space="preserve"> </w:t>
      </w:r>
      <w:r>
        <w:t xml:space="preserve">kernelized to yield single matrices representing the</w:t>
      </w:r>
      <w:r>
        <w:t xml:space="preserve"> </w:t>
      </w:r>
      <w:r>
        <w:t xml:space="preserve">relationships between all individuals for each data modality</w:t>
      </w:r>
      <w:r>
        <w:t xml:space="preserve"> </w:t>
      </w:r>
      <w:r>
        <w:t xml:space="preserve">(</w:t>
      </w:r>
      <m:oMath>
        <m:sSub>
          <m:e>
            <m:r>
              <m:t>G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= genome kernel,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= transcriptome kernel;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= phenome kernel). High-dimensional mediation</w:t>
      </w:r>
      <w:r>
        <w:t xml:space="preserve"> </w:t>
      </w:r>
      <w:r>
        <w:t xml:space="preserve">was applied to these matrices to maximize the direct path</w:t>
      </w:r>
      <w:r>
        <w:t xml:space="preserve"> </w:t>
      </w:r>
      <m:oMath>
        <m:r>
          <m:t>G</m:t>
        </m:r>
        <m:r>
          <m:rPr>
            <m:sty m:val="p"/>
          </m:rPr>
          <m:t>→</m:t>
        </m:r>
        <m:r>
          <m:t>T</m:t>
        </m:r>
        <m:r>
          <m:rPr>
            <m:sty m:val="p"/>
          </m:rPr>
          <m:t>→</m:t>
        </m:r>
        <m:r>
          <m:t>P</m:t>
        </m:r>
      </m:oMath>
      <w:r>
        <w:t xml:space="preserve">, the mediating pathway</w:t>
      </w:r>
      <w:r>
        <w:t xml:space="preserve"> </w:t>
      </w:r>
      <w:r>
        <w:t xml:space="preserve">(arrows), while simultaneously minimizing the direct</w:t>
      </w:r>
      <w:r>
        <w:t xml:space="preserve"> </w:t>
      </w:r>
      <m:oMath>
        <m:r>
          <m:t>G</m:t>
        </m:r>
        <m:r>
          <m:rPr>
            <m:sty m:val="p"/>
          </m:rPr>
          <m:t>→</m:t>
        </m:r>
        <m:r>
          <m:t>P</m:t>
        </m:r>
      </m:oMath>
      <w:r>
        <w:t xml:space="preserve"> </w:t>
      </w:r>
      <w:r>
        <w:t xml:space="preserve">pathway (dotted line). The composite</w:t>
      </w:r>
      <w:r>
        <w:t xml:space="preserve"> </w:t>
      </w:r>
      <w:r>
        <w:t xml:space="preserve">vectors that resulted from high-dimensional mediation</w:t>
      </w:r>
      <w:r>
        <w:t xml:space="preserve"> </w:t>
      </w:r>
      <w:r>
        <w:t xml:space="preserve">were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. The partial correlations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between these vectors indicated perfect mediation.</w:t>
      </w:r>
      <w:r>
        <w:t xml:space="preserve"> </w:t>
      </w:r>
      <w:r>
        <w:t xml:space="preserve">Transcript and trait loadings were calculated as described</w:t>
      </w:r>
      <w:r>
        <w:t xml:space="preserve"> </w:t>
      </w:r>
      <w:r>
        <w:t xml:space="preserve">in the methods.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The null distribution of the path</w:t>
      </w:r>
      <w:r>
        <w:t xml:space="preserve"> </w:t>
      </w:r>
      <w:r>
        <w:t xml:space="preserve">coefficient derived from 10,000 permutations. Comparisons</w:t>
      </w:r>
      <w:r>
        <w:t xml:space="preserve"> </w:t>
      </w:r>
      <w:r>
        <w:t xml:space="preserve">are shown to the observed path coefficient (red) the path</w:t>
      </w:r>
      <w:r>
        <w:t xml:space="preserve"> </w:t>
      </w:r>
      <w:r>
        <w:t xml:space="preserve">coefficient using a distal-only model (gray) and the path</w:t>
      </w:r>
      <w:r>
        <w:t xml:space="preserve"> </w:t>
      </w:r>
      <w:r>
        <w:t xml:space="preserve">coefficient using the local-only model (brown).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The null distribution of the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 vs.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correlation. Comparisons are shown</w:t>
      </w:r>
      <w:r>
        <w:t xml:space="preserve"> </w:t>
      </w:r>
      <w:r>
        <w:t xml:space="preserve">to the observed values (red), and those derived from the</w:t>
      </w:r>
      <w:r>
        <w:t xml:space="preserve"> </w:t>
      </w:r>
      <w:r>
        <w:t xml:space="preserve">distal-only model (gray) and the local-only model (brown).</w:t>
      </w:r>
      <w:r>
        <w:t xml:space="preserve"> </w:t>
      </w:r>
      <w:r>
        <w:t xml:space="preserve">Source data are provided as a Source Data file.</w:t>
      </w:r>
      <w:r>
        <w:t xml:space="preserve"> 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Interpretation of loadings.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Loadings across traits.</w:t>
      </w:r>
      <w:r>
        <w:t xml:space="preserve"> </w:t>
      </w:r>
      <w:r>
        <w:t xml:space="preserve">Body weight and insulin resistance contributed the most</w:t>
      </w:r>
      <w:r>
        <w:t xml:space="preserve"> </w:t>
      </w:r>
      <w:r>
        <w:t xml:space="preserve">to the composite trait.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Phenotype scores across</w:t>
      </w:r>
      <w:r>
        <w:t xml:space="preserve"> </w:t>
      </w:r>
      <w:r>
        <w:t xml:space="preserve">individuals. Individuals with large positive phenotype scores</w:t>
      </w:r>
      <w:r>
        <w:t xml:space="preserve"> </w:t>
      </w:r>
      <w:r>
        <w:t xml:space="preserve">had higher body weight and insulin resistance than average.</w:t>
      </w:r>
      <w:r>
        <w:t xml:space="preserve"> </w:t>
      </w:r>
      <w:r>
        <w:t xml:space="preserve">Individuals with large negative phenotype scores had lower</w:t>
      </w:r>
      <w:r>
        <w:t xml:space="preserve"> </w:t>
      </w:r>
      <w:r>
        <w:t xml:space="preserve">body weight and insulin resistance than average.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Distribution of transcript loadings in adipose tissue (purple).</w:t>
      </w:r>
      <w:r>
        <w:t xml:space="preserve"> </w:t>
      </w:r>
      <w:r>
        <w:t xml:space="preserve">For transcripts with large positive loadings, higher expression</w:t>
      </w:r>
      <w:r>
        <w:t xml:space="preserve"> </w:t>
      </w:r>
      <w:r>
        <w:t xml:space="preserve">was associated with higher phenotype scores. For transcripts</w:t>
      </w:r>
      <w:r>
        <w:t xml:space="preserve"> </w:t>
      </w:r>
      <w:r>
        <w:t xml:space="preserve">with large negative loadings, higher expression was associated</w:t>
      </w:r>
      <w:r>
        <w:t xml:space="preserve"> </w:t>
      </w:r>
      <w:r>
        <w:t xml:space="preserve">with lower phenotype scores.</w:t>
      </w:r>
      <w:r>
        <w:t xml:space="preserve"> </w:t>
      </w:r>
      <w:r>
        <w:rPr>
          <w:bCs/>
          <w:b/>
        </w:rPr>
        <w:t xml:space="preserve">D.</w:t>
      </w:r>
      <w:r>
        <w:t xml:space="preserve"> </w:t>
      </w:r>
      <w:r>
        <w:t xml:space="preserve">Distributions of loadings</w:t>
      </w:r>
      <w:r>
        <w:t xml:space="preserve"> </w:t>
      </w:r>
      <w:r>
        <w:t xml:space="preserve">across tissues compared to null distributions. Shaded areas</w:t>
      </w:r>
      <w:r>
        <w:t xml:space="preserve"> </w:t>
      </w:r>
      <w:r>
        <w:t xml:space="preserve">represent loadings that were more extreme than the null</w:t>
      </w:r>
      <w:r>
        <w:t xml:space="preserve"> </w:t>
      </w:r>
      <w:r>
        <w:t xml:space="preserve">distribution. Numbers indicate how many transcripts had loadings</w:t>
      </w:r>
      <w:r>
        <w:t xml:space="preserve"> </w:t>
      </w:r>
      <w:r>
        <w:t xml:space="preserve">above and below the extremes of the null. Transcripts in adipose</w:t>
      </w:r>
      <w:r>
        <w:t xml:space="preserve"> </w:t>
      </w:r>
      <w:r>
        <w:t xml:space="preserve">tissue (purple) had the most extreme loadings indicating</w:t>
      </w:r>
      <w:r>
        <w:t xml:space="preserve"> </w:t>
      </w:r>
      <w:r>
        <w:t xml:space="preserve">that transcripts in adipose tissue were the best mediators of the</w:t>
      </w:r>
      <w:r>
        <w:t xml:space="preserve"> </w:t>
      </w:r>
      <w:r>
        <w:t xml:space="preserve">genetic effects on body weight and insulin resistance.</w:t>
      </w:r>
      <w:r>
        <w:t xml:space="preserve"> </w:t>
      </w:r>
      <w:r>
        <w:rPr>
          <w:bCs/>
          <w:b/>
        </w:rPr>
        <w:t xml:space="preserve">E.</w:t>
      </w:r>
      <w:r>
        <w:t xml:space="preserve"> </w:t>
      </w:r>
      <w:r>
        <w:t xml:space="preserve">Scatter plots showing correlations between composite vectors for</w:t>
      </w:r>
      <w:r>
        <w:t xml:space="preserve"> </w:t>
      </w:r>
      <w:r>
        <w:t xml:space="preserve">the genome (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), the transcriptome (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), and the phenome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). The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association was significant</w:t>
      </w:r>
      <w:r>
        <w:t xml:space="preserve"> </w:t>
      </w:r>
      <w:r>
        <w:t xml:space="preserve">(Linear regression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0.18</m:t>
        </m:r>
      </m:oMath>
      <w:r>
        <w:t xml:space="preserve">; beta coefficient =</w:t>
      </w:r>
      <w:r>
        <w:t xml:space="preserve"> </w:t>
      </w:r>
      <m:oMath>
        <m:r>
          <m:t>7.8</m:t>
        </m:r>
        <m:r>
          <m:rPr>
            <m:sty m:val="p"/>
          </m:rPr>
          <m:t>±</m:t>
        </m:r>
        <m:r>
          <m:t>0.86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9.03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 The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association was significant (Linear regression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0.62</m:t>
        </m:r>
      </m:oMath>
      <w:r>
        <w:t xml:space="preserve">;</w:t>
      </w:r>
      <w:r>
        <w:t xml:space="preserve"> </w:t>
      </w:r>
      <w:r>
        <w:t xml:space="preserve">beta coefficient =</w:t>
      </w:r>
      <w:r>
        <w:t xml:space="preserve"> </w:t>
      </w:r>
      <m:oMath>
        <m:r>
          <m:t>3.1</m:t>
        </m:r>
        <m:r>
          <m:rPr>
            <m:sty m:val="p"/>
          </m:rPr>
          <m:t>±</m:t>
        </m:r>
        <m:r>
          <m:t>0.13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24.4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 There is no association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(Linear regression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7.1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; beta coefficient =</w:t>
      </w:r>
      <w:r>
        <w:t xml:space="preserve"> </w:t>
      </w:r>
      <m:oMath>
        <m:r>
          <m:t>2.0</m:t>
        </m:r>
        <m:r>
          <m:rPr>
            <m:sty m:val="p"/>
          </m:rPr>
          <m:t>±</m:t>
        </m:r>
        <m:r>
          <m:t>3.8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0.51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0.61</m:t>
        </m:r>
      </m:oMath>
      <w:r>
        <w:t xml:space="preserve">). This correlation</w:t>
      </w:r>
      <w:r>
        <w:t xml:space="preserve"> </w:t>
      </w:r>
      <w:r>
        <w:t xml:space="preserve">structure is consistent with perfect mediation. Blue lines show</w:t>
      </w:r>
      <w:r>
        <w:t xml:space="preserve"> </w:t>
      </w:r>
      <w:r>
        <w:t xml:space="preserve">lines of best fit. Source data are provided as a Source Data file.</w:t>
      </w:r>
      <w:r>
        <w:t xml:space="preserve"> 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Transcripts with high loadings have high distal heritability</w:t>
      </w:r>
      <w:r>
        <w:t xml:space="preserve"> </w:t>
      </w:r>
      <w:r>
        <w:t xml:space="preserve">and literature support. Each panel has a bar plot showing</w:t>
      </w:r>
      <w:r>
        <w:t xml:space="preserve"> </w:t>
      </w:r>
      <w:r>
        <w:t xml:space="preserve">the loadings of transcripts selected by different criteria.</w:t>
      </w:r>
      <w:r>
        <w:t xml:space="preserve"> </w:t>
      </w:r>
      <w:r>
        <w:t xml:space="preserve">Bar color indicates the tissue of origin. The heat map</w:t>
      </w:r>
      <w:r>
        <w:t xml:space="preserve"> </w:t>
      </w:r>
      <w:r>
        <w:t xml:space="preserve">shows the local (L - left) and distal (D - right) heritability</w:t>
      </w:r>
      <w:r>
        <w:t xml:space="preserve"> </w:t>
      </w:r>
      <w:r>
        <w:t xml:space="preserve">of each transcript.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Loadings for the 10</w:t>
      </w:r>
      <w:r>
        <w:t xml:space="preserve"> </w:t>
      </w:r>
      <w:r>
        <w:t xml:space="preserve">transcripts with the largest positive loadings and the 10</w:t>
      </w:r>
      <w:r>
        <w:t xml:space="preserve"> </w:t>
      </w:r>
      <w:r>
        <w:t xml:space="preserve">transcripts with the largest negative loadings for each tissue.</w:t>
      </w:r>
      <w:r>
        <w:t xml:space="preserve"> </w:t>
      </w:r>
      <w:r>
        <w:t xml:space="preserve">Mean distal heritability (31.8%) was significantly higher than</w:t>
      </w:r>
      <w:r>
        <w:t xml:space="preserve"> </w:t>
      </w:r>
      <w:r>
        <w:t xml:space="preserve">mean local heritability (5%) (two-sided Welch’s</w:t>
      </w:r>
      <w:r>
        <w:t xml:space="preserve"> </w:t>
      </w:r>
      <w:r>
        <w:t xml:space="preserve">t-test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16.4</m:t>
        </m:r>
      </m:oMath>
      <w:r>
        <w:t xml:space="preserve">; df = 100.2; difference 95% CI = 0.24 to</w:t>
      </w:r>
      <w:r>
        <w:t xml:space="preserve"> </w:t>
      </w:r>
      <w:r>
        <w:t xml:space="preserve">0.30;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Loadings of TWAS</w:t>
      </w:r>
      <w:r>
        <w:t xml:space="preserve"> </w:t>
      </w:r>
      <w:r>
        <w:t xml:space="preserve">candidates with the 10 largest positive correlations with</w:t>
      </w:r>
      <w:r>
        <w:t xml:space="preserve"> </w:t>
      </w:r>
      <w:r>
        <w:t xml:space="preserve">traits and the largest negative correlations with traits across</w:t>
      </w:r>
      <w:r>
        <w:t xml:space="preserve"> </w:t>
      </w:r>
      <w:r>
        <w:t xml:space="preserve">all four tissues. Mean local (15%) and distal (20%) heritability</w:t>
      </w:r>
      <w:r>
        <w:t xml:space="preserve"> </w:t>
      </w:r>
      <w:r>
        <w:t xml:space="preserve">were not significantly different for this group of transcripts</w:t>
      </w:r>
      <w:r>
        <w:t xml:space="preserve"> </w:t>
      </w:r>
      <w:r>
        <w:t xml:space="preserve">(two-sided Welch’s t-test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1.9</m:t>
        </m:r>
      </m:oMath>
      <w:r>
        <w:t xml:space="preserve">; df = 151.7; difference 95%</w:t>
      </w:r>
      <w:r>
        <w:t xml:space="preserve"> </w:t>
      </w:r>
      <w:r>
        <w:t xml:space="preserve">CI = -0.002 to 0.1;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0.77</m:t>
        </m:r>
      </m:oMath>
      <w:r>
        <w:t xml:space="preserve">).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The transcripts</w:t>
      </w:r>
      <w:r>
        <w:t xml:space="preserve"> </w:t>
      </w:r>
      <w:r>
        <w:t xml:space="preserve">with the largest local heritability (top 20) across all four</w:t>
      </w:r>
      <w:r>
        <w:t xml:space="preserve"> </w:t>
      </w:r>
      <w:r>
        <w:t xml:space="preserve">tissues. Mean local heritability (90%) was significantly higher</w:t>
      </w:r>
      <w:r>
        <w:t xml:space="preserve"> </w:t>
      </w:r>
      <w:r>
        <w:t xml:space="preserve">than mean distal heritability (15%) of these genes</w:t>
      </w:r>
      <w:r>
        <w:t xml:space="preserve"> </w:t>
      </w:r>
      <w:r>
        <w:t xml:space="preserve">(two-sided Welch’s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45.0</m:t>
        </m:r>
      </m:oMath>
      <w:r>
        <w:t xml:space="preserve">; df = 82.0; difference 95%</w:t>
      </w:r>
      <w:r>
        <w:t xml:space="preserve"> </w:t>
      </w:r>
      <w:r>
        <w:t xml:space="preserve">CI = 0.72 to 0.78;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2.2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 Lines in boxes correspond</w:t>
      </w:r>
      <w:r>
        <w:t xml:space="preserve"> </w:t>
      </w:r>
      <w:r>
        <w:t xml:space="preserve">to the median; lower and upper edges of boxes indicate the</w:t>
      </w:r>
      <w:r>
        <w:t xml:space="preserve"> </w:t>
      </w:r>
      <w:r>
        <w:t xml:space="preserve">first and third quartiles; whiskers indicate the first and</w:t>
      </w:r>
      <w:r>
        <w:t xml:space="preserve"> </w:t>
      </w:r>
      <w:r>
        <w:t xml:space="preserve">third quartiles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1.5 times the interquartile range; dots</w:t>
      </w:r>
      <w:r>
        <w:t xml:space="preserve"> </w:t>
      </w:r>
      <w:r>
        <w:t xml:space="preserve">indicate outliers beyond 1.5 times the interquartile range. All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values derived from two-sided Welch’s t-test and are</w:t>
      </w:r>
      <w:r>
        <w:t xml:space="preserve"> </w:t>
      </w:r>
      <w:r>
        <w:t xml:space="preserve">not adjusted for multiple comparisons. Source data are</w:t>
      </w:r>
      <w:r>
        <w:t xml:space="preserve"> </w:t>
      </w:r>
      <w:r>
        <w:t xml:space="preserve">provided as a Source Data file.</w:t>
      </w:r>
      <w:r>
        <w:t xml:space="preserve"> 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Tissue-specific transcriptional programs are</w:t>
      </w:r>
      <w:r>
        <w:t xml:space="preserve"> </w:t>
      </w:r>
      <w:r>
        <w:t xml:space="preserve">associated with obesity and insulin resistance.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Heat map showing the loadings of all transcripts with</w:t>
      </w:r>
      <w:r>
        <w:t xml:space="preserve"> </w:t>
      </w:r>
      <w:r>
        <w:t xml:space="preserve">loadings greater than 2.5 standard deviations from the</w:t>
      </w:r>
      <w:r>
        <w:t xml:space="preserve"> </w:t>
      </w:r>
      <w:r>
        <w:t xml:space="preserve">mean in any tissue. The heat map was clustered using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medoid clustering. Functional enrichments of each</w:t>
      </w:r>
      <w:r>
        <w:t xml:space="preserve"> </w:t>
      </w:r>
      <w:r>
        <w:t xml:space="preserve">cluster are indicated along the left margin.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Loadings for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in different tissues indicated</w:t>
      </w:r>
      <w:r>
        <w:t xml:space="preserve"> </w:t>
      </w:r>
      <w:r>
        <w:t xml:space="preserve">by color.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Local (brown) and distal (gray) of</w:t>
      </w:r>
      <w:r>
        <w:t xml:space="preserve"> </w:t>
      </w:r>
      <w:r>
        <w:rPr>
          <w:iCs/>
          <w:i/>
        </w:rPr>
        <w:t xml:space="preserve">Pparg</w:t>
      </w:r>
      <w:r>
        <w:t xml:space="preserve"> </w:t>
      </w:r>
      <w:r>
        <w:t xml:space="preserve">expression in different tissues. Source data</w:t>
      </w:r>
      <w:r>
        <w:t xml:space="preserve"> </w:t>
      </w:r>
      <w:r>
        <w:t xml:space="preserve">are provided as a Source Data file.</w:t>
      </w:r>
      <w:r>
        <w:t xml:space="preserve"> 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Transcription, but not local genotype, predicts</w:t>
      </w:r>
      <w:r>
        <w:t xml:space="preserve"> </w:t>
      </w:r>
      <w:r>
        <w:t xml:space="preserve">phenotype in the CC-RIX.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Workflow showing</w:t>
      </w:r>
      <w:r>
        <w:t xml:space="preserve"> </w:t>
      </w:r>
      <w:r>
        <w:t xml:space="preserve">procedure for translating HDM results to an independent</w:t>
      </w:r>
      <w:r>
        <w:t xml:space="preserve"> </w:t>
      </w:r>
      <w:r>
        <w:t xml:space="preserve">population of mice.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Relationships between the</w:t>
      </w:r>
      <w:r>
        <w:t xml:space="preserve"> </w:t>
      </w:r>
      <w:r>
        <w:t xml:space="preserve">predicted metabolic disease index (MDI) and the mean</w:t>
      </w:r>
      <w:r>
        <w:t xml:space="preserve"> </w:t>
      </w:r>
      <w:r>
        <w:t xml:space="preserve">of the rankZ normalized body weight. In this column,</w:t>
      </w:r>
      <w:r>
        <w:t xml:space="preserve"> </w:t>
      </w:r>
      <w:r>
        <w:t xml:space="preserve">MDI was derived from measured transcripts. Adipose -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0.60</m:t>
        </m:r>
      </m:oMath>
      <w:r>
        <w:t xml:space="preserve">; beta coefficient =</w:t>
      </w:r>
      <w:r>
        <w:t xml:space="preserve"> </w:t>
      </w:r>
      <m:oMath>
        <m:r>
          <m:t>0.89</m:t>
        </m:r>
        <m:r>
          <m:rPr>
            <m:sty m:val="p"/>
          </m:rPr>
          <m:t>±</m:t>
        </m:r>
        <m:r>
          <m:t>0.17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5.21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5.9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</m:oMath>
      <w:r>
        <w:t xml:space="preserve">.</w:t>
      </w:r>
      <w:r>
        <w:t xml:space="preserve"> </w:t>
      </w:r>
      <w:r>
        <w:t xml:space="preserve">Liver -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0.35</m:t>
        </m:r>
      </m:oMath>
      <w:r>
        <w:t xml:space="preserve">; beta coefficient =</w:t>
      </w:r>
      <w:r>
        <w:t xml:space="preserve"> </w:t>
      </w:r>
      <m:oMath>
        <m:r>
          <m:t>1.1</m:t>
        </m:r>
        <m:r>
          <m:rPr>
            <m:sty m:val="p"/>
          </m:rPr>
          <m:t>±</m:t>
        </m:r>
        <m:r>
          <m:t>0.34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3.1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6.4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.</w:t>
      </w:r>
      <w:r>
        <w:t xml:space="preserve"> </w:t>
      </w:r>
      <w:r>
        <w:t xml:space="preserve">Muscle -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0.29</m:t>
        </m:r>
      </m:oMath>
      <w:r>
        <w:t xml:space="preserve">; beta coefficient =</w:t>
      </w:r>
      <w:r>
        <w:t xml:space="preserve"> </w:t>
      </w:r>
      <m:oMath>
        <m:r>
          <m:t>0.64</m:t>
        </m:r>
        <m:r>
          <m:rPr>
            <m:sty m:val="p"/>
          </m:rPr>
          <m:t>±</m:t>
        </m:r>
        <m:r>
          <m:t>0.24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2.7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0.014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In this column, MDI was derived from</w:t>
      </w:r>
      <w:r>
        <w:t xml:space="preserve"> </w:t>
      </w:r>
      <w:r>
        <w:t xml:space="preserve">transcripts imputed from local genotype. Adipose -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8.0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; beta coefficient =</w:t>
      </w:r>
      <w:r>
        <w:t xml:space="preserve"> </w:t>
      </w:r>
      <m:oMath>
        <m:r>
          <m:rPr>
            <m:sty m:val="p"/>
          </m:rPr>
          <m:t>−</m:t>
        </m:r>
        <m:r>
          <m:t>0.2</m:t>
        </m:r>
        <m:r>
          <m:rPr>
            <m:sty m:val="p"/>
          </m:rPr>
          <m:t>±</m:t>
        </m:r>
        <m:r>
          <m:t>0.16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0.12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0.91</m:t>
        </m:r>
      </m:oMath>
      <w:r>
        <w:t xml:space="preserve">.</w:t>
      </w:r>
      <w:r>
        <w:t xml:space="preserve"> </w:t>
      </w:r>
      <w:r>
        <w:t xml:space="preserve">Liver -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0.035</m:t>
        </m:r>
      </m:oMath>
      <w:r>
        <w:t xml:space="preserve">; beta coefficient =</w:t>
      </w:r>
      <w:r>
        <w:t xml:space="preserve"> </w:t>
      </w:r>
      <m:oMath>
        <m:r>
          <m:t>0.13</m:t>
        </m:r>
        <m:r>
          <m:rPr>
            <m:sty m:val="p"/>
          </m:rPr>
          <m:t>±</m:t>
        </m:r>
        <m:r>
          <m:t>0.16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0.81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0.43</m:t>
        </m:r>
      </m:oMath>
      <w:r>
        <w:t xml:space="preserve">.</w:t>
      </w:r>
      <w:r>
        <w:t xml:space="preserve"> </w:t>
      </w:r>
      <w:r>
        <w:t xml:space="preserve">Muscle -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0.079</m:t>
        </m:r>
      </m:oMath>
      <w:r>
        <w:t xml:space="preserve">; beta coefficient =</w:t>
      </w:r>
      <w:r>
        <w:t xml:space="preserve"> </w:t>
      </w:r>
      <m:oMath>
        <m:r>
          <m:t>0.19</m:t>
        </m:r>
        <m:r>
          <m:rPr>
            <m:sty m:val="p"/>
          </m:rPr>
          <m:t>±</m:t>
        </m:r>
        <m:r>
          <m:t>0.16</m:t>
        </m:r>
      </m:oMath>
      <w:r>
        <w:t xml:space="preserve"> </w:t>
      </w:r>
      <w:r>
        <w:t xml:space="preserve">standard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1.24</m:t>
        </m:r>
      </m:oMath>
      <w:r>
        <w:t xml:space="preserve">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0.23</m:t>
        </m:r>
      </m:oMath>
      <w:r>
        <w:t xml:space="preserve">.</w:t>
      </w:r>
      <w:r>
        <w:t xml:space="preserve"> </w:t>
      </w:r>
      <w:r>
        <w:t xml:space="preserve">Gray boxes indicate measured quantities and blue boxes</w:t>
      </w:r>
      <w:r>
        <w:t xml:space="preserve"> </w:t>
      </w:r>
      <w:r>
        <w:t xml:space="preserve">indicate calculated quantities. G - genome; T - transcriptome;</w:t>
      </w:r>
      <w:r>
        <w:t xml:space="preserve"> </w:t>
      </w:r>
      <w:r>
        <w:t xml:space="preserve">P - phenome (here MDI). The dots in each panel represent</w:t>
      </w:r>
      <w:r>
        <w:t xml:space="preserve"> </w:t>
      </w:r>
      <w:r>
        <w:t xml:space="preserve">individual CC-RIX strains. Each strain was represented</w:t>
      </w:r>
      <w:r>
        <w:t xml:space="preserve"> </w:t>
      </w:r>
      <w:r>
        <w:t xml:space="preserve">by between 19 and 24 individuals. The gray lines show</w:t>
      </w:r>
      <w:r>
        <w:t xml:space="preserve"> </w:t>
      </w:r>
      <w:r>
        <w:t xml:space="preserve">the standard deviation of mean body weight for the</w:t>
      </w:r>
      <w:r>
        <w:t xml:space="preserve"> </w:t>
      </w:r>
      <w:r>
        <w:t xml:space="preserve">strain. Source data are provided as a Source Data</w:t>
      </w:r>
      <w:r>
        <w:t xml:space="preserve"> </w:t>
      </w:r>
      <w:r>
        <w:t xml:space="preserve">file.</w:t>
      </w:r>
      <w:r>
        <w:t xml:space="preserve"> 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/>
      <w:tr/>
    </w:tbl>
    <w:p>
      <w:pPr>
        <w:pStyle w:val="ImageCaption"/>
      </w:pPr>
      <w:r>
        <w:t xml:space="preserve">HDM results translate to humans.</w:t>
      </w:r>
      <w:r>
        <w:t xml:space="preserve"> </w:t>
      </w:r>
      <w:r>
        <w:rPr>
          <w:bCs/>
          <w:b/>
        </w:rPr>
        <w:t xml:space="preserve">A.</w:t>
      </w:r>
      <w:r>
        <w:t xml:space="preserve"> </w:t>
      </w:r>
      <w:r>
        <w:t xml:space="preserve">Distribution of</w:t>
      </w:r>
      <w:r>
        <w:t xml:space="preserve"> </w:t>
      </w:r>
      <w:r>
        <w:t xml:space="preserve">loadings for cell-type-specific transcripts in adipose tissue</w:t>
      </w:r>
      <w:r>
        <w:t xml:space="preserve"> </w:t>
      </w:r>
      <w:r>
        <w:t xml:space="preserve">(purple). Numbers in parentheses indicate the number of</w:t>
      </w:r>
      <w:r>
        <w:t xml:space="preserve"> </w:t>
      </w:r>
      <w:r>
        <w:t xml:space="preserve">transcripts in each group.</w:t>
      </w:r>
      <w:r>
        <w:t xml:space="preserve"> </w:t>
      </w:r>
      <w:r>
        <w:rPr>
          <w:bCs/>
          <w:b/>
        </w:rPr>
        <w:t xml:space="preserve">B.</w:t>
      </w:r>
      <w:r>
        <w:t xml:space="preserve"> </w:t>
      </w:r>
      <w:r>
        <w:t xml:space="preserve">Distribution of loadings</w:t>
      </w:r>
      <w:r>
        <w:t xml:space="preserve"> </w:t>
      </w:r>
      <w:r>
        <w:t xml:space="preserve">for cell-type-specific transcripts in pancreatic islets (green).</w:t>
      </w:r>
      <w:r>
        <w:t xml:space="preserve"> </w:t>
      </w:r>
      <w:r>
        <w:t xml:space="preserve">Each box in this panel represents 10 transcripts.</w:t>
      </w:r>
      <w:r>
        <w:t xml:space="preserve"> </w:t>
      </w:r>
      <w:r>
        <w:rPr>
          <w:bCs/>
          <w:b/>
        </w:rPr>
        <w:t xml:space="preserve">C.</w:t>
      </w:r>
      <w:r>
        <w:t xml:space="preserve"> </w:t>
      </w:r>
      <w:r>
        <w:t xml:space="preserve">Null distributions from 10,000 permutations for the mean</w:t>
      </w:r>
      <w:r>
        <w:t xml:space="preserve"> </w:t>
      </w:r>
      <w:r>
        <w:t xml:space="preserve">loading of randomly selected transcripts in each cell type</w:t>
      </w:r>
      <w:r>
        <w:t xml:space="preserve"> </w:t>
      </w:r>
      <w:r>
        <w:t xml:space="preserve">compared with the observed mean loading of each group</w:t>
      </w:r>
      <w:r>
        <w:t xml:space="preserve"> </w:t>
      </w:r>
      <w:r>
        <w:t xml:space="preserve">of transcripts (red asterisk). Violin plot colors indicate the</w:t>
      </w:r>
      <w:r>
        <w:t xml:space="preserve"> </w:t>
      </w:r>
      <w:r>
        <w:t xml:space="preserve">tissue of each cell type and match panels A and B</w:t>
      </w:r>
      <w:r>
        <w:t xml:space="preserve"> </w:t>
      </w:r>
      <w:r>
        <w:t xml:space="preserve">(purple = adipose; green = islet)</w:t>
      </w:r>
      <w:r>
        <w:t xml:space="preserve"> </w:t>
      </w:r>
      <w:r>
        <w:rPr>
          <w:bCs/>
          <w:b/>
        </w:rPr>
        <w:t xml:space="preserve">D.</w:t>
      </w:r>
      <w:r>
        <w:t xml:space="preserve"> </w:t>
      </w:r>
      <w:r>
        <w:t xml:space="preserve">Predictions of</w:t>
      </w:r>
      <w:r>
        <w:t xml:space="preserve"> </w:t>
      </w:r>
      <w:r>
        <w:t xml:space="preserve">metabolic disease index (MDI) in four adipose transcription</w:t>
      </w:r>
      <w:r>
        <w:t xml:space="preserve"> </w:t>
      </w:r>
      <w:r>
        <w:t xml:space="preserve">data sets downloaded from GEO. In each study the</w:t>
      </w:r>
      <w:r>
        <w:t xml:space="preserve"> </w:t>
      </w:r>
      <w:r>
        <w:t xml:space="preserve">obese/diabetic patients were predicted to have greater</w:t>
      </w:r>
      <w:r>
        <w:t xml:space="preserve"> </w:t>
      </w:r>
      <w:r>
        <w:t xml:space="preserve">MDI than the lean/non-diabetic patients based on the</w:t>
      </w:r>
      <w:r>
        <w:t xml:space="preserve"> </w:t>
      </w:r>
      <w:r>
        <w:t xml:space="preserve">HDM results from DO mice. 1) two-sided Welch’s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2.28</m:t>
        </m:r>
      </m:oMath>
      <w:r>
        <w:t xml:space="preserve">,</w:t>
      </w:r>
      <w:r>
        <w:t xml:space="preserve"> </w:t>
      </w:r>
      <w:r>
        <w:t xml:space="preserve">df = 58.1, 95% CI of difference =</w:t>
      </w:r>
      <w:r>
        <w:t xml:space="preserve"> </w:t>
      </w:r>
      <m:oMath>
        <m:r>
          <m:t>2.1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</m:oMath>
      <w:r>
        <w:t xml:space="preserve"> </w:t>
      </w:r>
      <w:r>
        <w:t xml:space="preserve">to</w:t>
      </w:r>
      <w:r>
        <w:t xml:space="preserve"> </w:t>
      </w:r>
      <m:oMath>
        <m:r>
          <m:t>3.2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 </w:t>
      </w:r>
      <w:r>
        <w:t xml:space="preserve">A.U.;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0.027</m:t>
        </m:r>
      </m:oMath>
      <w:r>
        <w:t xml:space="preserve"> </w:t>
      </w:r>
      <w:r>
        <w:t xml:space="preserve">2) two-sided Welch’s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3.04</m:t>
        </m:r>
      </m:oMath>
      <w:r>
        <w:t xml:space="preserve">,</w:t>
      </w:r>
      <w:r>
        <w:t xml:space="preserve"> </w:t>
      </w:r>
      <w:r>
        <w:t xml:space="preserve">df = 11.84, 95% CI of difference =</w:t>
      </w:r>
      <w:r>
        <w:t xml:space="preserve"> </w:t>
      </w:r>
      <m:oMath>
        <m:r>
          <m:t>9.3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 </w:t>
      </w:r>
      <w:r>
        <w:t xml:space="preserve">to</w:t>
      </w:r>
      <w:r>
        <w:t xml:space="preserve"> </w:t>
      </w:r>
      <m:oMath>
        <m:r>
          <m:t>5.7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A.U.;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3) linear mixed effects model:</w:t>
      </w:r>
      <w:r>
        <w:t xml:space="preserve"> </w:t>
      </w:r>
      <w:r>
        <w:t xml:space="preserve">fixed effect diabetic =</w:t>
      </w:r>
      <w:r>
        <w:t xml:space="preserve"> </w:t>
      </w:r>
      <m:oMath>
        <m:r>
          <m:t>1.4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±</m:t>
        </m:r>
        <m:r>
          <m:t>5.6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 </w:t>
      </w:r>
      <w:r>
        <w:t xml:space="preserve">Std. Error;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2.4</m:t>
        </m:r>
      </m:oMath>
      <w:r>
        <w:t xml:space="preserve">, df = 4,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0.075</m:t>
        </m:r>
      </m:oMath>
      <w:r>
        <w:t xml:space="preserve"> </w:t>
      </w:r>
      <w:r>
        <w:t xml:space="preserve">4) two-sided Welch’s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2.95</m:t>
        </m:r>
      </m:oMath>
      <w:r>
        <w:t xml:space="preserve">,</w:t>
      </w:r>
      <w:r>
        <w:t xml:space="preserve"> </w:t>
      </w:r>
      <w:r>
        <w:t xml:space="preserve">df = 11.89, 95% CI of difference =</w:t>
      </w:r>
      <w:r>
        <w:t xml:space="preserve"> </w:t>
      </w:r>
      <m:oMath>
        <m:r>
          <m:t>6.8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</m:oMath>
      <w:r>
        <w:t xml:space="preserve"> </w:t>
      </w:r>
      <w:r>
        <w:t xml:space="preserve">to</w:t>
      </w:r>
      <w:r>
        <w:t xml:space="preserve"> </w:t>
      </w:r>
      <m:oMath>
        <m:r>
          <m:t>4.6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 </w:t>
      </w:r>
      <w:r>
        <w:t xml:space="preserve">A.U.;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0.012</m:t>
        </m:r>
      </m:oMath>
      <w:r>
        <w:t xml:space="preserve"> </w:t>
      </w:r>
      <w:r>
        <w:t xml:space="preserve">Lines in boxes correspond to the</w:t>
      </w:r>
      <w:r>
        <w:t xml:space="preserve"> </w:t>
      </w:r>
      <w:r>
        <w:t xml:space="preserve">median; lower and upper edges of boxes indicate the</w:t>
      </w:r>
      <w:r>
        <w:t xml:space="preserve"> </w:t>
      </w:r>
      <w:r>
        <w:t xml:space="preserve">first and third quartiles; whiskers indicate either the minimum</w:t>
      </w:r>
      <w:r>
        <w:t xml:space="preserve"> </w:t>
      </w:r>
      <w:r>
        <w:t xml:space="preserve">and maximum values if no outliers, or the first and third quartiles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1.5 times the interquartile range if there are outliers;</w:t>
      </w:r>
      <w:r>
        <w:t xml:space="preserve"> </w:t>
      </w:r>
      <w:r>
        <w:t xml:space="preserve">dots indicate outliers beyond 1.5 times the interquartile range.</w:t>
      </w:r>
      <w:r>
        <w:t xml:space="preserve"> </w:t>
      </w:r>
      <w:r>
        <w:t xml:space="preserve">The number of patients in each group is indicated by numbers</w:t>
      </w:r>
      <w:r>
        <w:t xml:space="preserve"> </w:t>
      </w:r>
      <w:r>
        <w:t xml:space="preserve">in parentheses with the number of technical replicates (reps) if</w:t>
      </w:r>
      <w:r>
        <w:t xml:space="preserve"> </w:t>
      </w:r>
      <w:r>
        <w:t xml:space="preserve">relevant. No adjustments were made for multiple comparisons.</w:t>
      </w:r>
      <w:r>
        <w:t xml:space="preserve"> </w:t>
      </w:r>
      <w:r>
        <w:t xml:space="preserve">Source data are provided as a Source Data file.</w:t>
      </w:r>
      <w:r>
        <w:t xml:space="preserve"> </w:t>
      </w:r>
    </w:p>
    <w:bookmarkStart w:id="215" w:name="refs"/>
    <w:bookmarkStart w:id="98" w:name="ref-pmid2295582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Maurano, M. T.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S</w:t>
      </w:r>
      <w:r>
        <w:t xml:space="preserve">ystematic localization of common disease-associated variation in regulatory</w:t>
      </w:r>
      <w:r>
        <w:t xml:space="preserve"> </w:t>
      </w:r>
      <w:r>
        <w:t xml:space="preserve">D</w:t>
      </w:r>
      <w:r>
        <w:t xml:space="preserve">N</w:t>
      </w:r>
      <w:r>
        <w:t xml:space="preserve">A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337</w:t>
      </w:r>
      <w:r>
        <w:t xml:space="preserve">, 1190–1195 (2012).</w:t>
      </w:r>
    </w:p>
    <w:bookmarkEnd w:id="98"/>
    <w:bookmarkStart w:id="99" w:name="ref-pmid2536377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Farh, K. K.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enetic and epigenetic fine mapping of causal autoimmune disease variants</w:t>
      </w:r>
      <w:r>
        <w:t xml:space="preserve">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518</w:t>
      </w:r>
      <w:r>
        <w:t xml:space="preserve">, 337–343 (2015).</w:t>
      </w:r>
    </w:p>
    <w:bookmarkEnd w:id="99"/>
    <w:bookmarkStart w:id="100" w:name="ref-pmid2161705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Pennisi, E.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B</w:t>
      </w:r>
      <w:r>
        <w:t xml:space="preserve">iology of</w:t>
      </w:r>
      <w:r>
        <w:t xml:space="preserve"> </w:t>
      </w:r>
      <w:r>
        <w:t xml:space="preserve">G</w:t>
      </w:r>
      <w:r>
        <w:t xml:space="preserve">enomes.</w:t>
      </w:r>
      <w:r>
        <w:t xml:space="preserve"> </w:t>
      </w:r>
      <w:r>
        <w:t xml:space="preserve">D</w:t>
      </w:r>
      <w:r>
        <w:t xml:space="preserve">isease risk links to gene regulation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332</w:t>
      </w:r>
      <w:r>
        <w:t xml:space="preserve">, 1031 (2011).</w:t>
      </w:r>
    </w:p>
    <w:bookmarkEnd w:id="100"/>
    <w:bookmarkStart w:id="101" w:name="ref-pmid1947429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Hindorff, L.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P</w:t>
      </w:r>
      <w:r>
        <w:t xml:space="preserve">otential etiologic and functional implications of genome-wide association loci for human diseases and traits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</w:t>
      </w:r>
      <w:r>
        <w:t xml:space="preserve"> </w:t>
      </w:r>
      <w:r>
        <w:rPr>
          <w:bCs/>
          <w:b/>
        </w:rPr>
        <w:t xml:space="preserve">106</w:t>
      </w:r>
      <w:r>
        <w:t xml:space="preserve">, 9362–9367 (2009).</w:t>
      </w:r>
    </w:p>
    <w:bookmarkEnd w:id="101"/>
    <w:bookmarkStart w:id="102" w:name="ref-pmid24702953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Pickrell, J. K.</w:t>
      </w:r>
      <w:r>
        <w:t xml:space="preserve"> </w:t>
      </w:r>
      <w:r>
        <w:t xml:space="preserve">J</w:t>
      </w:r>
      <w:r>
        <w:t xml:space="preserve">oint analysis of functional genomic data and genome-wide association studies of 18 human traits</w:t>
      </w:r>
      <w:r>
        <w:t xml:space="preserve">.</w:t>
      </w:r>
      <w:r>
        <w:t xml:space="preserve"> </w:t>
      </w:r>
      <w:r>
        <w:rPr>
          <w:iCs/>
          <w:i/>
        </w:rPr>
        <w:t xml:space="preserve">Am J Hum Genet</w:t>
      </w:r>
      <w:r>
        <w:t xml:space="preserve"> </w:t>
      </w:r>
      <w:r>
        <w:rPr>
          <w:bCs/>
          <w:b/>
        </w:rPr>
        <w:t xml:space="preserve">94</w:t>
      </w:r>
      <w:r>
        <w:t xml:space="preserve">, 559–573 (2014).</w:t>
      </w:r>
    </w:p>
    <w:bookmarkEnd w:id="102"/>
    <w:bookmarkStart w:id="103" w:name="ref-pmid2431657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Welter, D.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N</w:t>
      </w:r>
      <w:r>
        <w:t xml:space="preserve">H</w:t>
      </w:r>
      <w:r>
        <w:t xml:space="preserve">G</w:t>
      </w:r>
      <w:r>
        <w:t xml:space="preserve">R</w:t>
      </w:r>
      <w:r>
        <w:t xml:space="preserve">I</w:t>
      </w:r>
      <w:r>
        <w:t xml:space="preserve"> </w:t>
      </w:r>
      <w:r>
        <w:t xml:space="preserve">G</w:t>
      </w:r>
      <w:r>
        <w:t xml:space="preserve">W</w:t>
      </w:r>
      <w:r>
        <w:t xml:space="preserve">A</w:t>
      </w:r>
      <w:r>
        <w:t xml:space="preserve">S</w:t>
      </w:r>
      <w:r>
        <w:t xml:space="preserve"> </w:t>
      </w:r>
      <w:r>
        <w:t xml:space="preserve">C</w:t>
      </w:r>
      <w:r>
        <w:t xml:space="preserve">atalog, a curated resource of</w:t>
      </w:r>
      <w:r>
        <w:t xml:space="preserve"> </w:t>
      </w:r>
      <w:r>
        <w:t xml:space="preserve">S</w:t>
      </w:r>
      <w:r>
        <w:t xml:space="preserve">N</w:t>
      </w:r>
      <w:r>
        <w:t xml:space="preserve">P</w:t>
      </w:r>
      <w:r>
        <w:t xml:space="preserve">-trait associations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42</w:t>
      </w:r>
      <w:r>
        <w:t xml:space="preserve">, D1001–1006 (2014).</w:t>
      </w:r>
    </w:p>
    <w:bookmarkEnd w:id="103"/>
    <w:bookmarkStart w:id="104" w:name="ref-pmid27126046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Li, Y. I.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N</w:t>
      </w:r>
      <w:r>
        <w:t xml:space="preserve">A</w:t>
      </w:r>
      <w:r>
        <w:t xml:space="preserve"> </w:t>
      </w:r>
      <w:r>
        <w:t xml:space="preserve">splicing is a primary link between genetic variation and disease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352</w:t>
      </w:r>
      <w:r>
        <w:t xml:space="preserve">, 600–604 (2016).</w:t>
      </w:r>
    </w:p>
    <w:bookmarkEnd w:id="104"/>
    <w:bookmarkStart w:id="105" w:name="ref-pmid3302066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Zhou, D.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</w:t>
      </w:r>
      <w:r>
        <w:t xml:space="preserve"> </w:t>
      </w:r>
      <w:r>
        <w:t xml:space="preserve">unified framework for joint-tissue transcriptome-wide association and</w:t>
      </w:r>
      <w:r>
        <w:t xml:space="preserve"> </w:t>
      </w:r>
      <w:r>
        <w:t xml:space="preserve">M</w:t>
      </w:r>
      <w:r>
        <w:t xml:space="preserve">endelian randomization analysis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52</w:t>
      </w:r>
      <w:r>
        <w:t xml:space="preserve">, 1239–1246 (2020).</w:t>
      </w:r>
    </w:p>
    <w:bookmarkEnd w:id="105"/>
    <w:bookmarkStart w:id="106" w:name="ref-pmid26258848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Gamazon, E. R.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</w:t>
      </w:r>
      <w:r>
        <w:t xml:space="preserve"> </w:t>
      </w:r>
      <w:r>
        <w:t xml:space="preserve">gene-based association method for mapping traits using reference transcriptome data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47</w:t>
      </w:r>
      <w:r>
        <w:t xml:space="preserve">, 1091–1098 (2015).</w:t>
      </w:r>
    </w:p>
    <w:bookmarkEnd w:id="106"/>
    <w:bookmarkStart w:id="107" w:name="ref-pmid27019110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Zhu, Z.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ntegration of summary data from</w:t>
      </w:r>
      <w:r>
        <w:t xml:space="preserve"> </w:t>
      </w:r>
      <w:r>
        <w:t xml:space="preserve">G</w:t>
      </w:r>
      <w:r>
        <w:t xml:space="preserve">W</w:t>
      </w:r>
      <w:r>
        <w:t xml:space="preserve">A</w:t>
      </w:r>
      <w:r>
        <w:t xml:space="preserve">S</w:t>
      </w:r>
      <w:r>
        <w:t xml:space="preserve"> </w:t>
      </w:r>
      <w:r>
        <w:t xml:space="preserve">and e</w:t>
      </w:r>
      <w:r>
        <w:t xml:space="preserve">Q</w:t>
      </w:r>
      <w:r>
        <w:t xml:space="preserve">T</w:t>
      </w:r>
      <w:r>
        <w:t xml:space="preserve">L</w:t>
      </w:r>
      <w:r>
        <w:t xml:space="preserve"> </w:t>
      </w:r>
      <w:r>
        <w:t xml:space="preserve">studies predicts complex trait gene targets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48</w:t>
      </w:r>
      <w:r>
        <w:t xml:space="preserve">, 481–487 (2016).</w:t>
      </w:r>
    </w:p>
    <w:bookmarkEnd w:id="107"/>
    <w:bookmarkStart w:id="108" w:name="ref-pmid26854917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Gusev,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ntegrative approaches for large-scale transcriptome-wide association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48</w:t>
      </w:r>
      <w:r>
        <w:t xml:space="preserve">, 245–252 (2016).</w:t>
      </w:r>
    </w:p>
    <w:bookmarkEnd w:id="108"/>
    <w:bookmarkStart w:id="109" w:name="ref-pmid29567659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enetic</w:t>
      </w:r>
      <w:r>
        <w:t xml:space="preserve"> </w:t>
      </w:r>
      <w:r>
        <w:t xml:space="preserve">D</w:t>
      </w:r>
      <w:r>
        <w:t xml:space="preserve">rivers of</w:t>
      </w:r>
      <w:r>
        <w:t xml:space="preserve"> </w:t>
      </w:r>
      <w:r>
        <w:t xml:space="preserve">P</w:t>
      </w:r>
      <w:r>
        <w:t xml:space="preserve">ancreatic</w:t>
      </w:r>
      <w:r>
        <w:t xml:space="preserve"> </w:t>
      </w:r>
      <w:r>
        <w:t xml:space="preserve">I</w:t>
      </w:r>
      <w:r>
        <w:t xml:space="preserve">slet</w:t>
      </w:r>
      <w:r>
        <w:t xml:space="preserve"> </w:t>
      </w:r>
      <w:r>
        <w:t xml:space="preserve">F</w:t>
      </w:r>
      <w:r>
        <w:t xml:space="preserve">unction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209</w:t>
      </w:r>
      <w:r>
        <w:t xml:space="preserve">, 335–356 (2018).</w:t>
      </w:r>
    </w:p>
    <w:bookmarkEnd w:id="109"/>
    <w:bookmarkStart w:id="110" w:name="ref-pmid3553320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Crouse, W. L., Keele, G. R., Gastonguay, M. S., Churchill, G. A. &amp; Valdar, W.</w:t>
      </w:r>
      <w:r>
        <w:t xml:space="preserve"> </w:t>
      </w:r>
      <w:r>
        <w:t xml:space="preserve">A</w:t>
      </w:r>
      <w:r>
        <w:t xml:space="preserve"> </w:t>
      </w:r>
      <w:r>
        <w:t xml:space="preserve">B</w:t>
      </w:r>
      <w:r>
        <w:t xml:space="preserve">ayesian model selection approach to mediation analysis</w:t>
      </w:r>
      <w:r>
        <w:t xml:space="preserve">.</w:t>
      </w:r>
      <w:r>
        <w:t xml:space="preserve"> </w:t>
      </w:r>
      <w:r>
        <w:rPr>
          <w:iCs/>
          <w:i/>
        </w:rPr>
        <w:t xml:space="preserve">PLoS Genet</w:t>
      </w:r>
      <w:r>
        <w:t xml:space="preserve"> </w:t>
      </w:r>
      <w:r>
        <w:rPr>
          <w:bCs/>
          <w:b/>
        </w:rPr>
        <w:t xml:space="preserve">18</w:t>
      </w:r>
      <w:r>
        <w:t xml:space="preserve">, e1010184 (2022).</w:t>
      </w:r>
    </w:p>
    <w:bookmarkEnd w:id="110"/>
    <w:bookmarkStart w:id="111" w:name="ref-pmid273098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Chick, J.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</w:t>
      </w:r>
      <w:r>
        <w:t xml:space="preserve">efining the consequences of genetic variation on a proteome-wide scale</w:t>
      </w:r>
      <w:r>
        <w:t xml:space="preserve">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534</w:t>
      </w:r>
      <w:r>
        <w:t xml:space="preserve">, 500–505 (2016).</w:t>
      </w:r>
    </w:p>
    <w:bookmarkEnd w:id="111"/>
    <w:bookmarkStart w:id="112" w:name="ref-pmid3095012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Wheeler, H.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mputed gene associations identify replicable trans-acting genes enriched in transcription pathways and complex traits</w:t>
      </w:r>
      <w:r>
        <w:t xml:space="preserve">.</w:t>
      </w:r>
      <w:r>
        <w:t xml:space="preserve"> </w:t>
      </w:r>
      <w:r>
        <w:rPr>
          <w:iCs/>
          <w:i/>
        </w:rPr>
        <w:t xml:space="preserve">Genet Epidemiol</w:t>
      </w:r>
      <w:r>
        <w:t xml:space="preserve"> </w:t>
      </w:r>
      <w:r>
        <w:rPr>
          <w:bCs/>
          <w:b/>
        </w:rPr>
        <w:t xml:space="preserve">43</w:t>
      </w:r>
      <w:r>
        <w:t xml:space="preserve">, 596–608 (2019).</w:t>
      </w:r>
    </w:p>
    <w:bookmarkEnd w:id="112"/>
    <w:bookmarkStart w:id="113" w:name="ref-pmid32912663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Umans, B. D., Battle, A. &amp; Gilad, Y.</w:t>
      </w:r>
      <w:r>
        <w:t xml:space="preserve"> </w:t>
      </w:r>
      <w:r>
        <w:t xml:space="preserve">W</w:t>
      </w:r>
      <w:r>
        <w:t xml:space="preserve">here</w:t>
      </w:r>
      <w:r>
        <w:t xml:space="preserve"> </w:t>
      </w:r>
      <w:r>
        <w:t xml:space="preserve">A</w:t>
      </w:r>
      <w:r>
        <w:t xml:space="preserve">re the</w:t>
      </w:r>
      <w:r>
        <w:t xml:space="preserve"> </w:t>
      </w:r>
      <w:r>
        <w:t xml:space="preserve">D</w:t>
      </w:r>
      <w:r>
        <w:t xml:space="preserve">isease-</w:t>
      </w:r>
      <w:r>
        <w:t xml:space="preserve">A</w:t>
      </w:r>
      <w:r>
        <w:t xml:space="preserve">ssociated e</w:t>
      </w:r>
      <w:r>
        <w:t xml:space="preserve">Q</w:t>
      </w:r>
      <w:r>
        <w:t xml:space="preserve">T</w:t>
      </w:r>
      <w:r>
        <w:t xml:space="preserve">L</w:t>
      </w:r>
      <w:r>
        <w:t xml:space="preserve">s?</w:t>
      </w:r>
      <w:r>
        <w:t xml:space="preserve"> </w:t>
      </w:r>
      <w:r>
        <w:rPr>
          <w:iCs/>
          <w:i/>
        </w:rPr>
        <w:t xml:space="preserve">Trends Genet</w:t>
      </w:r>
      <w:r>
        <w:t xml:space="preserve"> </w:t>
      </w:r>
      <w:r>
        <w:rPr>
          <w:bCs/>
          <w:b/>
        </w:rPr>
        <w:t xml:space="preserve">37</w:t>
      </w:r>
      <w:r>
        <w:t xml:space="preserve">, 109–124 (2021).</w:t>
      </w:r>
    </w:p>
    <w:bookmarkEnd w:id="113"/>
    <w:bookmarkStart w:id="114" w:name="ref-pmid36515579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Connally, N. J.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 missing link between genetic association and regulatory function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rPr>
          <w:bCs/>
          <w:b/>
        </w:rPr>
        <w:t xml:space="preserve">11</w:t>
      </w:r>
      <w:r>
        <w:t xml:space="preserve">, (2022).</w:t>
      </w:r>
    </w:p>
    <w:bookmarkEnd w:id="114"/>
    <w:bookmarkStart w:id="115" w:name="ref-pmid37857933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Mostafavi, H., Spence, J. P., Naqvi, S. &amp; Pritchard, J. K.</w:t>
      </w:r>
      <w:r>
        <w:t xml:space="preserve"> </w:t>
      </w:r>
      <w:r>
        <w:t xml:space="preserve">S</w:t>
      </w:r>
      <w:r>
        <w:t xml:space="preserve">ystematic differences in discovery of genetic effects on gene expression and complex traits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55</w:t>
      </w:r>
      <w:r>
        <w:t xml:space="preserve">, 1866–1875 (2023).</w:t>
      </w:r>
    </w:p>
    <w:bookmarkEnd w:id="115"/>
    <w:bookmarkStart w:id="116" w:name="ref-pmid32424349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Yao, D. W., O’Connor, L. J., Price, A. L. &amp; Gusev, A.</w:t>
      </w:r>
      <w:r>
        <w:t xml:space="preserve"> </w:t>
      </w:r>
      <w:r>
        <w:t xml:space="preserve">Q</w:t>
      </w:r>
      <w:r>
        <w:t xml:space="preserve">uantifying genetic effects on disease mediated by assayed gene expression levels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52</w:t>
      </w:r>
      <w:r>
        <w:t xml:space="preserve">, 626–633 (2020).</w:t>
      </w:r>
    </w:p>
    <w:bookmarkEnd w:id="116"/>
    <w:bookmarkStart w:id="117" w:name="ref-pmid32831138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Liu, X.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B</w:t>
      </w:r>
      <w:r>
        <w:t xml:space="preserve">A</w:t>
      </w:r>
      <w:r>
        <w:t xml:space="preserve">T</w:t>
      </w:r>
      <w:r>
        <w:t xml:space="preserve">: a gene-based association test for robust detection of trans-gene regulation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</w:t>
      </w:r>
      <w:r>
        <w:t xml:space="preserve"> </w:t>
      </w:r>
      <w:r>
        <w:rPr>
          <w:bCs/>
          <w:b/>
        </w:rPr>
        <w:t xml:space="preserve">21</w:t>
      </w:r>
      <w:r>
        <w:t xml:space="preserve">, 211 (2020).</w:t>
      </w:r>
    </w:p>
    <w:bookmarkEnd w:id="117"/>
    <w:bookmarkStart w:id="118" w:name="ref-pmid24013639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Westra, H. J.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S</w:t>
      </w:r>
      <w:r>
        <w:t xml:space="preserve">ystematic identification of trans e</w:t>
      </w:r>
      <w:r>
        <w:t xml:space="preserve">Q</w:t>
      </w:r>
      <w:r>
        <w:t xml:space="preserve">T</w:t>
      </w:r>
      <w:r>
        <w:t xml:space="preserve">L</w:t>
      </w:r>
      <w:r>
        <w:t xml:space="preserve">s as putative drivers of known disease associations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45</w:t>
      </w:r>
      <w:r>
        <w:t xml:space="preserve">, 1238–1243 (2013).</w:t>
      </w:r>
    </w:p>
    <w:bookmarkEnd w:id="118"/>
    <w:bookmarkStart w:id="119" w:name="ref-pmid18597885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Gilad, Y., Rifkin, S. A. &amp; Pritchard, J. K.</w:t>
      </w:r>
      <w:r>
        <w:t xml:space="preserve"> </w:t>
      </w:r>
      <w:r>
        <w:t xml:space="preserve">R</w:t>
      </w:r>
      <w:r>
        <w:t xml:space="preserve">evealing the architecture of gene regulation: the promise of e</w:t>
      </w:r>
      <w:r>
        <w:t xml:space="preserve">Q</w:t>
      </w:r>
      <w:r>
        <w:t xml:space="preserve">T</w:t>
      </w:r>
      <w:r>
        <w:t xml:space="preserve">L</w:t>
      </w:r>
      <w:r>
        <w:t xml:space="preserve"> </w:t>
      </w:r>
      <w:r>
        <w:t xml:space="preserve">studies</w:t>
      </w:r>
      <w:r>
        <w:t xml:space="preserve">.</w:t>
      </w:r>
      <w:r>
        <w:t xml:space="preserve"> </w:t>
      </w:r>
      <w:r>
        <w:rPr>
          <w:iCs/>
          <w:i/>
        </w:rPr>
        <w:t xml:space="preserve">Trends Genet</w:t>
      </w:r>
      <w:r>
        <w:t xml:space="preserve"> </w:t>
      </w:r>
      <w:r>
        <w:rPr>
          <w:bCs/>
          <w:b/>
        </w:rPr>
        <w:t xml:space="preserve">24</w:t>
      </w:r>
      <w:r>
        <w:t xml:space="preserve">, 408–415 (2008).</w:t>
      </w:r>
    </w:p>
    <w:bookmarkEnd w:id="119"/>
    <w:bookmarkStart w:id="120" w:name="ref-pmid35545678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Nathan, A.</w:t>
      </w:r>
      <w:r>
        <w:t xml:space="preserve"> </w:t>
      </w:r>
      <w:r>
        <w:rPr>
          <w:iCs/>
          <w:i/>
        </w:rPr>
        <w:t xml:space="preserve">et al.</w:t>
      </w:r>
      <w:r>
        <w:t xml:space="preserve"> Single-cell eQTL models reveal dynamic t cell state dependence of disease loci.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606</w:t>
      </w:r>
      <w:r>
        <w:t xml:space="preserve">, 120–128 (2022).</w:t>
      </w:r>
    </w:p>
    <w:bookmarkEnd w:id="120"/>
    <w:bookmarkStart w:id="121" w:name="ref-pmid36350656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Sollis,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N</w:t>
      </w:r>
      <w:r>
        <w:t xml:space="preserve">H</w:t>
      </w:r>
      <w:r>
        <w:t xml:space="preserve">G</w:t>
      </w:r>
      <w:r>
        <w:t xml:space="preserve">R</w:t>
      </w:r>
      <w:r>
        <w:t xml:space="preserve">I</w:t>
      </w:r>
      <w:r>
        <w:t xml:space="preserve">-</w:t>
      </w:r>
      <w:r>
        <w:t xml:space="preserve">E</w:t>
      </w:r>
      <w:r>
        <w:t xml:space="preserve">B</w:t>
      </w:r>
      <w:r>
        <w:t xml:space="preserve">I</w:t>
      </w:r>
      <w:r>
        <w:t xml:space="preserve"> </w:t>
      </w:r>
      <w:r>
        <w:t xml:space="preserve">G</w:t>
      </w:r>
      <w:r>
        <w:t xml:space="preserve">W</w:t>
      </w:r>
      <w:r>
        <w:t xml:space="preserve">A</w:t>
      </w:r>
      <w:r>
        <w:t xml:space="preserve">S</w:t>
      </w:r>
      <w:r>
        <w:t xml:space="preserve"> </w:t>
      </w:r>
      <w:r>
        <w:t xml:space="preserve">C</w:t>
      </w:r>
      <w:r>
        <w:t xml:space="preserve">atalog: knowledgebase and deposition resource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51</w:t>
      </w:r>
      <w:r>
        <w:t xml:space="preserve">, D977–D985 (2023).</w:t>
      </w:r>
    </w:p>
    <w:bookmarkEnd w:id="121"/>
    <w:bookmarkStart w:id="122" w:name="ref-pmid34556834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Loos, R. J. F. &amp; Yeo, G. S. H.</w:t>
      </w:r>
      <w:r>
        <w:t xml:space="preserve"> </w:t>
      </w:r>
      <w:r>
        <w:t xml:space="preserve">T</w:t>
      </w:r>
      <w:r>
        <w:t xml:space="preserve">he genetics of obesity: from discovery to biology</w:t>
      </w:r>
      <w:r>
        <w:t xml:space="preserve">.</w:t>
      </w:r>
      <w:r>
        <w:t xml:space="preserve"> </w:t>
      </w:r>
      <w:r>
        <w:rPr>
          <w:iCs/>
          <w:i/>
        </w:rPr>
        <w:t xml:space="preserve">Nat Rev Genet</w:t>
      </w:r>
      <w:r>
        <w:t xml:space="preserve"> </w:t>
      </w:r>
      <w:r>
        <w:rPr>
          <w:bCs/>
          <w:b/>
        </w:rPr>
        <w:t xml:space="preserve">23</w:t>
      </w:r>
      <w:r>
        <w:t xml:space="preserve">, 120–133 (2022).</w:t>
      </w:r>
    </w:p>
    <w:bookmarkEnd w:id="122"/>
    <w:bookmarkStart w:id="123" w:name="ref-pmid28089486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Singh, R. K., Kumar, P. &amp; Mahalingam, K.</w:t>
      </w:r>
      <w:r>
        <w:t xml:space="preserve"> </w:t>
      </w:r>
      <w:r>
        <w:t xml:space="preserve">M</w:t>
      </w:r>
      <w:r>
        <w:t xml:space="preserve">olecular genetics of human obesity: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 review</w:t>
      </w:r>
      <w:r>
        <w:t xml:space="preserve">.</w:t>
      </w:r>
      <w:r>
        <w:t xml:space="preserve"> </w:t>
      </w:r>
      <w:r>
        <w:rPr>
          <w:iCs/>
          <w:i/>
        </w:rPr>
        <w:t xml:space="preserve">C R Biol</w:t>
      </w:r>
      <w:r>
        <w:t xml:space="preserve"> </w:t>
      </w:r>
      <w:r>
        <w:rPr>
          <w:bCs/>
          <w:b/>
        </w:rPr>
        <w:t xml:space="preserve">340</w:t>
      </w:r>
      <w:r>
        <w:t xml:space="preserve">, 87–108 (2017).</w:t>
      </w:r>
    </w:p>
    <w:bookmarkEnd w:id="123"/>
    <w:bookmarkStart w:id="124" w:name="ref-pmid10889786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Arner, P.</w:t>
      </w:r>
      <w:r>
        <w:t xml:space="preserve"> </w:t>
      </w:r>
      <w:r>
        <w:t xml:space="preserve">O</w:t>
      </w:r>
      <w:r>
        <w:t xml:space="preserve">besity–a genetic disease of adipose tissue?</w:t>
      </w:r>
      <w:r>
        <w:t xml:space="preserve"> </w:t>
      </w:r>
      <w:r>
        <w:rPr>
          <w:iCs/>
          <w:i/>
        </w:rPr>
        <w:t xml:space="preserve">Br J Nutr</w:t>
      </w:r>
      <w:r>
        <w:t xml:space="preserve"> </w:t>
      </w:r>
      <w:r>
        <w:rPr>
          <w:bCs/>
          <w:b/>
        </w:rPr>
        <w:t xml:space="preserve">83 Suppl 1</w:t>
      </w:r>
      <w:r>
        <w:t xml:space="preserve">, 9–16 (2000).</w:t>
      </w:r>
    </w:p>
    <w:bookmarkEnd w:id="124"/>
    <w:bookmarkStart w:id="125" w:name="ref-pmid31343992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Gene loci associated with insulin secretion in islets from nondiabetic mice.</w:t>
      </w:r>
      <w:r>
        <w:t xml:space="preserve"> </w:t>
      </w:r>
      <w:r>
        <w:rPr>
          <w:iCs/>
          <w:i/>
        </w:rPr>
        <w:t xml:space="preserve">The Journal of Clinical Investigation</w:t>
      </w:r>
      <w:r>
        <w:t xml:space="preserve"> </w:t>
      </w:r>
      <w:r>
        <w:rPr>
          <w:bCs/>
          <w:b/>
        </w:rPr>
        <w:t xml:space="preserve">129</w:t>
      </w:r>
      <w:r>
        <w:t xml:space="preserve">, 4419–4432 (2019).</w:t>
      </w:r>
    </w:p>
    <w:bookmarkEnd w:id="125"/>
    <w:bookmarkStart w:id="126" w:name="ref-pmid2289283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Churchill, G. A., Gatti, D. M., Munger, S. C. &amp; Svenson, K. 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D</w:t>
      </w:r>
      <w:r>
        <w:t xml:space="preserve">iversity</w:t>
      </w:r>
      <w:r>
        <w:t xml:space="preserve"> </w:t>
      </w:r>
      <w:r>
        <w:t xml:space="preserve">O</w:t>
      </w:r>
      <w:r>
        <w:t xml:space="preserve">utbred mouse population</w:t>
      </w:r>
      <w:r>
        <w:t xml:space="preserve">.</w:t>
      </w:r>
      <w:r>
        <w:t xml:space="preserve"> </w:t>
      </w:r>
      <w:r>
        <w:rPr>
          <w:iCs/>
          <w:i/>
        </w:rPr>
        <w:t xml:space="preserve">Mamm Genome</w:t>
      </w:r>
      <w:r>
        <w:t xml:space="preserve"> </w:t>
      </w:r>
      <w:r>
        <w:rPr>
          <w:bCs/>
          <w:b/>
        </w:rPr>
        <w:t xml:space="preserve">23</w:t>
      </w:r>
      <w:r>
        <w:t xml:space="preserve">, 713–718 (2012).</w:t>
      </w:r>
    </w:p>
    <w:bookmarkEnd w:id="126"/>
    <w:bookmarkStart w:id="127" w:name="ref-pmid18716833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Chesler, E. J.</w:t>
      </w:r>
      <w:r>
        <w:t xml:space="preserve"> </w:t>
      </w:r>
      <w:r>
        <w:rPr>
          <w:iCs/>
          <w:i/>
        </w:rPr>
        <w:t xml:space="preserve">et al.</w:t>
      </w:r>
      <w:r>
        <w:t xml:space="preserve"> The collaborative cross at oak ridge national laboratory: Developing a powerful resource for systems genetics.</w:t>
      </w:r>
      <w:r>
        <w:t xml:space="preserve"> </w:t>
      </w:r>
      <w:r>
        <w:rPr>
          <w:iCs/>
          <w:i/>
        </w:rPr>
        <w:t xml:space="preserve">Mammalian Genome</w:t>
      </w:r>
      <w:r>
        <w:t xml:space="preserve"> </w:t>
      </w:r>
      <w:r>
        <w:rPr>
          <w:bCs/>
          <w:b/>
        </w:rPr>
        <w:t xml:space="preserve">19</w:t>
      </w:r>
      <w:r>
        <w:t xml:space="preserve">, 382–389 (2008).</w:t>
      </w:r>
    </w:p>
    <w:bookmarkEnd w:id="127"/>
    <w:bookmarkStart w:id="128" w:name="ref-pmid31133439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Saul, M. C., Philip, V. M., Reinholdt, L. G. &amp; Chesler, E. J. High-diversity mouse populations for complex traits.</w:t>
      </w:r>
      <w:r>
        <w:t xml:space="preserve"> </w:t>
      </w:r>
      <w:r>
        <w:rPr>
          <w:iCs/>
          <w:i/>
        </w:rPr>
        <w:t xml:space="preserve">Trends in Genetics</w:t>
      </w:r>
      <w:r>
        <w:t xml:space="preserve"> </w:t>
      </w:r>
      <w:r>
        <w:rPr>
          <w:bCs/>
          <w:b/>
        </w:rPr>
        <w:t xml:space="preserve">35</w:t>
      </w:r>
      <w:r>
        <w:t xml:space="preserve">, 501–514 (2019).</w:t>
      </w:r>
    </w:p>
    <w:bookmarkEnd w:id="128"/>
    <w:bookmarkStart w:id="129" w:name="ref-pmid2141185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Threadgill, D. W., Miller, D. R., Churchill, G. A. &amp; Villena, F. P. de.</w:t>
      </w:r>
      <w:r>
        <w:t xml:space="preserve"> </w:t>
      </w:r>
      <w:r>
        <w:t xml:space="preserve">T</w:t>
      </w:r>
      <w:r>
        <w:t xml:space="preserve">he collaborative cross: a recombinant inbred mouse population for the systems genetic era</w:t>
      </w:r>
      <w:r>
        <w:t xml:space="preserve">.</w:t>
      </w:r>
      <w:r>
        <w:t xml:space="preserve"> </w:t>
      </w:r>
      <w:r>
        <w:rPr>
          <w:iCs/>
          <w:i/>
        </w:rPr>
        <w:t xml:space="preserve">ILAR J</w:t>
      </w:r>
      <w:r>
        <w:t xml:space="preserve"> </w:t>
      </w:r>
      <w:r>
        <w:rPr>
          <w:bCs/>
          <w:b/>
        </w:rPr>
        <w:t xml:space="preserve">52</w:t>
      </w:r>
      <w:r>
        <w:t xml:space="preserve">, 24–31 (2011).</w:t>
      </w:r>
    </w:p>
    <w:bookmarkEnd w:id="129"/>
    <w:bookmarkStart w:id="130" w:name="ref-pmid17018838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Clee, S. M. &amp; Attie, A. D.</w:t>
      </w:r>
      <w:r>
        <w:t xml:space="preserve"> </w:t>
      </w:r>
      <w:r>
        <w:t xml:space="preserve">T</w:t>
      </w:r>
      <w:r>
        <w:t xml:space="preserve">he genetic landscape of type 2 diabetes in mice</w:t>
      </w:r>
      <w:r>
        <w:t xml:space="preserve">.</w:t>
      </w:r>
      <w:r>
        <w:t xml:space="preserve"> </w:t>
      </w:r>
      <w:r>
        <w:rPr>
          <w:iCs/>
          <w:i/>
        </w:rPr>
        <w:t xml:space="preserve">Endocr Rev</w:t>
      </w:r>
      <w:r>
        <w:t xml:space="preserve"> </w:t>
      </w:r>
      <w:r>
        <w:rPr>
          <w:bCs/>
          <w:b/>
        </w:rPr>
        <w:t xml:space="preserve">28</w:t>
      </w:r>
      <w:r>
        <w:t xml:space="preserve">, 48–83 (2007).</w:t>
      </w:r>
    </w:p>
    <w:bookmarkEnd w:id="130"/>
    <w:bookmarkStart w:id="131" w:name="ref-pmid30591514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Broman, K. W.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/qtl2:</w:t>
      </w:r>
      <w:r>
        <w:t xml:space="preserve"> </w:t>
      </w:r>
      <w:r>
        <w:t xml:space="preserve">S</w:t>
      </w:r>
      <w:r>
        <w:t xml:space="preserve">oftware for</w:t>
      </w:r>
      <w:r>
        <w:t xml:space="preserve"> </w:t>
      </w:r>
      <w:r>
        <w:t xml:space="preserve">M</w:t>
      </w:r>
      <w:r>
        <w:t xml:space="preserve">apping</w:t>
      </w:r>
      <w:r>
        <w:t xml:space="preserve"> </w:t>
      </w:r>
      <w:r>
        <w:t xml:space="preserve">Q</w:t>
      </w:r>
      <w:r>
        <w:t xml:space="preserve">uantitative</w:t>
      </w:r>
      <w:r>
        <w:t xml:space="preserve"> </w:t>
      </w:r>
      <w:r>
        <w:t xml:space="preserve">T</w:t>
      </w:r>
      <w:r>
        <w:t xml:space="preserve">rait</w:t>
      </w:r>
      <w:r>
        <w:t xml:space="preserve"> </w:t>
      </w:r>
      <w:r>
        <w:t xml:space="preserve">L</w:t>
      </w:r>
      <w:r>
        <w:t xml:space="preserve">oci with</w:t>
      </w:r>
      <w:r>
        <w:t xml:space="preserve"> </w:t>
      </w:r>
      <w:r>
        <w:t xml:space="preserve">H</w:t>
      </w:r>
      <w:r>
        <w:t xml:space="preserve">igh-</w:t>
      </w:r>
      <w:r>
        <w:t xml:space="preserve">D</w:t>
      </w:r>
      <w:r>
        <w:t xml:space="preserve">imensional</w:t>
      </w:r>
      <w:r>
        <w:t xml:space="preserve"> </w:t>
      </w:r>
      <w:r>
        <w:t xml:space="preserve">D</w:t>
      </w:r>
      <w:r>
        <w:t xml:space="preserve">ata and</w:t>
      </w:r>
      <w:r>
        <w:t xml:space="preserve"> </w:t>
      </w:r>
      <w:r>
        <w:t xml:space="preserve">M</w:t>
      </w:r>
      <w:r>
        <w:t xml:space="preserve">ultiparent</w:t>
      </w:r>
      <w:r>
        <w:t xml:space="preserve"> </w:t>
      </w:r>
      <w:r>
        <w:t xml:space="preserve">P</w:t>
      </w:r>
      <w:r>
        <w:t xml:space="preserve">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211</w:t>
      </w:r>
      <w:r>
        <w:t xml:space="preserve">, 495–502 (2019).</w:t>
      </w:r>
    </w:p>
    <w:bookmarkEnd w:id="131"/>
    <w:bookmarkStart w:id="132" w:name="ref-pmid31558840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Ouwens, K. G.</w:t>
      </w:r>
      <w:r>
        <w:t xml:space="preserve"> </w:t>
      </w:r>
      <w:r>
        <w:rPr>
          <w:iCs/>
          <w:i/>
        </w:rPr>
        <w:t xml:space="preserve">et al.</w:t>
      </w:r>
      <w:r>
        <w:t xml:space="preserve"> A characterization of cis-and trans-heritability of RNA-seq-based gene expression.</w:t>
      </w:r>
      <w:r>
        <w:t xml:space="preserve"> </w:t>
      </w:r>
      <w:r>
        <w:rPr>
          <w:iCs/>
          <w:i/>
        </w:rPr>
        <w:t xml:space="preserve">European Journal of Human Genetics</w:t>
      </w:r>
      <w:r>
        <w:t xml:space="preserve"> </w:t>
      </w:r>
      <w:r>
        <w:rPr>
          <w:bCs/>
          <w:b/>
        </w:rPr>
        <w:t xml:space="preserve">28</w:t>
      </w:r>
      <w:r>
        <w:t xml:space="preserve">, 253–263 (2020).</w:t>
      </w:r>
    </w:p>
    <w:bookmarkEnd w:id="132"/>
    <w:bookmarkStart w:id="133" w:name="ref-pmid21383966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Price, A. L.</w:t>
      </w:r>
      <w:r>
        <w:t xml:space="preserve"> </w:t>
      </w:r>
      <w:r>
        <w:rPr>
          <w:iCs/>
          <w:i/>
        </w:rPr>
        <w:t xml:space="preserve">et al.</w:t>
      </w:r>
      <w:r>
        <w:t xml:space="preserve"> Single-tissue and cross-tissue heritability of gene expression via identity-by-descent in related or unrelated individuals.</w:t>
      </w:r>
      <w:r>
        <w:t xml:space="preserve"> </w:t>
      </w:r>
      <w:r>
        <w:rPr>
          <w:iCs/>
          <w:i/>
        </w:rPr>
        <w:t xml:space="preserve">PLoS genetics</w:t>
      </w:r>
      <w:r>
        <w:t xml:space="preserve"> </w:t>
      </w:r>
      <w:r>
        <w:rPr>
          <w:bCs/>
          <w:b/>
        </w:rPr>
        <w:t xml:space="preserve">7</w:t>
      </w:r>
      <w:r>
        <w:t xml:space="preserve">, e1001317 (2011).</w:t>
      </w:r>
    </w:p>
    <w:bookmarkEnd w:id="133"/>
    <w:bookmarkStart w:id="134" w:name="ref-pmid25010687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Bryois, J.</w:t>
      </w:r>
      <w:r>
        <w:t xml:space="preserve"> </w:t>
      </w:r>
      <w:r>
        <w:rPr>
          <w:iCs/>
          <w:i/>
        </w:rPr>
        <w:t xml:space="preserve">et al.</w:t>
      </w:r>
      <w:r>
        <w:t xml:space="preserve"> Cis and trans effects of human genomic variants on gene expression.</w:t>
      </w:r>
      <w:r>
        <w:t xml:space="preserve"> </w:t>
      </w:r>
      <w:r>
        <w:rPr>
          <w:iCs/>
          <w:i/>
        </w:rPr>
        <w:t xml:space="preserve">PLoS genetics</w:t>
      </w:r>
      <w:r>
        <w:t xml:space="preserve"> </w:t>
      </w:r>
      <w:r>
        <w:rPr>
          <w:bCs/>
          <w:b/>
        </w:rPr>
        <w:t xml:space="preserve">10</w:t>
      </w:r>
      <w:r>
        <w:t xml:space="preserve">, e1004461 (2014).</w:t>
      </w:r>
    </w:p>
    <w:bookmarkEnd w:id="134"/>
    <w:bookmarkStart w:id="135" w:name="ref-pmid38383808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Helmer,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O</w:t>
      </w:r>
      <w:r>
        <w:t xml:space="preserve">n the stability of canonical correlation analysis and partial least squares with application to brain-behavior associations</w:t>
      </w:r>
      <w:r>
        <w:t xml:space="preserve">.</w:t>
      </w:r>
      <w:r>
        <w:t xml:space="preserve"> </w:t>
      </w:r>
      <w:r>
        <w:rPr>
          <w:iCs/>
          <w:i/>
        </w:rPr>
        <w:t xml:space="preserve">Commun Biol</w:t>
      </w:r>
      <w:r>
        <w:t xml:space="preserve"> </w:t>
      </w:r>
      <w:r>
        <w:rPr>
          <w:bCs/>
          <w:b/>
        </w:rPr>
        <w:t xml:space="preserve">7</w:t>
      </w:r>
      <w:r>
        <w:t xml:space="preserve">, 217 (2024).</w:t>
      </w:r>
    </w:p>
    <w:bookmarkEnd w:id="135"/>
    <w:bookmarkStart w:id="137" w:name="ref-fgsea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Korotkevich, G., Sukhov, V. &amp; Sergushichev, A. Fast gene set enrichment analysis.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(2019) doi:</w:t>
      </w:r>
      <w:hyperlink r:id="rId136">
        <w:r>
          <w:rPr>
            <w:rStyle w:val="Hyperlink"/>
          </w:rPr>
          <w:t xml:space="preserve">10.1101/060012</w:t>
        </w:r>
      </w:hyperlink>
      <w:r>
        <w:t xml:space="preserve">.</w:t>
      </w:r>
    </w:p>
    <w:bookmarkEnd w:id="137"/>
    <w:bookmarkStart w:id="138" w:name="ref-pmid16199517"/>
    <w:p>
      <w:pPr>
        <w:pStyle w:val="Bibliography"/>
      </w:pPr>
      <w:r>
        <w:t xml:space="preserve">40.</w:t>
      </w:r>
      <w:r>
        <w:t xml:space="preserve"> </w:t>
      </w:r>
      <w:r>
        <w:t xml:space="preserve">	</w:t>
      </w:r>
      <w:r>
        <w:t xml:space="preserve">Subramanian,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 set enrichment analysis: a knowledge-based approach for interpreting genome-wide expression profiles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 U S A</w:t>
      </w:r>
      <w:r>
        <w:t xml:space="preserve"> </w:t>
      </w:r>
      <w:r>
        <w:rPr>
          <w:bCs/>
          <w:b/>
        </w:rPr>
        <w:t xml:space="preserve">102</w:t>
      </w:r>
      <w:r>
        <w:t xml:space="preserve">, 15545–15550 (2005).</w:t>
      </w:r>
    </w:p>
    <w:bookmarkEnd w:id="138"/>
    <w:bookmarkStart w:id="139" w:name="ref-pmid19133410"/>
    <w:p>
      <w:pPr>
        <w:pStyle w:val="Bibliography"/>
      </w:pPr>
      <w:r>
        <w:t xml:space="preserve">41.</w:t>
      </w:r>
      <w:r>
        <w:t xml:space="preserve"> </w:t>
      </w:r>
      <w:r>
        <w:t xml:space="preserve">	</w:t>
      </w:r>
      <w:r>
        <w:t xml:space="preserve">Subramanian, S. &amp; Chait, A.</w:t>
      </w:r>
      <w:r>
        <w:t xml:space="preserve"> </w:t>
      </w:r>
      <w:r>
        <w:t xml:space="preserve">T</w:t>
      </w:r>
      <w:r>
        <w:t xml:space="preserve">he effect of dietary cholesterol on macrophage accumulation in adipose tissue: implications for systemic inflammation and atherosclerosis</w:t>
      </w:r>
      <w:r>
        <w:t xml:space="preserve">.</w:t>
      </w:r>
      <w:r>
        <w:t xml:space="preserve"> </w:t>
      </w:r>
      <w:r>
        <w:rPr>
          <w:iCs/>
          <w:i/>
        </w:rPr>
        <w:t xml:space="preserve">Curr Opin Lipidol</w:t>
      </w:r>
      <w:r>
        <w:t xml:space="preserve"> </w:t>
      </w:r>
      <w:r>
        <w:rPr>
          <w:bCs/>
          <w:b/>
        </w:rPr>
        <w:t xml:space="preserve">20</w:t>
      </w:r>
      <w:r>
        <w:t xml:space="preserve">, 39–44 (2009).</w:t>
      </w:r>
    </w:p>
    <w:bookmarkEnd w:id="139"/>
    <w:bookmarkStart w:id="140" w:name="ref-pmid28955384"/>
    <w:p>
      <w:pPr>
        <w:pStyle w:val="Bibliography"/>
      </w:pPr>
      <w:r>
        <w:t xml:space="preserve">42.</w:t>
      </w:r>
      <w:r>
        <w:t xml:space="preserve"> </w:t>
      </w:r>
      <w:r>
        <w:t xml:space="preserve">	</w:t>
      </w:r>
      <w:r>
        <w:t xml:space="preserve">Akoumianakis, I., Akawi, N. &amp; Antoniades, C.</w:t>
      </w:r>
      <w:r>
        <w:t xml:space="preserve"> </w:t>
      </w:r>
      <w:r>
        <w:t xml:space="preserve">E</w:t>
      </w:r>
      <w:r>
        <w:t xml:space="preserve">xploring the</w:t>
      </w:r>
      <w:r>
        <w:t xml:space="preserve"> </w:t>
      </w:r>
      <w:r>
        <w:t xml:space="preserve">C</w:t>
      </w:r>
      <w:r>
        <w:t xml:space="preserve">rosstalk between</w:t>
      </w:r>
      <w:r>
        <w:t xml:space="preserve"> </w:t>
      </w:r>
      <w:r>
        <w:t xml:space="preserve">A</w:t>
      </w:r>
      <w:r>
        <w:t xml:space="preserve">dipose</w:t>
      </w:r>
      <w:r>
        <w:t xml:space="preserve"> </w:t>
      </w:r>
      <w:r>
        <w:t xml:space="preserve">T</w:t>
      </w:r>
      <w:r>
        <w:t xml:space="preserve">issue and the</w:t>
      </w:r>
      <w:r>
        <w:t xml:space="preserve"> </w:t>
      </w:r>
      <w:r>
        <w:t xml:space="preserve">C</w:t>
      </w:r>
      <w:r>
        <w:t xml:space="preserve">ardiovascular</w:t>
      </w:r>
      <w:r>
        <w:t xml:space="preserve"> </w:t>
      </w:r>
      <w:r>
        <w:t xml:space="preserve">S</w:t>
      </w:r>
      <w:r>
        <w:t xml:space="preserve">ystem</w:t>
      </w:r>
      <w:r>
        <w:t xml:space="preserve">.</w:t>
      </w:r>
      <w:r>
        <w:t xml:space="preserve"> </w:t>
      </w:r>
      <w:r>
        <w:rPr>
          <w:iCs/>
          <w:i/>
        </w:rPr>
        <w:t xml:space="preserve">Korean Circ J</w:t>
      </w:r>
      <w:r>
        <w:t xml:space="preserve"> </w:t>
      </w:r>
      <w:r>
        <w:rPr>
          <w:bCs/>
          <w:b/>
        </w:rPr>
        <w:t xml:space="preserve">47</w:t>
      </w:r>
      <w:r>
        <w:t xml:space="preserve">, 670–685 (2017).</w:t>
      </w:r>
    </w:p>
    <w:bookmarkEnd w:id="140"/>
    <w:bookmarkStart w:id="141" w:name="ref-pmid28912810"/>
    <w:p>
      <w:pPr>
        <w:pStyle w:val="Bibliography"/>
      </w:pPr>
      <w:r>
        <w:t xml:space="preserve">43.</w:t>
      </w:r>
      <w:r>
        <w:t xml:space="preserve"> </w:t>
      </w:r>
      <w:r>
        <w:t xml:space="preserve">	</w:t>
      </w:r>
      <w:r>
        <w:t xml:space="preserve">Stafeev, I. S., Vorotnikov, A. V., Ratner, E. I., Menshikov, M. Y. &amp; Parfyonova, Y. V.</w:t>
      </w:r>
      <w:r>
        <w:t xml:space="preserve"> </w:t>
      </w:r>
      <w:r>
        <w:t xml:space="preserve">L</w:t>
      </w:r>
      <w:r>
        <w:t xml:space="preserve">atent</w:t>
      </w:r>
      <w:r>
        <w:t xml:space="preserve"> </w:t>
      </w:r>
      <w:r>
        <w:t xml:space="preserve">I</w:t>
      </w:r>
      <w:r>
        <w:t xml:space="preserve">nflammation and</w:t>
      </w:r>
      <w:r>
        <w:t xml:space="preserve"> </w:t>
      </w:r>
      <w:r>
        <w:t xml:space="preserve">I</w:t>
      </w:r>
      <w:r>
        <w:t xml:space="preserve">nsulin</w:t>
      </w:r>
      <w:r>
        <w:t xml:space="preserve"> </w:t>
      </w:r>
      <w:r>
        <w:t xml:space="preserve">R</w:t>
      </w:r>
      <w:r>
        <w:t xml:space="preserve">esistance in</w:t>
      </w:r>
      <w:r>
        <w:t xml:space="preserve"> </w:t>
      </w:r>
      <w:r>
        <w:t xml:space="preserve">A</w:t>
      </w:r>
      <w:r>
        <w:t xml:space="preserve">dipose</w:t>
      </w:r>
      <w:r>
        <w:t xml:space="preserve"> </w:t>
      </w:r>
      <w:r>
        <w:t xml:space="preserve">T</w:t>
      </w:r>
      <w:r>
        <w:t xml:space="preserve">issue</w:t>
      </w:r>
      <w:r>
        <w:t xml:space="preserve">.</w:t>
      </w:r>
      <w:r>
        <w:t xml:space="preserve"> </w:t>
      </w:r>
      <w:r>
        <w:rPr>
          <w:iCs/>
          <w:i/>
        </w:rPr>
        <w:t xml:space="preserve">Int J Endocrinol</w:t>
      </w:r>
      <w:r>
        <w:t xml:space="preserve"> </w:t>
      </w:r>
      <w:r>
        <w:rPr>
          <w:bCs/>
          <w:b/>
        </w:rPr>
        <w:t xml:space="preserve">2017</w:t>
      </w:r>
      <w:r>
        <w:t xml:space="preserve">, 5076732 (2017).</w:t>
      </w:r>
    </w:p>
    <w:bookmarkEnd w:id="141"/>
    <w:bookmarkStart w:id="142" w:name="ref-pmid28901330"/>
    <w:p>
      <w:pPr>
        <w:pStyle w:val="Bibliography"/>
      </w:pPr>
      <w:r>
        <w:t xml:space="preserve">44.</w:t>
      </w:r>
      <w:r>
        <w:t xml:space="preserve"> </w:t>
      </w:r>
      <w:r>
        <w:t xml:space="preserve">	</w:t>
      </w:r>
      <w:r>
        <w:t xml:space="preserve">Fischer, I.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</w:t>
      </w:r>
      <w:r>
        <w:t xml:space="preserve"> </w:t>
      </w:r>
      <w:r>
        <w:t xml:space="preserve">history of obesity leaves an inflammatory fingerprint in liver and adipose tissue</w:t>
      </w:r>
      <w:r>
        <w:t xml:space="preserve">.</w:t>
      </w:r>
      <w:r>
        <w:t xml:space="preserve"> </w:t>
      </w:r>
      <w:r>
        <w:rPr>
          <w:iCs/>
          <w:i/>
        </w:rPr>
        <w:t xml:space="preserve">Int J Obes (Lond)</w:t>
      </w:r>
      <w:r>
        <w:t xml:space="preserve"> </w:t>
      </w:r>
      <w:r>
        <w:rPr>
          <w:bCs/>
          <w:b/>
        </w:rPr>
        <w:t xml:space="preserve">42</w:t>
      </w:r>
      <w:r>
        <w:t xml:space="preserve">, 507–517 (2018).</w:t>
      </w:r>
    </w:p>
    <w:bookmarkEnd w:id="142"/>
    <w:bookmarkStart w:id="143" w:name="ref-pmid24969772"/>
    <w:p>
      <w:pPr>
        <w:pStyle w:val="Bibliography"/>
      </w:pPr>
      <w:r>
        <w:t xml:space="preserve">45.</w:t>
      </w:r>
      <w:r>
        <w:t xml:space="preserve"> </w:t>
      </w:r>
      <w:r>
        <w:t xml:space="preserve">	</w:t>
      </w:r>
      <w:r>
        <w:t xml:space="preserve">Chung, S.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</w:t>
      </w:r>
      <w:r>
        <w:t xml:space="preserve">ietary cholesterol promotes adipocyte hypertrophy and adipose tissue inflammation in visceral, but not in subcutaneous, fat in monkeys</w:t>
      </w:r>
      <w:r>
        <w:t xml:space="preserve">.</w:t>
      </w:r>
      <w:r>
        <w:t xml:space="preserve"> </w:t>
      </w:r>
      <w:r>
        <w:rPr>
          <w:iCs/>
          <w:i/>
        </w:rPr>
        <w:t xml:space="preserve">Arterioscler Thromb Vasc Biol</w:t>
      </w:r>
      <w:r>
        <w:t xml:space="preserve"> </w:t>
      </w:r>
      <w:r>
        <w:rPr>
          <w:bCs/>
          <w:b/>
        </w:rPr>
        <w:t xml:space="preserve">34</w:t>
      </w:r>
      <w:r>
        <w:t xml:space="preserve">, 1880–1887 (2014).</w:t>
      </w:r>
    </w:p>
    <w:bookmarkEnd w:id="143"/>
    <w:bookmarkStart w:id="144" w:name="ref-pmid18492779"/>
    <w:p>
      <w:pPr>
        <w:pStyle w:val="Bibliography"/>
      </w:pPr>
      <w:r>
        <w:t xml:space="preserve">46.</w:t>
      </w:r>
      <w:r>
        <w:t xml:space="preserve"> </w:t>
      </w:r>
      <w:r>
        <w:t xml:space="preserve">	</w:t>
      </w:r>
      <w:r>
        <w:t xml:space="preserve">Kus, V.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nduction of muscle thermogenesis by high-fat diet in mice: association with obesity-resistance</w:t>
      </w:r>
      <w:r>
        <w:t xml:space="preserve">.</w:t>
      </w:r>
      <w:r>
        <w:t xml:space="preserve"> </w:t>
      </w:r>
      <w:r>
        <w:rPr>
          <w:iCs/>
          <w:i/>
        </w:rPr>
        <w:t xml:space="preserve">Am J Physiol Endocrinol Metab</w:t>
      </w:r>
      <w:r>
        <w:t xml:space="preserve"> </w:t>
      </w:r>
      <w:r>
        <w:rPr>
          <w:bCs/>
          <w:b/>
        </w:rPr>
        <w:t xml:space="preserve">295</w:t>
      </w:r>
      <w:r>
        <w:t xml:space="preserve">, E356–367 (2008).</w:t>
      </w:r>
    </w:p>
    <w:bookmarkEnd w:id="144"/>
    <w:bookmarkStart w:id="145" w:name="ref-pmid22560213"/>
    <w:p>
      <w:pPr>
        <w:pStyle w:val="Bibliography"/>
      </w:pPr>
      <w:r>
        <w:t xml:space="preserve">47.</w:t>
      </w:r>
      <w:r>
        <w:t xml:space="preserve"> </w:t>
      </w:r>
      <w:r>
        <w:t xml:space="preserve">	</w:t>
      </w:r>
      <w:r>
        <w:t xml:space="preserve">Newgard, C. B.</w:t>
      </w:r>
      <w:r>
        <w:t xml:space="preserve"> </w:t>
      </w:r>
      <w:r>
        <w:t xml:space="preserve">I</w:t>
      </w:r>
      <w:r>
        <w:t xml:space="preserve">nterplay between lipids and branched-chain amino acids in development of insulin resistance</w:t>
      </w:r>
      <w:r>
        <w:t xml:space="preserve">.</w:t>
      </w:r>
      <w:r>
        <w:t xml:space="preserve"> </w:t>
      </w:r>
      <w:r>
        <w:rPr>
          <w:iCs/>
          <w:i/>
        </w:rPr>
        <w:t xml:space="preserve">Cell Metab</w:t>
      </w:r>
      <w:r>
        <w:t xml:space="preserve"> </w:t>
      </w:r>
      <w:r>
        <w:rPr>
          <w:bCs/>
          <w:b/>
        </w:rPr>
        <w:t xml:space="preserve">15</w:t>
      </w:r>
      <w:r>
        <w:t xml:space="preserve">, 606–614 (2012).</w:t>
      </w:r>
    </w:p>
    <w:bookmarkEnd w:id="145"/>
    <w:bookmarkStart w:id="146" w:name="ref-pmid19841271"/>
    <w:p>
      <w:pPr>
        <w:pStyle w:val="Bibliography"/>
      </w:pPr>
      <w:r>
        <w:t xml:space="preserve">48.</w:t>
      </w:r>
      <w:r>
        <w:t xml:space="preserve"> </w:t>
      </w:r>
      <w:r>
        <w:t xml:space="preserve">	</w:t>
      </w:r>
      <w:r>
        <w:t xml:space="preserve">Sears, D. D.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echanisms of human insulin resistance and thiazolidinedione-mediated insulin sensitization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 U S A</w:t>
      </w:r>
      <w:r>
        <w:t xml:space="preserve"> </w:t>
      </w:r>
      <w:r>
        <w:rPr>
          <w:bCs/>
          <w:b/>
        </w:rPr>
        <w:t xml:space="preserve">106</w:t>
      </w:r>
      <w:r>
        <w:t xml:space="preserve">, 18745–18750 (2009).</w:t>
      </w:r>
    </w:p>
    <w:bookmarkEnd w:id="146"/>
    <w:bookmarkStart w:id="148" w:name="ref-pmid18721800"/>
    <w:p>
      <w:pPr>
        <w:pStyle w:val="Bibliography"/>
      </w:pPr>
      <w:r>
        <w:t xml:space="preserve">49.</w:t>
      </w:r>
      <w:r>
        <w:t xml:space="preserve"> </w:t>
      </w:r>
      <w:r>
        <w:t xml:space="preserve">	</w:t>
      </w:r>
      <w:r>
        <w:t xml:space="preserve">Xu, R., Wan, Y., Tang, Q., Wu, J. &amp; Cai, W.</w:t>
      </w:r>
      <w:r>
        <w:t xml:space="preserve"> </w:t>
      </w:r>
      <w:hyperlink r:id="rId147">
        <w:r>
          <w:rPr>
            <w:rStyle w:val="Hyperlink"/>
          </w:rPr>
          <w:t xml:space="preserve">The effects of high fat on central appetite genes in wistar rats: A microarray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Clin Chim Acta</w:t>
      </w:r>
      <w:r>
        <w:t xml:space="preserve"> </w:t>
      </w:r>
      <w:r>
        <w:rPr>
          <w:bCs/>
          <w:b/>
        </w:rPr>
        <w:t xml:space="preserve">397</w:t>
      </w:r>
      <w:r>
        <w:t xml:space="preserve">, 96–100 (2008).</w:t>
      </w:r>
    </w:p>
    <w:bookmarkEnd w:id="148"/>
    <w:bookmarkStart w:id="149" w:name="ref-pmid17389767"/>
    <w:p>
      <w:pPr>
        <w:pStyle w:val="Bibliography"/>
      </w:pPr>
      <w:r>
        <w:t xml:space="preserve">50.</w:t>
      </w:r>
      <w:r>
        <w:t xml:space="preserve"> </w:t>
      </w:r>
      <w:r>
        <w:t xml:space="preserve">	</w:t>
      </w:r>
      <w:r>
        <w:t xml:space="preserve">Stienstra, R., Duval, C., ller, M. &amp; Kersten, S.</w:t>
      </w:r>
      <w:r>
        <w:t xml:space="preserve"> </w:t>
      </w:r>
      <w:r>
        <w:t xml:space="preserve">P</w:t>
      </w:r>
      <w:r>
        <w:t xml:space="preserve">P</w:t>
      </w:r>
      <w:r>
        <w:t xml:space="preserve">A</w:t>
      </w:r>
      <w:r>
        <w:t xml:space="preserve">R</w:t>
      </w:r>
      <w:r>
        <w:t xml:space="preserve">s,</w:t>
      </w:r>
      <w:r>
        <w:t xml:space="preserve"> </w:t>
      </w:r>
      <w:r>
        <w:t xml:space="preserve">O</w:t>
      </w:r>
      <w:r>
        <w:t xml:space="preserve">besity, and</w:t>
      </w:r>
      <w:r>
        <w:t xml:space="preserve"> </w:t>
      </w:r>
      <w:r>
        <w:t xml:space="preserve">I</w:t>
      </w:r>
      <w:r>
        <w:t xml:space="preserve">nflammation</w:t>
      </w:r>
      <w:r>
        <w:t xml:space="preserve">.</w:t>
      </w:r>
      <w:r>
        <w:t xml:space="preserve"> </w:t>
      </w:r>
      <w:r>
        <w:rPr>
          <w:iCs/>
          <w:i/>
        </w:rPr>
        <w:t xml:space="preserve">PPAR Res</w:t>
      </w:r>
      <w:r>
        <w:t xml:space="preserve"> </w:t>
      </w:r>
      <w:r>
        <w:rPr>
          <w:bCs/>
          <w:b/>
        </w:rPr>
        <w:t xml:space="preserve">2007</w:t>
      </w:r>
      <w:r>
        <w:t xml:space="preserve">, 95974 (2007).</w:t>
      </w:r>
    </w:p>
    <w:bookmarkEnd w:id="149"/>
    <w:bookmarkStart w:id="150" w:name="ref-pmid12805374"/>
    <w:p>
      <w:pPr>
        <w:pStyle w:val="Bibliography"/>
      </w:pPr>
      <w:r>
        <w:t xml:space="preserve">51.</w:t>
      </w:r>
      <w:r>
        <w:t xml:space="preserve"> </w:t>
      </w:r>
      <w:r>
        <w:t xml:space="preserve">	</w:t>
      </w:r>
      <w:r>
        <w:t xml:space="preserve">Gavrilova, O.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L</w:t>
      </w:r>
      <w:r>
        <w:t xml:space="preserve">iver peroxisome proliferator-activated receptor gamma contributes to hepatic steatosis, triglyceride clearance, and regulation of body fat mass</w:t>
      </w:r>
      <w:r>
        <w:t xml:space="preserve">.</w:t>
      </w:r>
      <w:r>
        <w:t xml:space="preserve"> </w:t>
      </w:r>
      <w:r>
        <w:rPr>
          <w:iCs/>
          <w:i/>
        </w:rPr>
        <w:t xml:space="preserve">J Biol Chem</w:t>
      </w:r>
      <w:r>
        <w:t xml:space="preserve"> </w:t>
      </w:r>
      <w:r>
        <w:rPr>
          <w:bCs/>
          <w:b/>
        </w:rPr>
        <w:t xml:space="preserve">278</w:t>
      </w:r>
      <w:r>
        <w:t xml:space="preserve">, 34268–34276 (2003).</w:t>
      </w:r>
    </w:p>
    <w:bookmarkEnd w:id="150"/>
    <w:bookmarkStart w:id="151" w:name="ref-pmid12618528"/>
    <w:p>
      <w:pPr>
        <w:pStyle w:val="Bibliography"/>
      </w:pPr>
      <w:r>
        <w:t xml:space="preserve">52.</w:t>
      </w:r>
      <w:r>
        <w:t xml:space="preserve"> </w:t>
      </w:r>
      <w:r>
        <w:t xml:space="preserve">	</w:t>
      </w:r>
      <w:r>
        <w:t xml:space="preserve">Matsusue, K.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L</w:t>
      </w:r>
      <w:r>
        <w:t xml:space="preserve">iver-specific disruption of</w:t>
      </w:r>
      <w:r>
        <w:t xml:space="preserve"> </w:t>
      </w:r>
      <w:r>
        <w:t xml:space="preserve">P</w:t>
      </w:r>
      <w:r>
        <w:t xml:space="preserve">P</w:t>
      </w:r>
      <w:r>
        <w:t xml:space="preserve">A</w:t>
      </w:r>
      <w:r>
        <w:t xml:space="preserve">R</w:t>
      </w:r>
      <w:r>
        <w:t xml:space="preserve">gamma in leptin-deficient mice improves fatty liver but aggravates diabetic phenotypes</w:t>
      </w:r>
      <w:r>
        <w:t xml:space="preserve">.</w:t>
      </w:r>
      <w:r>
        <w:t xml:space="preserve"> </w:t>
      </w:r>
      <w:r>
        <w:rPr>
          <w:iCs/>
          <w:i/>
        </w:rPr>
        <w:t xml:space="preserve">J Clin Invest</w:t>
      </w:r>
      <w:r>
        <w:t xml:space="preserve"> </w:t>
      </w:r>
      <w:r>
        <w:rPr>
          <w:bCs/>
          <w:b/>
        </w:rPr>
        <w:t xml:space="preserve">111</w:t>
      </w:r>
      <w:r>
        <w:t xml:space="preserve">, 737–747 (2003).</w:t>
      </w:r>
    </w:p>
    <w:bookmarkEnd w:id="151"/>
    <w:bookmarkStart w:id="152" w:name="ref-pmid16357043"/>
    <w:p>
      <w:pPr>
        <w:pStyle w:val="Bibliography"/>
      </w:pPr>
      <w:r>
        <w:t xml:space="preserve">53.</w:t>
      </w:r>
      <w:r>
        <w:t xml:space="preserve"> </w:t>
      </w:r>
      <w:r>
        <w:t xml:space="preserve">	</w:t>
      </w:r>
      <w:r>
        <w:t xml:space="preserve">Patsouris, D., Reddy, J. K., ller, M. &amp; Kersten, S.</w:t>
      </w:r>
      <w:r>
        <w:t xml:space="preserve"> </w:t>
      </w:r>
      <w:r>
        <w:t xml:space="preserve">P</w:t>
      </w:r>
      <w:r>
        <w:t xml:space="preserve">eroxisome proliferator-activated receptor alpha mediates the effects of high-fat diet on hepatic gene expression</w:t>
      </w:r>
      <w:r>
        <w:t xml:space="preserve">.</w:t>
      </w:r>
      <w: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rPr>
          <w:bCs/>
          <w:b/>
        </w:rPr>
        <w:t xml:space="preserve">147</w:t>
      </w:r>
      <w:r>
        <w:t xml:space="preserve">, 1508–1516 (2006).</w:t>
      </w:r>
    </w:p>
    <w:bookmarkEnd w:id="152"/>
    <w:bookmarkStart w:id="153" w:name="ref-pmid15644454"/>
    <w:p>
      <w:pPr>
        <w:pStyle w:val="Bibliography"/>
      </w:pPr>
      <w:r>
        <w:t xml:space="preserve">54.</w:t>
      </w:r>
      <w:r>
        <w:t xml:space="preserve"> </w:t>
      </w:r>
      <w:r>
        <w:t xml:space="preserve">	</w:t>
      </w:r>
      <w:r>
        <w:t xml:space="preserve">Schadinger, S. E., Bucher, N. L., Schreiber, B. M. &amp; Farmer, S. R.</w:t>
      </w:r>
      <w:r>
        <w:t xml:space="preserve"> </w:t>
      </w:r>
      <w:r>
        <w:t xml:space="preserve">P</w:t>
      </w:r>
      <w:r>
        <w:t xml:space="preserve">P</w:t>
      </w:r>
      <w:r>
        <w:t xml:space="preserve">A</w:t>
      </w:r>
      <w:r>
        <w:t xml:space="preserve">R</w:t>
      </w:r>
      <w:r>
        <w:t xml:space="preserve">gamma2 regulates lipogenesis and lipid accumulation in steatotic hepatocytes</w:t>
      </w:r>
      <w:r>
        <w:t xml:space="preserve">.</w:t>
      </w:r>
      <w:r>
        <w:t xml:space="preserve"> </w:t>
      </w:r>
      <w:r>
        <w:rPr>
          <w:iCs/>
          <w:i/>
        </w:rPr>
        <w:t xml:space="preserve">Am J Physiol Endocrinol Metab</w:t>
      </w:r>
      <w:r>
        <w:t xml:space="preserve"> </w:t>
      </w:r>
      <w:r>
        <w:rPr>
          <w:bCs/>
          <w:b/>
        </w:rPr>
        <w:t xml:space="preserve">288</w:t>
      </w:r>
      <w:r>
        <w:t xml:space="preserve">, E1195–1205 (2005).</w:t>
      </w:r>
    </w:p>
    <w:bookmarkEnd w:id="153"/>
    <w:bookmarkStart w:id="154" w:name="ref-pmid16403437"/>
    <w:p>
      <w:pPr>
        <w:pStyle w:val="Bibliography"/>
      </w:pPr>
      <w:r>
        <w:t xml:space="preserve">55.</w:t>
      </w:r>
      <w:r>
        <w:t xml:space="preserve"> </w:t>
      </w:r>
      <w:r>
        <w:t xml:space="preserve">	</w:t>
      </w:r>
      <w:r>
        <w:t xml:space="preserve">Motomura, W.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U</w:t>
      </w:r>
      <w:r>
        <w:t xml:space="preserve">p-regulation of</w:t>
      </w:r>
      <w:r>
        <w:t xml:space="preserve"> </w:t>
      </w:r>
      <w:r>
        <w:t xml:space="preserve">A</w:t>
      </w:r>
      <w:r>
        <w:t xml:space="preserve">D</w:t>
      </w:r>
      <w:r>
        <w:t xml:space="preserve">R</w:t>
      </w:r>
      <w:r>
        <w:t xml:space="preserve">P</w:t>
      </w:r>
      <w:r>
        <w:t xml:space="preserve"> </w:t>
      </w:r>
      <w:r>
        <w:t xml:space="preserve">in fatty liver in human and liver steatosis in mice fed with high fat diet</w:t>
      </w:r>
      <w:r>
        <w:t xml:space="preserve">.</w:t>
      </w:r>
      <w:r>
        <w:t xml:space="preserve"> </w:t>
      </w:r>
      <w:r>
        <w:rPr>
          <w:iCs/>
          <w:i/>
        </w:rPr>
        <w:t xml:space="preserve">Biochem Biophys Res Commun</w:t>
      </w:r>
      <w:r>
        <w:t xml:space="preserve"> </w:t>
      </w:r>
      <w:r>
        <w:rPr>
          <w:bCs/>
          <w:b/>
        </w:rPr>
        <w:t xml:space="preserve">340</w:t>
      </w:r>
      <w:r>
        <w:t xml:space="preserve">, 1111–1118 (2006).</w:t>
      </w:r>
    </w:p>
    <w:bookmarkEnd w:id="154"/>
    <w:bookmarkStart w:id="155" w:name="ref-pmid28592495"/>
    <w:p>
      <w:pPr>
        <w:pStyle w:val="Bibliography"/>
      </w:pPr>
      <w:r>
        <w:t xml:space="preserve">56.</w:t>
      </w:r>
      <w:r>
        <w:t xml:space="preserve"> </w:t>
      </w:r>
      <w:r>
        <w:t xml:space="preserve">	</w:t>
      </w:r>
      <w:r>
        <w:t xml:space="preserve">Srivastava,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enomes of the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C</w:t>
      </w:r>
      <w:r>
        <w:t xml:space="preserve">ollaborative</w:t>
      </w:r>
      <w:r>
        <w:t xml:space="preserve"> </w:t>
      </w:r>
      <w:r>
        <w:t xml:space="preserve">C</w:t>
      </w:r>
      <w:r>
        <w:t xml:space="preserve">ross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206</w:t>
      </w:r>
      <w:r>
        <w:t xml:space="preserve">, 537–556 (2017).</w:t>
      </w:r>
    </w:p>
    <w:bookmarkEnd w:id="155"/>
    <w:bookmarkStart w:id="156" w:name="ref-pmid17674098"/>
    <w:p>
      <w:pPr>
        <w:pStyle w:val="Bibliography"/>
      </w:pPr>
      <w:r>
        <w:t xml:space="preserve">57.</w:t>
      </w:r>
      <w:r>
        <w:t xml:space="preserve"> </w:t>
      </w:r>
      <w:r>
        <w:t xml:space="preserve">	</w:t>
      </w:r>
      <w:r>
        <w:t xml:space="preserve">Roberts, A., Pardo-Manuel de Villena, F., Wang, W., McMillan, L. &amp; Threadgill, D. W.</w:t>
      </w:r>
      <w:r>
        <w:t xml:space="preserve"> </w:t>
      </w:r>
      <w:r>
        <w:t xml:space="preserve">T</w:t>
      </w:r>
      <w:r>
        <w:t xml:space="preserve">he polymorphism architecture of mouse genetic resources elucidated using genome-wide resequencing data: implications for</w:t>
      </w:r>
      <w:r>
        <w:t xml:space="preserve"> </w:t>
      </w:r>
      <w:r>
        <w:t xml:space="preserve">Q</w:t>
      </w:r>
      <w:r>
        <w:t xml:space="preserve">T</w:t>
      </w:r>
      <w:r>
        <w:t xml:space="preserve">L</w:t>
      </w:r>
      <w:r>
        <w:t xml:space="preserve"> </w:t>
      </w:r>
      <w:r>
        <w:t xml:space="preserve">discovery and systems genetics</w:t>
      </w:r>
      <w:r>
        <w:t xml:space="preserve">.</w:t>
      </w:r>
      <w:r>
        <w:t xml:space="preserve"> </w:t>
      </w:r>
      <w:r>
        <w:rPr>
          <w:iCs/>
          <w:i/>
        </w:rPr>
        <w:t xml:space="preserve">Mamm Genome</w:t>
      </w:r>
      <w:r>
        <w:t xml:space="preserve"> </w:t>
      </w:r>
      <w:r>
        <w:rPr>
          <w:bCs/>
          <w:b/>
        </w:rPr>
        <w:t xml:space="preserve">18</w:t>
      </w:r>
      <w:r>
        <w:t xml:space="preserve">, 473–481 (2007).</w:t>
      </w:r>
    </w:p>
    <w:bookmarkEnd w:id="156"/>
    <w:bookmarkStart w:id="157" w:name="ref-pmid15514660"/>
    <w:p>
      <w:pPr>
        <w:pStyle w:val="Bibliography"/>
      </w:pPr>
      <w:r>
        <w:t xml:space="preserve">58.</w:t>
      </w:r>
      <w:r>
        <w:t xml:space="preserve"> </w:t>
      </w:r>
      <w:r>
        <w:t xml:space="preserve">	</w:t>
      </w:r>
      <w:r>
        <w:t xml:space="preserve">Churchill, G.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C</w:t>
      </w:r>
      <w:r>
        <w:t xml:space="preserve">ollaborative</w:t>
      </w:r>
      <w:r>
        <w:t xml:space="preserve"> </w:t>
      </w:r>
      <w:r>
        <w:t xml:space="preserve">C</w:t>
      </w:r>
      <w:r>
        <w:t xml:space="preserve">ross, a community resource for the genetic analysis of complex traits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36</w:t>
      </w:r>
      <w:r>
        <w:t xml:space="preserve">, 1133–1137 (2004).</w:t>
      </w:r>
    </w:p>
    <w:bookmarkEnd w:id="157"/>
    <w:bookmarkStart w:id="158" w:name="ref-pmid24781408"/>
    <w:p>
      <w:pPr>
        <w:pStyle w:val="Bibliography"/>
      </w:pPr>
      <w:r>
        <w:t xml:space="preserve">59.</w:t>
      </w:r>
      <w:r>
        <w:t xml:space="preserve"> </w:t>
      </w:r>
      <w:r>
        <w:t xml:space="preserve">	</w:t>
      </w:r>
      <w:r>
        <w:t xml:space="preserve">Huh, J. Y., Park, Y. J., Ham, M. &amp; Kim, J. B.</w:t>
      </w:r>
      <w:r>
        <w:t xml:space="preserve"> </w:t>
      </w:r>
      <w:r>
        <w:t xml:space="preserve">C</w:t>
      </w:r>
      <w:r>
        <w:t xml:space="preserve">rosstalk between adipocytes and immune cells in adipose tissue inflammation and metabolic dysregulation in obesity</w:t>
      </w:r>
      <w:r>
        <w:t xml:space="preserve">.</w:t>
      </w:r>
      <w:r>
        <w:t xml:space="preserve"> </w:t>
      </w:r>
      <w:r>
        <w:rPr>
          <w:iCs/>
          <w:i/>
        </w:rPr>
        <w:t xml:space="preserve">Mol Cells</w:t>
      </w:r>
      <w:r>
        <w:t xml:space="preserve"> </w:t>
      </w:r>
      <w:r>
        <w:rPr>
          <w:bCs/>
          <w:b/>
        </w:rPr>
        <w:t xml:space="preserve">37</w:t>
      </w:r>
      <w:r>
        <w:t xml:space="preserve">, 365–371 (2014).</w:t>
      </w:r>
    </w:p>
    <w:bookmarkEnd w:id="158"/>
    <w:bookmarkStart w:id="159" w:name="ref-pmid17008526"/>
    <w:p>
      <w:pPr>
        <w:pStyle w:val="Bibliography"/>
      </w:pPr>
      <w:r>
        <w:t xml:space="preserve">60.</w:t>
      </w:r>
      <w:r>
        <w:t xml:space="preserve"> </w:t>
      </w:r>
      <w:r>
        <w:t xml:space="preserve">	</w:t>
      </w:r>
      <w:r>
        <w:t xml:space="preserve">Lamb, J.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C</w:t>
      </w:r>
      <w:r>
        <w:t xml:space="preserve">onnectivity</w:t>
      </w:r>
      <w:r>
        <w:t xml:space="preserve"> </w:t>
      </w:r>
      <w:r>
        <w:t xml:space="preserve">M</w:t>
      </w:r>
      <w:r>
        <w:t xml:space="preserve">ap: using gene-expression signatures to connect small molecules, genes, and disease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313</w:t>
      </w:r>
      <w:r>
        <w:t xml:space="preserve">, 1929–1935 (2006).</w:t>
      </w:r>
    </w:p>
    <w:bookmarkEnd w:id="159"/>
    <w:bookmarkStart w:id="160" w:name="ref-pmid29195078"/>
    <w:p>
      <w:pPr>
        <w:pStyle w:val="Bibliography"/>
      </w:pPr>
      <w:r>
        <w:t xml:space="preserve">61.</w:t>
      </w:r>
      <w:r>
        <w:t xml:space="preserve"> </w:t>
      </w:r>
      <w:r>
        <w:t xml:space="preserve">	</w:t>
      </w:r>
      <w:r>
        <w:t xml:space="preserve">Subramanian, A.</w:t>
      </w:r>
      <w:r>
        <w:t xml:space="preserve"> </w:t>
      </w:r>
      <w:r>
        <w:rPr>
          <w:iCs/>
          <w:i/>
        </w:rPr>
        <w:t xml:space="preserve">et al.</w:t>
      </w:r>
      <w:r>
        <w:t xml:space="preserve"> A next generation connectivity map: L1000 platform and the first 1,000,000 profiles.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rPr>
          <w:bCs/>
          <w:b/>
        </w:rPr>
        <w:t xml:space="preserve">171</w:t>
      </w:r>
      <w:r>
        <w:t xml:space="preserve">, 1437–1452 (2017).</w:t>
      </w:r>
    </w:p>
    <w:bookmarkEnd w:id="160"/>
    <w:bookmarkStart w:id="161" w:name="ref-pmid31051098"/>
    <w:p>
      <w:pPr>
        <w:pStyle w:val="Bibliography"/>
      </w:pPr>
      <w:r>
        <w:t xml:space="preserve">62.</w:t>
      </w:r>
      <w:r>
        <w:t xml:space="preserve"> </w:t>
      </w:r>
      <w:r>
        <w:t xml:space="preserve">	</w:t>
      </w:r>
      <w:r>
        <w:t xml:space="preserve">Liu, X., Li, Y. I. &amp; Pritchard, J. K.</w:t>
      </w:r>
      <w:r>
        <w:t xml:space="preserve"> </w:t>
      </w:r>
      <w:r>
        <w:t xml:space="preserve">T</w:t>
      </w:r>
      <w:r>
        <w:t xml:space="preserve">rans</w:t>
      </w:r>
      <w:r>
        <w:t xml:space="preserve"> </w:t>
      </w:r>
      <w:r>
        <w:t xml:space="preserve">E</w:t>
      </w:r>
      <w:r>
        <w:t xml:space="preserve">ffects on</w:t>
      </w:r>
      <w:r>
        <w:t xml:space="preserve"> </w:t>
      </w:r>
      <w:r>
        <w:t xml:space="preserve">G</w:t>
      </w:r>
      <w:r>
        <w:t xml:space="preserve">ene</w:t>
      </w:r>
      <w:r>
        <w:t xml:space="preserve"> </w:t>
      </w:r>
      <w:r>
        <w:t xml:space="preserve">E</w:t>
      </w:r>
      <w:r>
        <w:t xml:space="preserve">xpression</w:t>
      </w:r>
      <w:r>
        <w:t xml:space="preserve"> </w:t>
      </w:r>
      <w:r>
        <w:t xml:space="preserve">C</w:t>
      </w:r>
      <w:r>
        <w:t xml:space="preserve">an</w:t>
      </w:r>
      <w:r>
        <w:t xml:space="preserve"> </w:t>
      </w:r>
      <w:r>
        <w:t xml:space="preserve">D</w:t>
      </w:r>
      <w:r>
        <w:t xml:space="preserve">rive</w:t>
      </w:r>
      <w:r>
        <w:t xml:space="preserve"> </w:t>
      </w:r>
      <w:r>
        <w:t xml:space="preserve">O</w:t>
      </w:r>
      <w:r>
        <w:t xml:space="preserve">mnigenic</w:t>
      </w:r>
      <w:r>
        <w:t xml:space="preserve"> </w:t>
      </w:r>
      <w:r>
        <w:t xml:space="preserve">I</w:t>
      </w:r>
      <w:r>
        <w:t xml:space="preserve">nheritance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rPr>
          <w:bCs/>
          <w:b/>
        </w:rPr>
        <w:t xml:space="preserve">177</w:t>
      </w:r>
      <w:r>
        <w:t xml:space="preserve">, 1022–1034 (2019).</w:t>
      </w:r>
    </w:p>
    <w:bookmarkEnd w:id="161"/>
    <w:bookmarkStart w:id="162" w:name="ref-pmid34475573"/>
    <w:p>
      <w:pPr>
        <w:pStyle w:val="Bibliography"/>
      </w:pPr>
      <w:r>
        <w:t xml:space="preserve">63.</w:t>
      </w:r>
      <w:r>
        <w:t xml:space="preserve"> </w:t>
      </w:r>
      <w:r>
        <w:t xml:space="preserve">	</w:t>
      </w:r>
      <w:r>
        <w:t xml:space="preserve">Vosa, U.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L</w:t>
      </w:r>
      <w:r>
        <w:t xml:space="preserve">arge-scale cis- and trans-e</w:t>
      </w:r>
      <w:r>
        <w:t xml:space="preserve">Q</w:t>
      </w:r>
      <w:r>
        <w:t xml:space="preserve">T</w:t>
      </w:r>
      <w:r>
        <w:t xml:space="preserve">L</w:t>
      </w:r>
      <w:r>
        <w:t xml:space="preserve"> </w:t>
      </w:r>
      <w:r>
        <w:t xml:space="preserve">analyses identify thousands of genetic loci and polygenic scores that regulate blood gene expression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53</w:t>
      </w:r>
      <w:r>
        <w:t xml:space="preserve">, 1300–1310 (2021).</w:t>
      </w:r>
    </w:p>
    <w:bookmarkEnd w:id="162"/>
    <w:bookmarkStart w:id="163" w:name="ref-pmid29782925"/>
    <w:p>
      <w:pPr>
        <w:pStyle w:val="Bibliography"/>
      </w:pPr>
      <w:r>
        <w:t xml:space="preserve">64.</w:t>
      </w:r>
      <w:r>
        <w:t xml:space="preserve"> </w:t>
      </w:r>
      <w:r>
        <w:t xml:space="preserve">	</w:t>
      </w:r>
      <w:r>
        <w:t xml:space="preserve">Hallgrimsson, B.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 developmental-genetics of canalization</w:t>
      </w:r>
      <w:r>
        <w:t xml:space="preserve">.</w:t>
      </w:r>
      <w:r>
        <w:t xml:space="preserve"> </w:t>
      </w:r>
      <w:r>
        <w:rPr>
          <w:iCs/>
          <w:i/>
        </w:rPr>
        <w:t xml:space="preserve">Semin Cell Dev Biol</w:t>
      </w:r>
      <w:r>
        <w:t xml:space="preserve"> </w:t>
      </w:r>
      <w:r>
        <w:rPr>
          <w:bCs/>
          <w:b/>
        </w:rPr>
        <w:t xml:space="preserve">88</w:t>
      </w:r>
      <w:r>
        <w:t xml:space="preserve">, 67–79 (2019).</w:t>
      </w:r>
    </w:p>
    <w:bookmarkEnd w:id="163"/>
    <w:bookmarkStart w:id="164" w:name="ref-pmid12082173"/>
    <w:p>
      <w:pPr>
        <w:pStyle w:val="Bibliography"/>
      </w:pPr>
      <w:r>
        <w:t xml:space="preserve">65.</w:t>
      </w:r>
      <w:r>
        <w:t xml:space="preserve"> </w:t>
      </w:r>
      <w:r>
        <w:t xml:space="preserve">	</w:t>
      </w:r>
      <w:r>
        <w:t xml:space="preserve">Siegal, M. L. &amp; Bergman, A.</w:t>
      </w:r>
      <w:r>
        <w:t xml:space="preserve"> </w:t>
      </w:r>
      <w:r>
        <w:t xml:space="preserve">W</w:t>
      </w:r>
      <w:r>
        <w:t xml:space="preserve">addington’s canalization revisited: developmental stability and evolution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 U S A</w:t>
      </w:r>
      <w:r>
        <w:t xml:space="preserve"> </w:t>
      </w:r>
      <w:r>
        <w:rPr>
          <w:bCs/>
          <w:b/>
        </w:rPr>
        <w:t xml:space="preserve">99</w:t>
      </w:r>
      <w:r>
        <w:t xml:space="preserve">, 10528–10532 (2002).</w:t>
      </w:r>
    </w:p>
    <w:bookmarkEnd w:id="164"/>
    <w:bookmarkStart w:id="165" w:name="ref-pmid27304973"/>
    <w:p>
      <w:pPr>
        <w:pStyle w:val="Bibliography"/>
      </w:pPr>
      <w:r>
        <w:t xml:space="preserve">66.</w:t>
      </w:r>
      <w:r>
        <w:t xml:space="preserve"> </w:t>
      </w:r>
      <w:r>
        <w:t xml:space="preserve">	</w:t>
      </w:r>
      <w:r>
        <w:t xml:space="preserve">Paaby, A. B. &amp; Gibson, G.</w:t>
      </w:r>
      <w:r>
        <w:t xml:space="preserve"> </w:t>
      </w:r>
      <w:r>
        <w:t xml:space="preserve">C</w:t>
      </w:r>
      <w:r>
        <w:t xml:space="preserve">ryptic</w:t>
      </w:r>
      <w:r>
        <w:t xml:space="preserve"> </w:t>
      </w:r>
      <w:r>
        <w:t xml:space="preserve">G</w:t>
      </w:r>
      <w:r>
        <w:t xml:space="preserve">enetic</w:t>
      </w:r>
      <w:r>
        <w:t xml:space="preserve"> </w:t>
      </w:r>
      <w:r>
        <w:t xml:space="preserve">V</w:t>
      </w:r>
      <w:r>
        <w:t xml:space="preserve">ariation in</w:t>
      </w:r>
      <w:r>
        <w:t xml:space="preserve"> </w:t>
      </w:r>
      <w:r>
        <w:t xml:space="preserve">E</w:t>
      </w:r>
      <w:r>
        <w:t xml:space="preserve">volutionary</w:t>
      </w:r>
      <w:r>
        <w:t xml:space="preserve"> </w:t>
      </w:r>
      <w:r>
        <w:t xml:space="preserve">D</w:t>
      </w:r>
      <w:r>
        <w:t xml:space="preserve">evelopmental</w:t>
      </w:r>
      <w:r>
        <w:t xml:space="preserve"> </w:t>
      </w:r>
      <w:r>
        <w:t xml:space="preserve">G</w:t>
      </w:r>
      <w:r>
        <w:t xml:space="preserve">enetics</w:t>
      </w:r>
      <w:r>
        <w:t xml:space="preserve">.</w:t>
      </w:r>
      <w:r>
        <w:t xml:space="preserve"> </w:t>
      </w:r>
      <w:r>
        <w:rPr>
          <w:iCs/>
          <w:i/>
        </w:rPr>
        <w:t xml:space="preserve">Biology (Basel)</w:t>
      </w:r>
      <w:r>
        <w:t xml:space="preserve"> </w:t>
      </w:r>
      <w:r>
        <w:rPr>
          <w:bCs/>
          <w:b/>
        </w:rPr>
        <w:t xml:space="preserve">5</w:t>
      </w:r>
      <w:r>
        <w:t xml:space="preserve">, (2016).</w:t>
      </w:r>
    </w:p>
    <w:bookmarkEnd w:id="165"/>
    <w:bookmarkStart w:id="166" w:name="ref-pmid28622505"/>
    <w:p>
      <w:pPr>
        <w:pStyle w:val="Bibliography"/>
      </w:pPr>
      <w:r>
        <w:t xml:space="preserve">67.</w:t>
      </w:r>
      <w:r>
        <w:t xml:space="preserve"> </w:t>
      </w:r>
      <w:r>
        <w:t xml:space="preserve">	</w:t>
      </w:r>
      <w:r>
        <w:t xml:space="preserve">Boyle, E. A., Li, Y. I. &amp; Pritchard, J. K.</w:t>
      </w:r>
      <w:r>
        <w:t xml:space="preserve"> </w:t>
      </w:r>
      <w:r>
        <w:t xml:space="preserve">A</w:t>
      </w:r>
      <w:r>
        <w:t xml:space="preserve">n</w:t>
      </w:r>
      <w:r>
        <w:t xml:space="preserve"> </w:t>
      </w:r>
      <w:r>
        <w:t xml:space="preserve">E</w:t>
      </w:r>
      <w:r>
        <w:t xml:space="preserve">xpanded</w:t>
      </w:r>
      <w:r>
        <w:t xml:space="preserve"> </w:t>
      </w:r>
      <w:r>
        <w:t xml:space="preserve">V</w:t>
      </w:r>
      <w:r>
        <w:t xml:space="preserve">iew of</w:t>
      </w:r>
      <w:r>
        <w:t xml:space="preserve"> </w:t>
      </w:r>
      <w:r>
        <w:t xml:space="preserve">C</w:t>
      </w:r>
      <w:r>
        <w:t xml:space="preserve">omplex</w:t>
      </w:r>
      <w:r>
        <w:t xml:space="preserve"> </w:t>
      </w:r>
      <w:r>
        <w:t xml:space="preserve">T</w:t>
      </w:r>
      <w:r>
        <w:t xml:space="preserve">raits:</w:t>
      </w:r>
      <w:r>
        <w:t xml:space="preserve"> </w:t>
      </w:r>
      <w:r>
        <w:t xml:space="preserve">F</w:t>
      </w:r>
      <w:r>
        <w:t xml:space="preserve">rom</w:t>
      </w:r>
      <w:r>
        <w:t xml:space="preserve"> </w:t>
      </w:r>
      <w:r>
        <w:t xml:space="preserve">P</w:t>
      </w:r>
      <w:r>
        <w:t xml:space="preserve">olygenic to</w:t>
      </w:r>
      <w:r>
        <w:t xml:space="preserve"> </w:t>
      </w:r>
      <w:r>
        <w:t xml:space="preserve">O</w:t>
      </w:r>
      <w:r>
        <w:t xml:space="preserve">mnigenic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rPr>
          <w:bCs/>
          <w:b/>
        </w:rPr>
        <w:t xml:space="preserve">169</w:t>
      </w:r>
      <w:r>
        <w:t xml:space="preserve">, 1177–1186 (2017).</w:t>
      </w:r>
    </w:p>
    <w:bookmarkEnd w:id="166"/>
    <w:bookmarkStart w:id="167" w:name="ref-pmid29906445"/>
    <w:p>
      <w:pPr>
        <w:pStyle w:val="Bibliography"/>
      </w:pPr>
      <w:r>
        <w:t xml:space="preserve">68.</w:t>
      </w:r>
      <w:r>
        <w:t xml:space="preserve"> </w:t>
      </w:r>
      <w:r>
        <w:t xml:space="preserve">	</w:t>
      </w:r>
      <w:r>
        <w:t xml:space="preserve">Wray, N. R., Wijmenga, C., Sullivan, P. F., Yang, J. &amp; Visscher, P. M. Common disease is more complex than implied by the core gene omnigenic model.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rPr>
          <w:bCs/>
          <w:b/>
        </w:rPr>
        <w:t xml:space="preserve">173</w:t>
      </w:r>
      <w:r>
        <w:t xml:space="preserve">, 1573–1580 (2018).</w:t>
      </w:r>
    </w:p>
    <w:bookmarkEnd w:id="167"/>
    <w:bookmarkStart w:id="168" w:name="ref-pmid24993278"/>
    <w:p>
      <w:pPr>
        <w:pStyle w:val="Bibliography"/>
      </w:pPr>
      <w:r>
        <w:t xml:space="preserve">69.</w:t>
      </w:r>
      <w:r>
        <w:t xml:space="preserve"> </w:t>
      </w:r>
      <w:r>
        <w:t xml:space="preserve">	</w:t>
      </w:r>
      <w:r>
        <w:t xml:space="preserve">Shimizu, H. &amp; Osaki, A.</w:t>
      </w:r>
      <w:r>
        <w:t xml:space="preserve"> </w:t>
      </w:r>
      <w:r>
        <w:t xml:space="preserve">N</w:t>
      </w:r>
      <w:r>
        <w:t xml:space="preserve">esfatin/</w:t>
      </w:r>
      <w:r>
        <w:t xml:space="preserve">N</w:t>
      </w:r>
      <w:r>
        <w:t xml:space="preserve">ucleobindin-2 (</w:t>
      </w:r>
      <w:r>
        <w:t xml:space="preserve">N</w:t>
      </w:r>
      <w:r>
        <w:t xml:space="preserve">U</w:t>
      </w:r>
      <w:r>
        <w:t xml:space="preserve">C</w:t>
      </w:r>
      <w:r>
        <w:t xml:space="preserve">B</w:t>
      </w:r>
      <w:r>
        <w:t xml:space="preserve">2) and</w:t>
      </w:r>
      <w:r>
        <w:t xml:space="preserve"> </w:t>
      </w:r>
      <w:r>
        <w:t xml:space="preserve">G</w:t>
      </w:r>
      <w:r>
        <w:t xml:space="preserve">lucose</w:t>
      </w:r>
      <w:r>
        <w:t xml:space="preserve"> </w:t>
      </w:r>
      <w:r>
        <w:t xml:space="preserve">H</w:t>
      </w:r>
      <w:r>
        <w:t xml:space="preserve">omeostasis</w:t>
      </w:r>
      <w:r>
        <w:t xml:space="preserve">.</w:t>
      </w:r>
      <w:r>
        <w:t xml:space="preserve"> </w:t>
      </w:r>
      <w:r>
        <w:rPr>
          <w:iCs/>
          <w:i/>
        </w:rPr>
        <w:t xml:space="preserve">Curr Hypertens Rev</w:t>
      </w:r>
      <w:r>
        <w:t xml:space="preserve"> </w:t>
      </w:r>
      <w:r>
        <w:t xml:space="preserve">Nesfatin/Nucleobindin–2 (NUCB2) and Glucose Homeostasis. (2014).</w:t>
      </w:r>
    </w:p>
    <w:bookmarkEnd w:id="168"/>
    <w:bookmarkStart w:id="169" w:name="ref-pmid23537085"/>
    <w:p>
      <w:pPr>
        <w:pStyle w:val="Bibliography"/>
      </w:pPr>
      <w:r>
        <w:t xml:space="preserve">70.</w:t>
      </w:r>
      <w:r>
        <w:t xml:space="preserve"> </w:t>
      </w:r>
      <w:r>
        <w:t xml:space="preserve">	</w:t>
      </w:r>
      <w:r>
        <w:t xml:space="preserve">Nakata, M. &amp; Yada, T.</w:t>
      </w:r>
      <w:r>
        <w:t xml:space="preserve"> </w:t>
      </w:r>
      <w:r>
        <w:t xml:space="preserve">R</w:t>
      </w:r>
      <w:r>
        <w:t xml:space="preserve">ole of</w:t>
      </w:r>
      <w:r>
        <w:t xml:space="preserve"> </w:t>
      </w:r>
      <w:r>
        <w:t xml:space="preserve">N</w:t>
      </w:r>
      <w:r>
        <w:t xml:space="preserve">U</w:t>
      </w:r>
      <w:r>
        <w:t xml:space="preserve">C</w:t>
      </w:r>
      <w:r>
        <w:t xml:space="preserve">B</w:t>
      </w:r>
      <w:r>
        <w:t xml:space="preserve">2/nesfatin-1 in glucose control: diverse functions in islets, adipocytes and brain</w:t>
      </w:r>
      <w:r>
        <w:t xml:space="preserve">.</w:t>
      </w:r>
      <w:r>
        <w:t xml:space="preserve"> </w:t>
      </w:r>
      <w:r>
        <w:rPr>
          <w:iCs/>
          <w:i/>
        </w:rPr>
        <w:t xml:space="preserve">Curr Pharm Des</w:t>
      </w:r>
      <w:r>
        <w:t xml:space="preserve"> </w:t>
      </w:r>
      <w:r>
        <w:rPr>
          <w:bCs/>
          <w:b/>
        </w:rPr>
        <w:t xml:space="preserve">19</w:t>
      </w:r>
      <w:r>
        <w:t xml:space="preserve">, 6960–6965 (2013).</w:t>
      </w:r>
    </w:p>
    <w:bookmarkEnd w:id="169"/>
    <w:bookmarkStart w:id="170" w:name="ref-pmid22108805"/>
    <w:p>
      <w:pPr>
        <w:pStyle w:val="Bibliography"/>
      </w:pPr>
      <w:r>
        <w:t xml:space="preserve">71.</w:t>
      </w:r>
      <w:r>
        <w:t xml:space="preserve"> </w:t>
      </w:r>
      <w:r>
        <w:t xml:space="preserve">	</w:t>
      </w:r>
      <w:r>
        <w:t xml:space="preserve">Riva,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N</w:t>
      </w:r>
      <w:r>
        <w:t xml:space="preserve">esfatin-1 stimulates glucagon and insulin secretion and beta cell</w:t>
      </w:r>
      <w:r>
        <w:t xml:space="preserve"> </w:t>
      </w:r>
      <w:r>
        <w:t xml:space="preserve">N</w:t>
      </w:r>
      <w:r>
        <w:t xml:space="preserve">U</w:t>
      </w:r>
      <w:r>
        <w:t xml:space="preserve">C</w:t>
      </w:r>
      <w:r>
        <w:t xml:space="preserve">B</w:t>
      </w:r>
      <w:r>
        <w:t xml:space="preserve">2 is reduced in human type 2 diabetic subjects</w:t>
      </w:r>
      <w:r>
        <w:t xml:space="preserve">.</w:t>
      </w:r>
      <w:r>
        <w:t xml:space="preserve"> </w:t>
      </w:r>
      <w:r>
        <w:rPr>
          <w:iCs/>
          <w:i/>
        </w:rPr>
        <w:t xml:space="preserve">Cell Tissue Res</w:t>
      </w:r>
      <w:r>
        <w:t xml:space="preserve"> </w:t>
      </w:r>
      <w:r>
        <w:rPr>
          <w:bCs/>
          <w:b/>
        </w:rPr>
        <w:t xml:space="preserve">346</w:t>
      </w:r>
      <w:r>
        <w:t xml:space="preserve">, 393–405 (2011).</w:t>
      </w:r>
    </w:p>
    <w:bookmarkEnd w:id="170"/>
    <w:bookmarkStart w:id="171" w:name="ref-van2011statistical"/>
    <w:p>
      <w:pPr>
        <w:pStyle w:val="Bibliography"/>
      </w:pPr>
      <w:r>
        <w:t xml:space="preserve">72.</w:t>
      </w:r>
      <w:r>
        <w:t xml:space="preserve"> </w:t>
      </w:r>
      <w:r>
        <w:t xml:space="preserve">	</w:t>
      </w:r>
      <w:r>
        <w:t xml:space="preserve">Van Belle, G.</w:t>
      </w:r>
      <w:r>
        <w:t xml:space="preserve"> </w:t>
      </w:r>
      <w:r>
        <w:rPr>
          <w:iCs/>
          <w:i/>
        </w:rPr>
        <w:t xml:space="preserve">Statistical Rules of Thumb</w:t>
      </w:r>
      <w:r>
        <w:t xml:space="preserve">. (John Wiley &amp; Sons, 2008).</w:t>
      </w:r>
    </w:p>
    <w:bookmarkEnd w:id="171"/>
    <w:bookmarkStart w:id="172" w:name="ref-pmid26684931"/>
    <w:p>
      <w:pPr>
        <w:pStyle w:val="Bibliography"/>
      </w:pPr>
      <w:r>
        <w:t xml:space="preserve">73.</w:t>
      </w:r>
      <w:r>
        <w:t xml:space="preserve"> </w:t>
      </w:r>
      <w:r>
        <w:t xml:space="preserve">	</w:t>
      </w:r>
      <w:r>
        <w:t xml:space="preserve">Morgan, A.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U</w:t>
      </w:r>
      <w:r>
        <w:t xml:space="preserve">niversal</w:t>
      </w:r>
      <w:r>
        <w:t xml:space="preserve"> </w:t>
      </w:r>
      <w:r>
        <w:t xml:space="preserve">G</w:t>
      </w:r>
      <w:r>
        <w:t xml:space="preserve">enotyping</w:t>
      </w:r>
      <w:r>
        <w:t xml:space="preserve"> </w:t>
      </w:r>
      <w:r>
        <w:t xml:space="preserve">A</w:t>
      </w:r>
      <w:r>
        <w:t xml:space="preserve">rray:</w:t>
      </w:r>
      <w:r>
        <w:t xml:space="preserve"> </w:t>
      </w:r>
      <w:r>
        <w:t xml:space="preserve">F</w:t>
      </w:r>
      <w:r>
        <w:t xml:space="preserve">rom</w:t>
      </w:r>
      <w:r>
        <w:t xml:space="preserve"> </w:t>
      </w:r>
      <w:r>
        <w:t xml:space="preserve">S</w:t>
      </w:r>
      <w:r>
        <w:t xml:space="preserve">ubstrains to</w:t>
      </w:r>
      <w:r>
        <w:t xml:space="preserve"> </w:t>
      </w:r>
      <w:r>
        <w:t xml:space="preserve">S</w:t>
      </w:r>
      <w:r>
        <w:t xml:space="preserve">ubspecies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6</w:t>
      </w:r>
      <w:r>
        <w:t xml:space="preserve">, 263–279 (2015).</w:t>
      </w:r>
    </w:p>
    <w:bookmarkEnd w:id="172"/>
    <w:bookmarkStart w:id="173" w:name="ref-pmid22345611"/>
    <w:p>
      <w:pPr>
        <w:pStyle w:val="Bibliography"/>
      </w:pPr>
      <w:r>
        <w:t xml:space="preserve">74.</w:t>
      </w:r>
      <w:r>
        <w:t xml:space="preserve"> </w:t>
      </w:r>
      <w:r>
        <w:t xml:space="preserve">	</w:t>
      </w:r>
      <w:r>
        <w:t xml:space="preserve">Svenson, K.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</w:t>
      </w:r>
      <w:r>
        <w:t xml:space="preserve">igh-resolution genetic mapping using the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D</w:t>
      </w:r>
      <w:r>
        <w:t xml:space="preserve">iversity outbred population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190</w:t>
      </w:r>
      <w:r>
        <w:t xml:space="preserve">, 437–447 (2012).</w:t>
      </w:r>
    </w:p>
    <w:bookmarkEnd w:id="173"/>
    <w:bookmarkStart w:id="174" w:name="ref-pmid25237114"/>
    <w:p>
      <w:pPr>
        <w:pStyle w:val="Bibliography"/>
      </w:pPr>
      <w:r>
        <w:t xml:space="preserve">75.</w:t>
      </w:r>
      <w:r>
        <w:t xml:space="preserve"> </w:t>
      </w:r>
      <w:r>
        <w:t xml:space="preserve">	</w:t>
      </w:r>
      <w:r>
        <w:t xml:space="preserve">Gatti, D.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Q</w:t>
      </w:r>
      <w:r>
        <w:t xml:space="preserve">uantitative trait locus mapping methods for diversity outbred mice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4</w:t>
      </w:r>
      <w:r>
        <w:t xml:space="preserve">, 1623–1633 (2014).</w:t>
      </w:r>
    </w:p>
    <w:bookmarkEnd w:id="174"/>
    <w:bookmarkStart w:id="175" w:name="ref-choi2020genotype"/>
    <w:p>
      <w:pPr>
        <w:pStyle w:val="Bibliography"/>
      </w:pPr>
      <w:r>
        <w:t xml:space="preserve">76.</w:t>
      </w:r>
      <w:r>
        <w:t xml:space="preserve"> </w:t>
      </w:r>
      <w:r>
        <w:t xml:space="preserve">	</w:t>
      </w:r>
      <w:r>
        <w:t xml:space="preserve">Choi, K.</w:t>
      </w:r>
      <w:r>
        <w:t xml:space="preserve"> </w:t>
      </w:r>
      <w:r>
        <w:rPr>
          <w:iCs/>
          <w:i/>
        </w:rPr>
        <w:t xml:space="preserve">et al.</w:t>
      </w:r>
      <w:r>
        <w:t xml:space="preserve"> Genotype-free individual genome reconstruction of multiparental population models by RNA sequencing data.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2020–10 (2020).</w:t>
      </w:r>
    </w:p>
    <w:bookmarkEnd w:id="175"/>
    <w:bookmarkStart w:id="177" w:name="ref-cube_data"/>
    <w:p>
      <w:pPr>
        <w:pStyle w:val="Bibliography"/>
      </w:pPr>
      <w:r>
        <w:t xml:space="preserve">77.</w:t>
      </w:r>
      <w:r>
        <w:t xml:space="preserve"> </w:t>
      </w:r>
      <w:r>
        <w:t xml:space="preserve">	</w:t>
      </w:r>
      <w:r>
        <w:t xml:space="preserve">Tyler, A. L.</w:t>
      </w:r>
      <w:r>
        <w:t xml:space="preserve"> </w:t>
      </w:r>
      <w:r>
        <w:rPr>
          <w:iCs/>
          <w:i/>
        </w:rPr>
        <w:t xml:space="preserve">et al.</w:t>
      </w:r>
      <w:r>
        <w:t xml:space="preserve"> Data and code for high-dimensional mediation analysis (HDMA) in diversity outbred mice.</w:t>
      </w:r>
      <w:r>
        <w:t xml:space="preserve"> </w:t>
      </w:r>
      <w:r>
        <w:rPr>
          <w:iCs/>
          <w:i/>
        </w:rPr>
        <w:t xml:space="preserve">Figshare</w:t>
      </w:r>
      <w:r>
        <w:t xml:space="preserve"> </w:t>
      </w:r>
      <w:r>
        <w:t xml:space="preserve">(2024) doi:</w:t>
      </w:r>
      <w:hyperlink r:id="rId176">
        <w:r>
          <w:rPr>
            <w:rStyle w:val="Hyperlink"/>
          </w:rPr>
          <w:t xml:space="preserve">10.6084/m9.figshare.27066979</w:t>
        </w:r>
      </w:hyperlink>
      <w:r>
        <w:t xml:space="preserve">.</w:t>
      </w:r>
    </w:p>
    <w:bookmarkEnd w:id="177"/>
    <w:bookmarkStart w:id="179" w:name="ref-pmid25361897"/>
    <w:p>
      <w:pPr>
        <w:pStyle w:val="Bibliography"/>
      </w:pPr>
      <w:r>
        <w:t xml:space="preserve">78.</w:t>
      </w:r>
      <w:r>
        <w:t xml:space="preserve"> </w:t>
      </w:r>
      <w:r>
        <w:t xml:space="preserve">	</w:t>
      </w:r>
      <w:r>
        <w:t xml:space="preserve">Visscher, P. M. &amp; Goddard, M. E.</w:t>
      </w:r>
      <w:r>
        <w:t xml:space="preserve"> </w:t>
      </w:r>
      <w:hyperlink r:id="rId178">
        <w:r>
          <w:rPr>
            <w:rStyle w:val="Hyperlink"/>
          </w:rPr>
          <w:t xml:space="preserve">A general unified framework to assess the sampling variance of heritability estimates using pedigree or marker-based relationships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199</w:t>
      </w:r>
      <w:r>
        <w:t xml:space="preserve">, 223–32 (2015).</w:t>
      </w:r>
    </w:p>
    <w:bookmarkEnd w:id="179"/>
    <w:bookmarkStart w:id="181" w:name="ref-DO_data"/>
    <w:p>
      <w:pPr>
        <w:pStyle w:val="Bibliography"/>
      </w:pPr>
      <w:r>
        <w:t xml:space="preserve">79.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Data from: Genetic drivers of pancreatic islet function.</w:t>
      </w:r>
      <w:r>
        <w:t xml:space="preserve"> </w:t>
      </w:r>
      <w:r>
        <w:rPr>
          <w:iCs/>
          <w:i/>
        </w:rPr>
        <w:t xml:space="preserve">Dryad</w:t>
      </w:r>
      <w:r>
        <w:t xml:space="preserve"> </w:t>
      </w:r>
      <w:r>
        <w:t xml:space="preserve">(2018) doi:</w:t>
      </w:r>
      <w:hyperlink r:id="rId180">
        <w:r>
          <w:rPr>
            <w:rStyle w:val="Hyperlink"/>
          </w:rPr>
          <w:t xml:space="preserve">https://doi.org/10.5061/dryad.pj105</w:t>
        </w:r>
      </w:hyperlink>
      <w:r>
        <w:t xml:space="preserve">.</w:t>
      </w:r>
    </w:p>
    <w:bookmarkEnd w:id="181"/>
    <w:bookmarkStart w:id="182" w:name="ref-pmid29444201"/>
    <w:p>
      <w:pPr>
        <w:pStyle w:val="Bibliography"/>
      </w:pPr>
      <w:r>
        <w:t xml:space="preserve">80.</w:t>
      </w:r>
      <w:r>
        <w:t xml:space="preserve"> </w:t>
      </w:r>
      <w:r>
        <w:t xml:space="preserve">	</w:t>
      </w:r>
      <w:r>
        <w:t xml:space="preserve">Raghupathy, N.</w:t>
      </w:r>
      <w:r>
        <w:t xml:space="preserve"> </w:t>
      </w:r>
      <w:r>
        <w:rPr>
          <w:iCs/>
          <w:i/>
        </w:rPr>
        <w:t xml:space="preserve">et al.</w:t>
      </w:r>
      <w:r>
        <w:t xml:space="preserve"> Hierarchical analysis of RNA-seq reads improves the accuracy of allele-specific expression.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34</w:t>
      </w:r>
      <w:r>
        <w:t xml:space="preserve">, 2177–2184 (2018).</w:t>
      </w:r>
    </w:p>
    <w:bookmarkEnd w:id="182"/>
    <w:bookmarkStart w:id="183" w:name="ref-pmid25236449"/>
    <w:p>
      <w:pPr>
        <w:pStyle w:val="Bibliography"/>
      </w:pPr>
      <w:r>
        <w:t xml:space="preserve">81.</w:t>
      </w:r>
      <w:r>
        <w:t xml:space="preserve"> </w:t>
      </w:r>
      <w:r>
        <w:t xml:space="preserve">	</w:t>
      </w:r>
      <w:r>
        <w:t xml:space="preserve">Munger, S. C.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N</w:t>
      </w:r>
      <w:r>
        <w:t xml:space="preserve">A</w:t>
      </w:r>
      <w:r>
        <w:t xml:space="preserve">-</w:t>
      </w:r>
      <w:r>
        <w:t xml:space="preserve">S</w:t>
      </w:r>
      <w:r>
        <w:t xml:space="preserve">eq alignment to individualized genomes improves transcript abundance estimates in multiparent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198</w:t>
      </w:r>
      <w:r>
        <w:t xml:space="preserve">, 59–73 (2014).</w:t>
      </w:r>
    </w:p>
    <w:bookmarkEnd w:id="183"/>
    <w:bookmarkStart w:id="185" w:name="ref-lme4_package"/>
    <w:p>
      <w:pPr>
        <w:pStyle w:val="Bibliography"/>
      </w:pPr>
      <w:r>
        <w:t xml:space="preserve">82.</w:t>
      </w:r>
      <w:r>
        <w:t xml:space="preserve"> </w:t>
      </w:r>
      <w:r>
        <w:t xml:space="preserve">	</w:t>
      </w:r>
      <w:r>
        <w:t xml:space="preserve">Bates, D., Mächler, M., Bolker, B. &amp; Walker, S.</w:t>
      </w:r>
      <w:r>
        <w:t xml:space="preserve"> </w:t>
      </w:r>
      <w:hyperlink r:id="rId184">
        <w:r>
          <w:rPr>
            <w:rStyle w:val="Hyperlink"/>
          </w:rPr>
          <w:t xml:space="preserve">Fitting linear mixed-effects models 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lme4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67</w:t>
      </w:r>
      <w:r>
        <w:t xml:space="preserve">, 1–48 (2015).</w:t>
      </w:r>
    </w:p>
    <w:bookmarkEnd w:id="185"/>
    <w:bookmarkStart w:id="187" w:name="ref-deseq2"/>
    <w:p>
      <w:pPr>
        <w:pStyle w:val="Bibliography"/>
      </w:pPr>
      <w:r>
        <w:t xml:space="preserve">83.</w:t>
      </w:r>
      <w:r>
        <w:t xml:space="preserve"> </w:t>
      </w:r>
      <w:r>
        <w:t xml:space="preserve">	</w:t>
      </w:r>
      <w:r>
        <w:t xml:space="preserve">Love, M. I., Huber, W. &amp; Anders, S.</w:t>
      </w:r>
      <w:r>
        <w:t xml:space="preserve"> </w:t>
      </w:r>
      <w:hyperlink r:id="rId186">
        <w:r>
          <w:rPr>
            <w:rStyle w:val="Hyperlink"/>
          </w:rPr>
          <w:t xml:space="preserve">Moderated estimation of fold change and dispersion for RNA-seq data with DESeq2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rPr>
          <w:bCs/>
          <w:b/>
        </w:rPr>
        <w:t xml:space="preserve">15</w:t>
      </w:r>
      <w:r>
        <w:t xml:space="preserve">, 550 (2014).</w:t>
      </w:r>
    </w:p>
    <w:bookmarkEnd w:id="187"/>
    <w:bookmarkStart w:id="188" w:name="ref-pmid7851788"/>
    <w:p>
      <w:pPr>
        <w:pStyle w:val="Bibliography"/>
      </w:pPr>
      <w:r>
        <w:t xml:space="preserve">84.</w:t>
      </w:r>
      <w:r>
        <w:t xml:space="preserve"> </w:t>
      </w:r>
      <w:r>
        <w:t xml:space="preserve">	</w:t>
      </w:r>
      <w:r>
        <w:t xml:space="preserve">Churchill, G. A. &amp; Doerge, R. W. Empirical threshold values for quantitative trait mapping.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138</w:t>
      </w:r>
      <w:r>
        <w:t xml:space="preserve">, 963–971 (1994).</w:t>
      </w:r>
    </w:p>
    <w:bookmarkEnd w:id="188"/>
    <w:bookmarkStart w:id="189" w:name="ref-bollen2014structural"/>
    <w:p>
      <w:pPr>
        <w:pStyle w:val="Bibliography"/>
      </w:pPr>
      <w:r>
        <w:t xml:space="preserve">85.</w:t>
      </w:r>
      <w:r>
        <w:t xml:space="preserve"> </w:t>
      </w:r>
      <w:r>
        <w:t xml:space="preserve">	</w:t>
      </w:r>
      <w:r>
        <w:t xml:space="preserve">Bollen, K. A.</w:t>
      </w:r>
      <w:r>
        <w:t xml:space="preserve"> </w:t>
      </w:r>
      <w:r>
        <w:rPr>
          <w:iCs/>
          <w:i/>
        </w:rPr>
        <w:t xml:space="preserve">Structural Equations with Latent Variables</w:t>
      </w:r>
      <w:r>
        <w:t xml:space="preserve">. (John Wiley &amp; Sons, 2014).</w:t>
      </w:r>
    </w:p>
    <w:bookmarkEnd w:id="189"/>
    <w:bookmarkStart w:id="190" w:name="ref-tenenhaus2011regularized"/>
    <w:p>
      <w:pPr>
        <w:pStyle w:val="Bibliography"/>
      </w:pPr>
      <w:r>
        <w:t xml:space="preserve">86.</w:t>
      </w:r>
      <w:r>
        <w:t xml:space="preserve"> </w:t>
      </w:r>
      <w:r>
        <w:t xml:space="preserve">	</w:t>
      </w:r>
      <w:r>
        <w:t xml:space="preserve">Tenenhaus, A. &amp; Tenenhaus, M. Regularized generalized canonical correlation analysis.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76</w:t>
      </w:r>
      <w:r>
        <w:t xml:space="preserve">, 257–284 (2011).</w:t>
      </w:r>
    </w:p>
    <w:bookmarkEnd w:id="190"/>
    <w:bookmarkStart w:id="191" w:name="ref-tenenhaus2017regularized"/>
    <w:p>
      <w:pPr>
        <w:pStyle w:val="Bibliography"/>
      </w:pPr>
      <w:r>
        <w:t xml:space="preserve">87.</w:t>
      </w:r>
      <w:r>
        <w:t xml:space="preserve"> </w:t>
      </w:r>
      <w:r>
        <w:t xml:space="preserve">	</w:t>
      </w:r>
      <w:r>
        <w:t xml:space="preserve">Tenenhaus, M., Tenenhaus, A. &amp; Groenen, P. J. Regularized generalized canonical correlation analysis: A framework for sequential multiblock component methods.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82</w:t>
      </w:r>
      <w:r>
        <w:t xml:space="preserve">, 737–777 (2017).</w:t>
      </w:r>
    </w:p>
    <w:bookmarkEnd w:id="191"/>
    <w:bookmarkStart w:id="192" w:name="ref-tenenhaus2015kernel"/>
    <w:p>
      <w:pPr>
        <w:pStyle w:val="Bibliography"/>
      </w:pPr>
      <w:r>
        <w:t xml:space="preserve">88.</w:t>
      </w:r>
      <w:r>
        <w:t xml:space="preserve"> </w:t>
      </w:r>
      <w:r>
        <w:t xml:space="preserve">	</w:t>
      </w:r>
      <w:r>
        <w:t xml:space="preserve">Tenenhaus, A., Philippe, C. &amp; Frouin, V. Kernel generalized canonical correlation analysis.</w:t>
      </w:r>
      <w:r>
        <w:t xml:space="preserve"> </w:t>
      </w:r>
      <w:r>
        <w:rPr>
          <w:iCs/>
          <w:i/>
        </w:rPr>
        <w:t xml:space="preserve">Computational Statistics &amp; Data Analysis</w:t>
      </w:r>
      <w:r>
        <w:t xml:space="preserve"> </w:t>
      </w:r>
      <w:r>
        <w:rPr>
          <w:bCs/>
          <w:b/>
        </w:rPr>
        <w:t xml:space="preserve">90</w:t>
      </w:r>
      <w:r>
        <w:t xml:space="preserve">, 114–131 (2015).</w:t>
      </w:r>
    </w:p>
    <w:bookmarkEnd w:id="192"/>
    <w:bookmarkStart w:id="193" w:name="ref-girka2023multiblock"/>
    <w:p>
      <w:pPr>
        <w:pStyle w:val="Bibliography"/>
      </w:pPr>
      <w:r>
        <w:t xml:space="preserve">89.</w:t>
      </w:r>
      <w:r>
        <w:t xml:space="preserve"> </w:t>
      </w:r>
      <w:r>
        <w:t xml:space="preserve">	</w:t>
      </w:r>
      <w:r>
        <w:t xml:space="preserve">Girka, F.</w:t>
      </w:r>
      <w:r>
        <w:t xml:space="preserve"> </w:t>
      </w:r>
      <w:r>
        <w:rPr>
          <w:iCs/>
          <w:i/>
        </w:rPr>
        <w:t xml:space="preserve">et al.</w:t>
      </w:r>
      <w:r>
        <w:t xml:space="preserve"> Multiblock data analysis with the RGCCA package.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1–36 (2023).</w:t>
      </w:r>
    </w:p>
    <w:bookmarkEnd w:id="193"/>
    <w:bookmarkStart w:id="194" w:name="ref-schafer2005shrinkage"/>
    <w:p>
      <w:pPr>
        <w:pStyle w:val="Bibliography"/>
      </w:pPr>
      <w:r>
        <w:t xml:space="preserve">90.</w:t>
      </w:r>
      <w:r>
        <w:t xml:space="preserve"> </w:t>
      </w:r>
      <w:r>
        <w:t xml:space="preserve">	</w:t>
      </w:r>
      <w:r>
        <w:t xml:space="preserve">Schäfer, J. &amp; Strimmer, K. A shrinkage approach to large-scale covariance matrix estimation and implications for functional genomics.</w:t>
      </w:r>
      <w:r>
        <w:t xml:space="preserve"> </w:t>
      </w:r>
      <w:r>
        <w:rPr>
          <w:iCs/>
          <w:i/>
        </w:rPr>
        <w:t xml:space="preserve">Statistical applications in genetics and molecular biology</w:t>
      </w:r>
      <w:r>
        <w:t xml:space="preserve"> </w:t>
      </w:r>
      <w:r>
        <w:rPr>
          <w:bCs/>
          <w:b/>
        </w:rPr>
        <w:t xml:space="preserve">4</w:t>
      </w:r>
      <w:r>
        <w:t xml:space="preserve">, (2005).</w:t>
      </w:r>
    </w:p>
    <w:bookmarkEnd w:id="194"/>
    <w:bookmarkStart w:id="195" w:name="ref-pmid36300620"/>
    <w:p>
      <w:pPr>
        <w:pStyle w:val="Bibliography"/>
      </w:pPr>
      <w:r>
        <w:t xml:space="preserve">91.</w:t>
      </w:r>
      <w:r>
        <w:t xml:space="preserve"> </w:t>
      </w:r>
      <w:r>
        <w:t xml:space="preserve">	</w:t>
      </w:r>
      <w:r>
        <w:t xml:space="preserve">Kanehisa, M., Furumichi, M., Sato, Y., Kawashima, M. &amp; Ishiguro-Watanabe, M.</w:t>
      </w:r>
      <w:r>
        <w:t xml:space="preserve"> </w:t>
      </w:r>
      <w:r>
        <w:t xml:space="preserve">K</w:t>
      </w:r>
      <w:r>
        <w:t xml:space="preserve">E</w:t>
      </w:r>
      <w:r>
        <w:t xml:space="preserve">G</w:t>
      </w:r>
      <w:r>
        <w:t xml:space="preserve">G</w:t>
      </w:r>
      <w:r>
        <w:t xml:space="preserve"> </w:t>
      </w:r>
      <w:r>
        <w:t xml:space="preserve">for taxonomy-based analysis of pathways and genomes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51</w:t>
      </w:r>
      <w:r>
        <w:t xml:space="preserve">, D587–D592 (2023).</w:t>
      </w:r>
    </w:p>
    <w:bookmarkEnd w:id="195"/>
    <w:bookmarkStart w:id="196" w:name="ref-pmid23740750"/>
    <w:p>
      <w:pPr>
        <w:pStyle w:val="Bibliography"/>
      </w:pPr>
      <w:r>
        <w:t xml:space="preserve">92.</w:t>
      </w:r>
      <w:r>
        <w:t xml:space="preserve"> </w:t>
      </w:r>
      <w:r>
        <w:t xml:space="preserve">	</w:t>
      </w:r>
      <w:r>
        <w:t xml:space="preserve">Luo, W. &amp; Brouwer, C.</w:t>
      </w:r>
      <w:r>
        <w:t xml:space="preserve"> </w:t>
      </w:r>
      <w:r>
        <w:t xml:space="preserve">P</w:t>
      </w:r>
      <w:r>
        <w:t xml:space="preserve">athview: an</w:t>
      </w:r>
      <w:r>
        <w:t xml:space="preserve"> </w:t>
      </w:r>
      <w:r>
        <w:t xml:space="preserve">R</w:t>
      </w:r>
      <w:r>
        <w:t xml:space="preserve">/</w:t>
      </w:r>
      <w:r>
        <w:t xml:space="preserve">B</w:t>
      </w:r>
      <w:r>
        <w:t xml:space="preserve">ioconductor package for pathway-based data integration and visualization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29</w:t>
      </w:r>
      <w:r>
        <w:t xml:space="preserve">, 1830–1831 (2013).</w:t>
      </w:r>
    </w:p>
    <w:bookmarkEnd w:id="196"/>
    <w:bookmarkStart w:id="197" w:name="ref-pmid33231642"/>
    <w:p>
      <w:pPr>
        <w:pStyle w:val="Bibliography"/>
      </w:pPr>
      <w:r>
        <w:t xml:space="preserve">93.</w:t>
      </w:r>
      <w:r>
        <w:t xml:space="preserve"> </w:t>
      </w:r>
      <w:r>
        <w:t xml:space="preserve">	</w:t>
      </w:r>
      <w:r>
        <w:t xml:space="preserve">Blake, J.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D</w:t>
      </w:r>
      <w:r>
        <w:t xml:space="preserve">atabase (</w:t>
      </w:r>
      <w:r>
        <w:t xml:space="preserve">M</w:t>
      </w:r>
      <w:r>
        <w:t xml:space="preserve">G</w:t>
      </w:r>
      <w:r>
        <w:t xml:space="preserve">D</w:t>
      </w:r>
      <w:r>
        <w:t xml:space="preserve">):</w:t>
      </w:r>
      <w:r>
        <w:t xml:space="preserve"> </w:t>
      </w:r>
      <w:r>
        <w:t xml:space="preserve">K</w:t>
      </w:r>
      <w:r>
        <w:t xml:space="preserve">nowledgebase for mouse-human comparative biology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49</w:t>
      </w:r>
      <w:r>
        <w:t xml:space="preserve">, D981–D987 (2021).</w:t>
      </w:r>
    </w:p>
    <w:bookmarkEnd w:id="197"/>
    <w:bookmarkStart w:id="198" w:name="ref-R_annotate"/>
    <w:p>
      <w:pPr>
        <w:pStyle w:val="Bibliography"/>
      </w:pPr>
      <w:r>
        <w:t xml:space="preserve">94.</w:t>
      </w:r>
      <w:r>
        <w:t xml:space="preserve"> </w:t>
      </w:r>
      <w:r>
        <w:t xml:space="preserve">	</w:t>
      </w:r>
      <w:r>
        <w:t xml:space="preserve">Gentry, J.</w:t>
      </w:r>
      <w:r>
        <w:t xml:space="preserve"> </w:t>
      </w:r>
      <w:r>
        <w:rPr>
          <w:iCs/>
          <w:i/>
        </w:rPr>
        <w:t xml:space="preserve">Annotate: Annotation for Microarrays</w:t>
      </w:r>
      <w:r>
        <w:t xml:space="preserve">. (2024).</w:t>
      </w:r>
    </w:p>
    <w:bookmarkEnd w:id="198"/>
    <w:bookmarkStart w:id="199" w:name="ref-pmid24413670"/>
    <w:p>
      <w:pPr>
        <w:pStyle w:val="Bibliography"/>
      </w:pPr>
      <w:r>
        <w:t xml:space="preserve">95.</w:t>
      </w:r>
      <w:r>
        <w:t xml:space="preserve"> </w:t>
      </w:r>
      <w:r>
        <w:t xml:space="preserve">	</w:t>
      </w:r>
      <w:r>
        <w:t xml:space="preserve">Gatto, L., Breckels, L. M., Wieczorek, S., Burger, T. &amp; Lilley, K. S.</w:t>
      </w:r>
      <w:r>
        <w:t xml:space="preserve"> </w:t>
      </w:r>
      <w:r>
        <w:t xml:space="preserve">M</w:t>
      </w:r>
      <w:r>
        <w:t xml:space="preserve">ass-spectrometry-based spatial proteomics data analysis using p</w:t>
      </w:r>
      <w:r>
        <w:t xml:space="preserve">R</w:t>
      </w:r>
      <w:r>
        <w:t xml:space="preserve">oloc and p</w:t>
      </w:r>
      <w:r>
        <w:t xml:space="preserve">R</w:t>
      </w:r>
      <w:r>
        <w:t xml:space="preserve">olocdata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30</w:t>
      </w:r>
      <w:r>
        <w:t xml:space="preserve">, 1322–1324 (2014).</w:t>
      </w:r>
    </w:p>
    <w:bookmarkEnd w:id="199"/>
    <w:bookmarkStart w:id="201" w:name="ref-easyPubMed"/>
    <w:p>
      <w:pPr>
        <w:pStyle w:val="Bibliography"/>
      </w:pPr>
      <w:r>
        <w:t xml:space="preserve">96.</w:t>
      </w:r>
      <w:r>
        <w:t xml:space="preserve"> </w:t>
      </w:r>
      <w:r>
        <w:t xml:space="preserve">	</w:t>
      </w:r>
      <w:r>
        <w:t xml:space="preserve">Fantini, D.</w:t>
      </w:r>
      <w:r>
        <w:t xml:space="preserve"> </w:t>
      </w:r>
      <w:hyperlink r:id="rId200">
        <w:r>
          <w:rPr>
            <w:rStyle w:val="Hyperlink"/>
            <w:iCs/>
            <w:i/>
          </w:rPr>
          <w:t xml:space="preserve">easyPubMed: Search and Retrieve Scientific Publication Records from PubMed</w:t>
        </w:r>
      </w:hyperlink>
      <w:r>
        <w:t xml:space="preserve">. (2019).</w:t>
      </w:r>
    </w:p>
    <w:bookmarkEnd w:id="201"/>
    <w:bookmarkStart w:id="203" w:name="ref-Rcluster"/>
    <w:p>
      <w:pPr>
        <w:pStyle w:val="Bibliography"/>
      </w:pPr>
      <w:r>
        <w:t xml:space="preserve">97.</w:t>
      </w:r>
      <w:r>
        <w:t xml:space="preserve"> </w:t>
      </w:r>
      <w:r>
        <w:t xml:space="preserve">	</w:t>
      </w:r>
      <w:r>
        <w:t xml:space="preserve">Maechler, M., Rousseeuw, P., Struyf, A., Hubert, M. &amp; Hornik, K.</w:t>
      </w:r>
      <w:r>
        <w:t xml:space="preserve"> </w:t>
      </w:r>
      <w:hyperlink r:id="rId202">
        <w:r>
          <w:rPr>
            <w:rStyle w:val="Hyperlink"/>
            <w:iCs/>
            <w:i/>
          </w:rPr>
          <w:t xml:space="preserve">Cluster: Cluster Analysis Basics and Extensions</w:t>
        </w:r>
      </w:hyperlink>
      <w:r>
        <w:t xml:space="preserve">. (2023).</w:t>
      </w:r>
    </w:p>
    <w:bookmarkEnd w:id="203"/>
    <w:bookmarkStart w:id="204" w:name="ref-Rgprofiler2"/>
    <w:p>
      <w:pPr>
        <w:pStyle w:val="Bibliography"/>
      </w:pPr>
      <w:r>
        <w:t xml:space="preserve">98.</w:t>
      </w:r>
      <w:r>
        <w:t xml:space="preserve"> </w:t>
      </w:r>
      <w:r>
        <w:t xml:space="preserve">	</w:t>
      </w:r>
      <w:r>
        <w:t xml:space="preserve">Kolberg, L., Raudvere, U., Kuzmin, I., Vilo, J. &amp; Peterson, H. gprofiler2– an r package for gene list functional enrichment analysis and namespace conversion toolset g:profiler.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rPr>
          <w:bCs/>
          <w:b/>
        </w:rPr>
        <w:t xml:space="preserve">9 (ELIXIR)</w:t>
      </w:r>
      <w:r>
        <w:t xml:space="preserve">, (2020).</w:t>
      </w:r>
    </w:p>
    <w:bookmarkEnd w:id="204"/>
    <w:bookmarkStart w:id="206" w:name="ref-pmid29087381"/>
    <w:p>
      <w:pPr>
        <w:pStyle w:val="Bibliography"/>
      </w:pPr>
      <w:r>
        <w:t xml:space="preserve">99.</w:t>
      </w:r>
      <w:r>
        <w:t xml:space="preserve"> </w:t>
      </w:r>
      <w:r>
        <w:t xml:space="preserve">	</w:t>
      </w:r>
      <w:r>
        <w:t xml:space="preserve">Ehrlund,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205">
        <w:r>
          <w:rPr>
            <w:rStyle w:val="Hyperlink"/>
          </w:rPr>
          <w:t xml:space="preserve">The cell-type specific transcriptome in human adipose tissue and influence of obesity on adipocyte progenitors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rPr>
          <w:bCs/>
          <w:b/>
        </w:rPr>
        <w:t xml:space="preserve">4</w:t>
      </w:r>
      <w:r>
        <w:t xml:space="preserve">, 170164 (2017).</w:t>
      </w:r>
    </w:p>
    <w:bookmarkEnd w:id="206"/>
    <w:bookmarkStart w:id="208" w:name="ref-pmid36778506"/>
    <w:p>
      <w:pPr>
        <w:pStyle w:val="Bibliography"/>
      </w:pPr>
      <w:r>
        <w:t xml:space="preserve">100.</w:t>
      </w:r>
      <w:r>
        <w:t xml:space="preserve"> </w:t>
      </w:r>
      <w:r>
        <w:t xml:space="preserve">	</w:t>
      </w:r>
      <w:r>
        <w:t xml:space="preserve">Elgamal, R. M.</w:t>
      </w:r>
      <w:r>
        <w:t xml:space="preserve"> </w:t>
      </w:r>
      <w:r>
        <w:rPr>
          <w:iCs/>
          <w:i/>
        </w:rPr>
        <w:t xml:space="preserve">et al.</w:t>
      </w:r>
      <w:r>
        <w:t xml:space="preserve"> An integrated map of cell type-specific gene expression in pancreatic islets.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2023.02.03.526994 (2023) doi:</w:t>
      </w:r>
      <w:hyperlink r:id="rId207">
        <w:r>
          <w:rPr>
            <w:rStyle w:val="Hyperlink"/>
          </w:rPr>
          <w:t xml:space="preserve">10.1101/2023.02.03.526994</w:t>
        </w:r>
      </w:hyperlink>
      <w:r>
        <w:t xml:space="preserve">.</w:t>
      </w:r>
    </w:p>
    <w:bookmarkEnd w:id="208"/>
    <w:bookmarkStart w:id="209" w:name="ref-pmid37933855"/>
    <w:p>
      <w:pPr>
        <w:pStyle w:val="Bibliography"/>
      </w:pPr>
      <w:r>
        <w:t xml:space="preserve">101.</w:t>
      </w:r>
      <w:r>
        <w:t xml:space="preserve"> </w:t>
      </w:r>
      <w:r>
        <w:t xml:space="preserve">	</w:t>
      </w:r>
      <w:r>
        <w:t xml:space="preserve">Clough,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</w:t>
      </w:r>
      <w:r>
        <w:t xml:space="preserve">E</w:t>
      </w:r>
      <w:r>
        <w:t xml:space="preserve">O</w:t>
      </w:r>
      <w:r>
        <w:t xml:space="preserve">: archive for gene expression and epigenomics data sets: 23-year update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52</w:t>
      </w:r>
      <w:r>
        <w:t xml:space="preserve">, D138–D144 (2024).</w:t>
      </w:r>
    </w:p>
    <w:bookmarkEnd w:id="209"/>
    <w:bookmarkStart w:id="210" w:name="ref-pmid11752295"/>
    <w:p>
      <w:pPr>
        <w:pStyle w:val="Bibliography"/>
      </w:pPr>
      <w:r>
        <w:t xml:space="preserve">102.</w:t>
      </w:r>
      <w:r>
        <w:t xml:space="preserve"> </w:t>
      </w:r>
      <w:r>
        <w:t xml:space="preserve">	</w:t>
      </w:r>
      <w:r>
        <w:t xml:space="preserve">Edgar, R., Domrachev, M. &amp; Lash, A. E.</w:t>
      </w:r>
      <w:r>
        <w:t xml:space="preserve"> </w:t>
      </w:r>
      <w:r>
        <w:t xml:space="preserve">G</w:t>
      </w:r>
      <w:r>
        <w:t xml:space="preserve">ene</w:t>
      </w:r>
      <w:r>
        <w:t xml:space="preserve"> </w:t>
      </w:r>
      <w:r>
        <w:t xml:space="preserve">E</w:t>
      </w:r>
      <w:r>
        <w:t xml:space="preserve">xpression</w:t>
      </w:r>
      <w:r>
        <w:t xml:space="preserve"> </w:t>
      </w:r>
      <w:r>
        <w:t xml:space="preserve">O</w:t>
      </w:r>
      <w:r>
        <w:t xml:space="preserve">mnibus: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gene expression and hybridization array data repository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30</w:t>
      </w:r>
      <w:r>
        <w:t xml:space="preserve">, 207–210 (2002).</w:t>
      </w:r>
    </w:p>
    <w:bookmarkEnd w:id="210"/>
    <w:bookmarkStart w:id="211" w:name="ref-geoquery"/>
    <w:p>
      <w:pPr>
        <w:pStyle w:val="Bibliography"/>
      </w:pPr>
      <w:r>
        <w:t xml:space="preserve">103.</w:t>
      </w:r>
      <w:r>
        <w:t xml:space="preserve"> </w:t>
      </w:r>
      <w:r>
        <w:t xml:space="preserve">	</w:t>
      </w:r>
      <w:r>
        <w:t xml:space="preserve">Davis, S. &amp; Meltzer, P. GEOquery: A bridge between the gene expression omnibus (GEO) and BioConductor.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14</w:t>
      </w:r>
      <w:r>
        <w:t xml:space="preserve">, 1846–1847 (2007).</w:t>
      </w:r>
    </w:p>
    <w:bookmarkEnd w:id="211"/>
    <w:bookmarkStart w:id="212" w:name="ref-pmid38531069"/>
    <w:p>
      <w:pPr>
        <w:pStyle w:val="Bibliography"/>
      </w:pPr>
      <w:r>
        <w:t xml:space="preserve">104.</w:t>
      </w:r>
      <w:r>
        <w:t xml:space="preserve"> </w:t>
      </w:r>
      <w:r>
        <w:t xml:space="preserve">	</w:t>
      </w:r>
      <w:r>
        <w:t xml:space="preserve">Baldarelli, R.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I</w:t>
      </w:r>
      <w:r>
        <w:t xml:space="preserve">nformatics: an integrated knowledgebase system for the laboratory mouse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227</w:t>
      </w:r>
      <w:r>
        <w:t xml:space="preserve">, (2024).</w:t>
      </w:r>
    </w:p>
    <w:bookmarkEnd w:id="212"/>
    <w:bookmarkStart w:id="214" w:name="ref-lmerTest_package"/>
    <w:p>
      <w:pPr>
        <w:pStyle w:val="Bibliography"/>
      </w:pPr>
      <w:r>
        <w:t xml:space="preserve">105.</w:t>
      </w:r>
      <w:r>
        <w:t xml:space="preserve"> </w:t>
      </w:r>
      <w:r>
        <w:t xml:space="preserve">	</w:t>
      </w:r>
      <w:r>
        <w:t xml:space="preserve">Kuznetsova, A., Brockhoff, P. B. &amp; Christensen, R. H. B.</w:t>
      </w:r>
      <w:r>
        <w:t xml:space="preserve"> </w:t>
      </w:r>
      <w:hyperlink r:id="rId213">
        <w:r>
          <w:rPr>
            <w:rStyle w:val="Hyperlink"/>
          </w:rPr>
          <w:t xml:space="preserve">lmerTest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package: Tests in linear mixed effects models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82</w:t>
      </w:r>
      <w:r>
        <w:t xml:space="preserve">, 1–26 (2017).</w:t>
      </w:r>
    </w:p>
    <w:bookmarkEnd w:id="214"/>
    <w:bookmarkEnd w:id="215"/>
    <w:bookmarkEnd w:id="2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www.csbio.unc.edu/CCstatus/CCGenomes/" TargetMode="External" /><Relationship Type="http://schemas.openxmlformats.org/officeDocument/2006/relationships/hyperlink" Id="rId202" Target="https://CRAN.R-project.org/package=cluster" TargetMode="External" /><Relationship Type="http://schemas.openxmlformats.org/officeDocument/2006/relationships/hyperlink" Id="rId200" Target="https://CRAN.R-project.org/package=easyPubMed" TargetMode="External" /><Relationship Type="http://schemas.openxmlformats.org/officeDocument/2006/relationships/hyperlink" Id="rId81" Target="https://clue.io/query" TargetMode="External" /><Relationship Type="http://schemas.openxmlformats.org/officeDocument/2006/relationships/hyperlink" Id="rId33" Target="https://clue.io/query/" TargetMode="External" /><Relationship Type="http://schemas.openxmlformats.org/officeDocument/2006/relationships/hyperlink" Id="rId43" Target="https://datadryad.org/" TargetMode="External" /><Relationship Type="http://schemas.openxmlformats.org/officeDocument/2006/relationships/hyperlink" Id="rId44" Target="https://datadryad.org/dataset/doi:10.5061/dryad.pj105" TargetMode="External" /><Relationship Type="http://schemas.openxmlformats.org/officeDocument/2006/relationships/hyperlink" Id="rId147" Target="https://doi.org/10.1016/j.cca.2008.07.027" TargetMode="External" /><Relationship Type="http://schemas.openxmlformats.org/officeDocument/2006/relationships/hyperlink" Id="rId205" Target="https://doi.org/10.1038/sdata.2017.164" TargetMode="External" /><Relationship Type="http://schemas.openxmlformats.org/officeDocument/2006/relationships/hyperlink" Id="rId136" Target="https://doi.org/10.1101/060012" TargetMode="External" /><Relationship Type="http://schemas.openxmlformats.org/officeDocument/2006/relationships/hyperlink" Id="rId207" Target="https://doi.org/10.1101/2023.02.03.526994" TargetMode="External" /><Relationship Type="http://schemas.openxmlformats.org/officeDocument/2006/relationships/hyperlink" Id="rId186" Target="https://doi.org/10.1186/s13059-014-0550-8" TargetMode="External" /><Relationship Type="http://schemas.openxmlformats.org/officeDocument/2006/relationships/hyperlink" Id="rId178" Target="https://doi.org/10.1534/genetics.114.171017" TargetMode="External" /><Relationship Type="http://schemas.openxmlformats.org/officeDocument/2006/relationships/hyperlink" Id="rId184" Target="https://doi.org/10.18637/jss.v067.i01" TargetMode="External" /><Relationship Type="http://schemas.openxmlformats.org/officeDocument/2006/relationships/hyperlink" Id="rId213" Target="https://doi.org/10.18637/jss.v082.i13" TargetMode="External" /><Relationship Type="http://schemas.openxmlformats.org/officeDocument/2006/relationships/hyperlink" Id="rId180" Target="https://doi.org/10.5061/dryad.pj105" TargetMode="External" /><Relationship Type="http://schemas.openxmlformats.org/officeDocument/2006/relationships/hyperlink" Id="rId176" Target="https://doi.org/10.6084/m9.figshare.27066979" TargetMode="External" /><Relationship Type="http://schemas.openxmlformats.org/officeDocument/2006/relationships/hyperlink" Id="rId93" Target="https://figshare.com" TargetMode="External" /><Relationship Type="http://schemas.openxmlformats.org/officeDocument/2006/relationships/hyperlink" Id="rId65" Target="https://figshare.com/" TargetMode="External" /><Relationship Type="http://schemas.openxmlformats.org/officeDocument/2006/relationships/hyperlink" Id="rId87" Target="https://figshare.com/articles/dataset/Data_and_code_for_High-Dimensional_Mediation_Analysis_HDMA_in_diversity_outbred_mice/27066979" TargetMode="External" /><Relationship Type="http://schemas.openxmlformats.org/officeDocument/2006/relationships/hyperlink" Id="rId57" Target="https://gbrs.readthedocs.io/en/latest/" TargetMode="External" /><Relationship Type="http://schemas.openxmlformats.org/officeDocument/2006/relationships/hyperlink" Id="rId39" Target="https://github.com/churchill-lab/gbrs" TargetMode="External" /><Relationship Type="http://schemas.openxmlformats.org/officeDocument/2006/relationships/hyperlink" Id="rId41" Target="https://github.com/rqtl/qtl2/issues/193" TargetMode="External" /><Relationship Type="http://schemas.openxmlformats.org/officeDocument/2006/relationships/hyperlink" Id="rId68" Target="https://www.informatics.jax.org/downloads/reports/index.html" TargetMode="External" /><Relationship Type="http://schemas.openxmlformats.org/officeDocument/2006/relationships/hyperlink" Id="rId83" Target="https://www.ncbi.nlm.nih.gov/geo/" TargetMode="External" /><Relationship Type="http://schemas.openxmlformats.org/officeDocument/2006/relationships/hyperlink" Id="rId76" Target="https://www.ncbi.nlm.nih.gov/geo/query/acc.cgi?acc=GSE152517" TargetMode="External" /><Relationship Type="http://schemas.openxmlformats.org/officeDocument/2006/relationships/hyperlink" Id="rId78" Target="https://www.ncbi.nlm.nih.gov/geo/query/acc.cgi?acc=GSE205668" TargetMode="External" /><Relationship Type="http://schemas.openxmlformats.org/officeDocument/2006/relationships/hyperlink" Id="rId88" Target="https://www.ncbi.nlm.nih.gov/geo/query/acc.cgi?acc=GSE237737" TargetMode="External" /><Relationship Type="http://schemas.openxmlformats.org/officeDocument/2006/relationships/hyperlink" Id="rId89" Target="https://www.ncbi.nlm.nih.gov/geo/query/acc.cgi?acc=GSE237743" TargetMode="External" /><Relationship Type="http://schemas.openxmlformats.org/officeDocument/2006/relationships/hyperlink" Id="rId90" Target="https://www.ncbi.nlm.nih.gov/geo/query/acc.cgi?acc=GSE237747" TargetMode="External" /><Relationship Type="http://schemas.openxmlformats.org/officeDocument/2006/relationships/hyperlink" Id="rId84" Target="https://www.ncbi.nlm.nih.gov/geo/query/acc.cgi?acc=GSE266549" TargetMode="External" /><Relationship Type="http://schemas.openxmlformats.org/officeDocument/2006/relationships/hyperlink" Id="rId86" Target="https://www.ncbi.nlm.nih.gov/geo/query/acc.cgi?acc=GSE266567" TargetMode="External" /><Relationship Type="http://schemas.openxmlformats.org/officeDocument/2006/relationships/hyperlink" Id="rId85" Target="https://www.ncbi.nlm.nih.gov/geo/query/acc.cgi?acc=GSE266569" TargetMode="External" /><Relationship Type="http://schemas.openxmlformats.org/officeDocument/2006/relationships/hyperlink" Id="rId79" Target="https://www.ncbi.nlm.nih.gov/geo/query/acc.cgi?acc=GSE29231" TargetMode="External" /><Relationship Type="http://schemas.openxmlformats.org/officeDocument/2006/relationships/hyperlink" Id="rId77" Target="https://www.ncbi.nlm.nih.gov/geo/query/acc.cgi?acc=GSE44000" TargetMode="External" /><Relationship Type="http://schemas.openxmlformats.org/officeDocument/2006/relationships/hyperlink" Id="rId20" Target="mailto:gary.churchill@jax.org" TargetMode="External" /><Relationship Type="http://schemas.openxmlformats.org/officeDocument/2006/relationships/hyperlink" Id="rId21" Target="mailto:gregory.carter@jax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csbio.unc.edu/CCstatus/CCGenomes/" TargetMode="External" /><Relationship Type="http://schemas.openxmlformats.org/officeDocument/2006/relationships/hyperlink" Id="rId202" Target="https://CRAN.R-project.org/package=cluster" TargetMode="External" /><Relationship Type="http://schemas.openxmlformats.org/officeDocument/2006/relationships/hyperlink" Id="rId200" Target="https://CRAN.R-project.org/package=easyPubMed" TargetMode="External" /><Relationship Type="http://schemas.openxmlformats.org/officeDocument/2006/relationships/hyperlink" Id="rId81" Target="https://clue.io/query" TargetMode="External" /><Relationship Type="http://schemas.openxmlformats.org/officeDocument/2006/relationships/hyperlink" Id="rId33" Target="https://clue.io/query/" TargetMode="External" /><Relationship Type="http://schemas.openxmlformats.org/officeDocument/2006/relationships/hyperlink" Id="rId43" Target="https://datadryad.org/" TargetMode="External" /><Relationship Type="http://schemas.openxmlformats.org/officeDocument/2006/relationships/hyperlink" Id="rId44" Target="https://datadryad.org/dataset/doi:10.5061/dryad.pj105" TargetMode="External" /><Relationship Type="http://schemas.openxmlformats.org/officeDocument/2006/relationships/hyperlink" Id="rId147" Target="https://doi.org/10.1016/j.cca.2008.07.027" TargetMode="External" /><Relationship Type="http://schemas.openxmlformats.org/officeDocument/2006/relationships/hyperlink" Id="rId205" Target="https://doi.org/10.1038/sdata.2017.164" TargetMode="External" /><Relationship Type="http://schemas.openxmlformats.org/officeDocument/2006/relationships/hyperlink" Id="rId136" Target="https://doi.org/10.1101/060012" TargetMode="External" /><Relationship Type="http://schemas.openxmlformats.org/officeDocument/2006/relationships/hyperlink" Id="rId207" Target="https://doi.org/10.1101/2023.02.03.526994" TargetMode="External" /><Relationship Type="http://schemas.openxmlformats.org/officeDocument/2006/relationships/hyperlink" Id="rId186" Target="https://doi.org/10.1186/s13059-014-0550-8" TargetMode="External" /><Relationship Type="http://schemas.openxmlformats.org/officeDocument/2006/relationships/hyperlink" Id="rId178" Target="https://doi.org/10.1534/genetics.114.171017" TargetMode="External" /><Relationship Type="http://schemas.openxmlformats.org/officeDocument/2006/relationships/hyperlink" Id="rId184" Target="https://doi.org/10.18637/jss.v067.i01" TargetMode="External" /><Relationship Type="http://schemas.openxmlformats.org/officeDocument/2006/relationships/hyperlink" Id="rId213" Target="https://doi.org/10.18637/jss.v082.i13" TargetMode="External" /><Relationship Type="http://schemas.openxmlformats.org/officeDocument/2006/relationships/hyperlink" Id="rId180" Target="https://doi.org/10.5061/dryad.pj105" TargetMode="External" /><Relationship Type="http://schemas.openxmlformats.org/officeDocument/2006/relationships/hyperlink" Id="rId176" Target="https://doi.org/10.6084/m9.figshare.27066979" TargetMode="External" /><Relationship Type="http://schemas.openxmlformats.org/officeDocument/2006/relationships/hyperlink" Id="rId93" Target="https://figshare.com" TargetMode="External" /><Relationship Type="http://schemas.openxmlformats.org/officeDocument/2006/relationships/hyperlink" Id="rId65" Target="https://figshare.com/" TargetMode="External" /><Relationship Type="http://schemas.openxmlformats.org/officeDocument/2006/relationships/hyperlink" Id="rId87" Target="https://figshare.com/articles/dataset/Data_and_code_for_High-Dimensional_Mediation_Analysis_HDMA_in_diversity_outbred_mice/27066979" TargetMode="External" /><Relationship Type="http://schemas.openxmlformats.org/officeDocument/2006/relationships/hyperlink" Id="rId57" Target="https://gbrs.readthedocs.io/en/latest/" TargetMode="External" /><Relationship Type="http://schemas.openxmlformats.org/officeDocument/2006/relationships/hyperlink" Id="rId39" Target="https://github.com/churchill-lab/gbrs" TargetMode="External" /><Relationship Type="http://schemas.openxmlformats.org/officeDocument/2006/relationships/hyperlink" Id="rId41" Target="https://github.com/rqtl/qtl2/issues/193" TargetMode="External" /><Relationship Type="http://schemas.openxmlformats.org/officeDocument/2006/relationships/hyperlink" Id="rId68" Target="https://www.informatics.jax.org/downloads/reports/index.html" TargetMode="External" /><Relationship Type="http://schemas.openxmlformats.org/officeDocument/2006/relationships/hyperlink" Id="rId83" Target="https://www.ncbi.nlm.nih.gov/geo/" TargetMode="External" /><Relationship Type="http://schemas.openxmlformats.org/officeDocument/2006/relationships/hyperlink" Id="rId76" Target="https://www.ncbi.nlm.nih.gov/geo/query/acc.cgi?acc=GSE152517" TargetMode="External" /><Relationship Type="http://schemas.openxmlformats.org/officeDocument/2006/relationships/hyperlink" Id="rId78" Target="https://www.ncbi.nlm.nih.gov/geo/query/acc.cgi?acc=GSE205668" TargetMode="External" /><Relationship Type="http://schemas.openxmlformats.org/officeDocument/2006/relationships/hyperlink" Id="rId88" Target="https://www.ncbi.nlm.nih.gov/geo/query/acc.cgi?acc=GSE237737" TargetMode="External" /><Relationship Type="http://schemas.openxmlformats.org/officeDocument/2006/relationships/hyperlink" Id="rId89" Target="https://www.ncbi.nlm.nih.gov/geo/query/acc.cgi?acc=GSE237743" TargetMode="External" /><Relationship Type="http://schemas.openxmlformats.org/officeDocument/2006/relationships/hyperlink" Id="rId90" Target="https://www.ncbi.nlm.nih.gov/geo/query/acc.cgi?acc=GSE237747" TargetMode="External" /><Relationship Type="http://schemas.openxmlformats.org/officeDocument/2006/relationships/hyperlink" Id="rId84" Target="https://www.ncbi.nlm.nih.gov/geo/query/acc.cgi?acc=GSE266549" TargetMode="External" /><Relationship Type="http://schemas.openxmlformats.org/officeDocument/2006/relationships/hyperlink" Id="rId86" Target="https://www.ncbi.nlm.nih.gov/geo/query/acc.cgi?acc=GSE266567" TargetMode="External" /><Relationship Type="http://schemas.openxmlformats.org/officeDocument/2006/relationships/hyperlink" Id="rId85" Target="https://www.ncbi.nlm.nih.gov/geo/query/acc.cgi?acc=GSE266569" TargetMode="External" /><Relationship Type="http://schemas.openxmlformats.org/officeDocument/2006/relationships/hyperlink" Id="rId79" Target="https://www.ncbi.nlm.nih.gov/geo/query/acc.cgi?acc=GSE29231" TargetMode="External" /><Relationship Type="http://schemas.openxmlformats.org/officeDocument/2006/relationships/hyperlink" Id="rId77" Target="https://www.ncbi.nlm.nih.gov/geo/query/acc.cgi?acc=GSE44000" TargetMode="External" /><Relationship Type="http://schemas.openxmlformats.org/officeDocument/2006/relationships/hyperlink" Id="rId20" Target="mailto:gary.churchill@jax.org" TargetMode="External" /><Relationship Type="http://schemas.openxmlformats.org/officeDocument/2006/relationships/hyperlink" Id="rId21" Target="mailto:gregory.carter@jax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Transcripts with high distal heritability mediate genetic effects on complex metabolic traits</dc:title>
  <dc:creator/>
  <cp:keywords/>
  <dcterms:created xsi:type="dcterms:W3CDTF">2025-05-28T00:01:47Z</dcterms:created>
  <dcterms:modified xsi:type="dcterms:W3CDTF">2025-05-28T00:01:47Z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islet.bib</vt:lpwstr>
  </property>
  <property fmtid="{D5CDD505-2E9C-101B-9397-08002B2CF9AE}" pid="3" name="csl">
    <vt:lpwstr>nature.csl</vt:lpwstr>
  </property>
  <property fmtid="{D5CDD505-2E9C-101B-9397-08002B2CF9AE}" pid="4" name="date">
    <vt:lpwstr/>
  </property>
</Properties>
</file>