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Related Work &amp; Calibration-Method Recommendation Tool</w:t>
      </w:r>
    </w:p>
    <w:p>
      <w:pPr>
        <w:spacing w:after="400"/>
        <w:jc w:val="center"/>
      </w:pPr>
      <w:r>
        <w:rPr>
          <w:i/>
          <w:iCs/>
          <w:color w:val="555555"/>
          <w:sz w:val="22"/>
          <w:szCs w:val="22"/>
        </w:rPr>
        <w:t xml:space="preserve">Extending EnergyPlus-MCP with retrofit, calibration, and sustainability scoring</w:t>
      </w:r>
    </w:p>
    <w:p>
      <w:pPr>
        <w:pStyle w:val="Heading1"/>
        <w:spacing w:after="200" w:before="400"/>
      </w:pPr>
      <w:r>
        <w:rPr>
          <w:b/>
          <w:bCs/>
          <w:color w:val="1F3864"/>
          <w:sz w:val="30"/>
          <w:szCs w:val="30"/>
        </w:rPr>
        <w:t xml:space="preserve">Part 1 — Related Work: Who Else Is Working on This</w:t>
      </w:r>
    </w:p>
    <w:p>
      <w:pPr>
        <w:spacing w:after="150" w:line="300"/>
      </w:pPr>
      <w:r>
        <w:rPr>
          <w:i w:val="false"/>
          <w:iCs w:val="false"/>
          <w:sz w:val="21"/>
          <w:szCs w:val="21"/>
        </w:rPr>
        <w:t xml:space="preserve">The table below compares the base EnergyPlus-MCP paper against the closest related efforts identified through literature search. Detailed notes on each paper follow, distinguishing what each group actually built and demonstrated versus what they only mention or leave for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750"/>
        <w:gridCol w:w="1000"/>
        <w:gridCol w:w="1100"/>
        <w:gridCol w:w="1550"/>
        <w:gridCol w:w="2050"/>
      </w:tblGrid>
      <w:tr>
        <w:trPr>
          <w:tblHeader/>
        </w:trPr>
        <w:tc>
          <w:tcPr>
            <w:tcW w:type="dxa" w:w="1550"/>
            <w:shd w:fill="1F3864" w:val="clear"/>
            <w:tcMar>
              <w:top w:type="dxa" w:w="80"/>
              <w:left w:type="dxa" w:w="100"/>
              <w:bottom w:type="dxa" w:w="80"/>
              <w:right w:type="dxa" w:w="100"/>
            </w:tcMar>
          </w:tcPr>
          <w:p>
            <w:r>
              <w:rPr>
                <w:b/>
                <w:bCs/>
                <w:i w:val="false"/>
                <w:iCs w:val="false"/>
                <w:color w:val="FFFFFF"/>
                <w:sz w:val="19"/>
                <w:szCs w:val="19"/>
              </w:rPr>
              <w:t xml:space="preserve">Paper</w:t>
            </w:r>
          </w:p>
        </w:tc>
        <w:tc>
          <w:tcPr>
            <w:tcW w:type="dxa" w:w="1750"/>
            <w:shd w:fill="1F3864" w:val="clear"/>
            <w:tcMar>
              <w:top w:type="dxa" w:w="80"/>
              <w:left w:type="dxa" w:w="100"/>
              <w:bottom w:type="dxa" w:w="80"/>
              <w:right w:type="dxa" w:w="100"/>
            </w:tcMar>
          </w:tcPr>
          <w:p>
            <w:r>
              <w:rPr>
                <w:b/>
                <w:bCs/>
                <w:i w:val="false"/>
                <w:iCs w:val="false"/>
                <w:color w:val="FFFFFF"/>
                <w:sz w:val="19"/>
                <w:szCs w:val="19"/>
              </w:rPr>
              <w:t xml:space="preserve">Method</w:t>
            </w:r>
          </w:p>
        </w:tc>
        <w:tc>
          <w:tcPr>
            <w:tcW w:type="dxa" w:w="1000"/>
            <w:shd w:fill="1F3864" w:val="clear"/>
            <w:tcMar>
              <w:top w:type="dxa" w:w="80"/>
              <w:left w:type="dxa" w:w="100"/>
              <w:bottom w:type="dxa" w:w="80"/>
              <w:right w:type="dxa" w:w="100"/>
            </w:tcMar>
          </w:tcPr>
          <w:p>
            <w:r>
              <w:rPr>
                <w:b/>
                <w:bCs/>
                <w:i w:val="false"/>
                <w:iCs w:val="false"/>
                <w:color w:val="FFFFFF"/>
                <w:sz w:val="19"/>
                <w:szCs w:val="19"/>
              </w:rPr>
              <w:t xml:space="preserve">MCP-based?</w:t>
            </w:r>
          </w:p>
        </w:tc>
        <w:tc>
          <w:tcPr>
            <w:tcW w:type="dxa" w:w="1100"/>
            <w:shd w:fill="1F3864" w:val="clear"/>
            <w:tcMar>
              <w:top w:type="dxa" w:w="80"/>
              <w:left w:type="dxa" w:w="100"/>
              <w:bottom w:type="dxa" w:w="80"/>
              <w:right w:type="dxa" w:w="100"/>
            </w:tcMar>
          </w:tcPr>
          <w:p>
            <w:r>
              <w:rPr>
                <w:b/>
                <w:bCs/>
                <w:i w:val="false"/>
                <w:iCs w:val="false"/>
                <w:color w:val="FFFFFF"/>
                <w:sz w:val="19"/>
                <w:szCs w:val="19"/>
              </w:rPr>
              <w:t xml:space="preserve">Calibration</w:t>
            </w:r>
          </w:p>
        </w:tc>
        <w:tc>
          <w:tcPr>
            <w:tcW w:type="dxa" w:w="1550"/>
            <w:shd w:fill="1F3864" w:val="clear"/>
            <w:tcMar>
              <w:top w:type="dxa" w:w="80"/>
              <w:left w:type="dxa" w:w="100"/>
              <w:bottom w:type="dxa" w:w="80"/>
              <w:right w:type="dxa" w:w="100"/>
            </w:tcMar>
          </w:tcPr>
          <w:p>
            <w:r>
              <w:rPr>
                <w:b/>
                <w:bCs/>
                <w:i w:val="false"/>
                <w:iCs w:val="false"/>
                <w:color w:val="FFFFFF"/>
                <w:sz w:val="19"/>
                <w:szCs w:val="19"/>
              </w:rPr>
              <w:t xml:space="preserve">Sustainability / Certification</w:t>
            </w:r>
          </w:p>
        </w:tc>
        <w:tc>
          <w:tcPr>
            <w:tcW w:type="dxa" w:w="2050"/>
            <w:shd w:fill="1F3864" w:val="clear"/>
            <w:tcMar>
              <w:top w:type="dxa" w:w="80"/>
              <w:left w:type="dxa" w:w="100"/>
              <w:bottom w:type="dxa" w:w="80"/>
              <w:right w:type="dxa" w:w="100"/>
            </w:tcMar>
          </w:tcPr>
          <w:p>
            <w:r>
              <w:rPr>
                <w:b/>
                <w:bCs/>
                <w:i w:val="false"/>
                <w:iCs w:val="false"/>
                <w:color w:val="FFFFFF"/>
                <w:sz w:val="19"/>
                <w:szCs w:val="19"/>
              </w:rPr>
              <w:t xml:space="preserve">Key result</w:t>
            </w:r>
          </w:p>
        </w:tc>
      </w:tr>
      <w:tr>
        <w:tc>
          <w:tcPr>
            <w:tcW w:type="dxa" w:w="1550"/>
            <w:shd w:fill="FFFFFF" w:val="clear"/>
            <w:tcMar>
              <w:top w:type="dxa" w:w="80"/>
              <w:left w:type="dxa" w:w="100"/>
              <w:bottom w:type="dxa" w:w="80"/>
              <w:right w:type="dxa" w:w="100"/>
            </w:tcMar>
          </w:tcPr>
          <w:p>
            <w:r>
              <w:rPr>
                <w:b w:val="false"/>
                <w:bCs w:val="false"/>
                <w:i w:val="false"/>
                <w:iCs w:val="false"/>
                <w:sz w:val="19"/>
                <w:szCs w:val="19"/>
              </w:rPr>
              <w:t xml:space="preserve">Li, Xu, Hong (2025) — EnergyPlus-MCP</w:t>
            </w:r>
          </w:p>
        </w:tc>
        <w:tc>
          <w:tcPr>
            <w:tcW w:type="dxa" w:w="1750"/>
            <w:shd w:fill="FFFFFF" w:val="clear"/>
            <w:tcMar>
              <w:top w:type="dxa" w:w="80"/>
              <w:left w:type="dxa" w:w="100"/>
              <w:bottom w:type="dxa" w:w="80"/>
              <w:right w:type="dxa" w:w="100"/>
            </w:tcMar>
          </w:tcPr>
          <w:p>
            <w:r>
              <w:rPr>
                <w:b w:val="false"/>
                <w:bCs w:val="false"/>
                <w:i w:val="false"/>
                <w:iCs w:val="false"/>
                <w:sz w:val="19"/>
                <w:szCs w:val="19"/>
              </w:rPr>
              <w:t xml:space="preserve">35-tool MCP server wrapping EnergyPlus via eppy; conversational LLM tool-calling</w:t>
            </w:r>
          </w:p>
        </w:tc>
        <w:tc>
          <w:tcPr>
            <w:tcW w:type="dxa" w:w="1000"/>
            <w:shd w:fill="FFFFFF" w:val="clear"/>
            <w:tcMar>
              <w:top w:type="dxa" w:w="80"/>
              <w:left w:type="dxa" w:w="100"/>
              <w:bottom w:type="dxa" w:w="80"/>
              <w:right w:type="dxa" w:w="100"/>
            </w:tcMar>
          </w:tcPr>
          <w:p>
            <w:r>
              <w:rPr>
                <w:b w:val="false"/>
                <w:bCs w:val="false"/>
                <w:i w:val="false"/>
                <w:iCs w:val="false"/>
                <w:sz w:val="19"/>
                <w:szCs w:val="19"/>
              </w:rPr>
              <w:t xml:space="preserve">Yes (foundational)</w:t>
            </w:r>
          </w:p>
        </w:tc>
        <w:tc>
          <w:tcPr>
            <w:tcW w:type="dxa" w:w="110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155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2050"/>
            <w:shd w:fill="FFFFFF" w:val="clear"/>
            <w:tcMar>
              <w:top w:type="dxa" w:w="80"/>
              <w:left w:type="dxa" w:w="100"/>
              <w:bottom w:type="dxa" w:w="80"/>
              <w:right w:type="dxa" w:w="100"/>
            </w:tcMar>
          </w:tcPr>
          <w:p>
            <w:r>
              <w:rPr>
                <w:b w:val="false"/>
                <w:bCs w:val="false"/>
                <w:i w:val="false"/>
                <w:iCs w:val="false"/>
                <w:sz w:val="19"/>
                <w:szCs w:val="19"/>
              </w:rPr>
              <w:t xml:space="preserve">Retrofit demo (lighting/equipment/envelope) via GitHub Copilot as MCP client</w:t>
            </w:r>
          </w:p>
        </w:tc>
      </w:tr>
      <w:tr>
        <w:tc>
          <w:tcPr>
            <w:tcW w:type="dxa" w:w="1550"/>
            <w:shd w:fill="DCE6F1" w:val="clear"/>
            <w:tcMar>
              <w:top w:type="dxa" w:w="80"/>
              <w:left w:type="dxa" w:w="100"/>
              <w:bottom w:type="dxa" w:w="80"/>
              <w:right w:type="dxa" w:w="100"/>
            </w:tcMar>
          </w:tcPr>
          <w:p>
            <w:r>
              <w:rPr>
                <w:b w:val="false"/>
                <w:bCs w:val="false"/>
                <w:i w:val="false"/>
                <w:iCs w:val="false"/>
                <w:sz w:val="19"/>
                <w:szCs w:val="19"/>
              </w:rPr>
              <w:t xml:space="preserve">Li, Zhang, Zhou, Hong (2026) — MCP-enabled agentic AI workflow</w:t>
            </w:r>
          </w:p>
        </w:tc>
        <w:tc>
          <w:tcPr>
            <w:tcW w:type="dxa" w:w="1750"/>
            <w:shd w:fill="DCE6F1" w:val="clear"/>
            <w:tcMar>
              <w:top w:type="dxa" w:w="80"/>
              <w:left w:type="dxa" w:w="100"/>
              <w:bottom w:type="dxa" w:w="80"/>
              <w:right w:type="dxa" w:w="100"/>
            </w:tcMar>
          </w:tcPr>
          <w:p>
            <w:r>
              <w:rPr>
                <w:b w:val="false"/>
                <w:bCs w:val="false"/>
                <w:i w:val="false"/>
                <w:iCs w:val="false"/>
                <w:sz w:val="19"/>
                <w:szCs w:val="19"/>
              </w:rPr>
              <w:t xml:space="preserve">Same MCP server + multi-agent layer (planner, inspector, sim manager, calibration expert)</w:t>
            </w:r>
          </w:p>
        </w:tc>
        <w:tc>
          <w:tcPr>
            <w:tcW w:type="dxa" w:w="1000"/>
            <w:shd w:fill="DCE6F1" w:val="clear"/>
            <w:tcMar>
              <w:top w:type="dxa" w:w="80"/>
              <w:left w:type="dxa" w:w="100"/>
              <w:bottom w:type="dxa" w:w="80"/>
              <w:right w:type="dxa" w:w="100"/>
            </w:tcMar>
          </w:tcPr>
          <w:p>
            <w:r>
              <w:rPr>
                <w:b w:val="false"/>
                <w:bCs w:val="false"/>
                <w:i w:val="false"/>
                <w:iCs w:val="false"/>
                <w:sz w:val="19"/>
                <w:szCs w:val="19"/>
              </w:rPr>
              <w:t xml:space="preserve">Yes</w:t>
            </w:r>
          </w:p>
        </w:tc>
        <w:tc>
          <w:tcPr>
            <w:tcW w:type="dxa" w:w="1100"/>
            <w:shd w:fill="DCE6F1" w:val="clear"/>
            <w:tcMar>
              <w:top w:type="dxa" w:w="80"/>
              <w:left w:type="dxa" w:w="100"/>
              <w:bottom w:type="dxa" w:w="80"/>
              <w:right w:type="dxa" w:w="100"/>
            </w:tcMar>
          </w:tcPr>
          <w:p>
            <w:r>
              <w:rPr>
                <w:b w:val="false"/>
                <w:bCs w:val="false"/>
                <w:i w:val="false"/>
                <w:iCs w:val="false"/>
                <w:sz w:val="19"/>
                <w:szCs w:val="19"/>
              </w:rPr>
              <w:t xml:space="preserve">Named/scoped, not demonstrated</w:t>
            </w:r>
          </w:p>
        </w:tc>
        <w:tc>
          <w:tcPr>
            <w:tcW w:type="dxa" w:w="1550"/>
            <w:shd w:fill="DCE6F1" w:val="clear"/>
            <w:tcMar>
              <w:top w:type="dxa" w:w="80"/>
              <w:left w:type="dxa" w:w="100"/>
              <w:bottom w:type="dxa" w:w="80"/>
              <w:right w:type="dxa" w:w="100"/>
            </w:tcMar>
          </w:tcPr>
          <w:p>
            <w:r>
              <w:rPr>
                <w:b w:val="false"/>
                <w:bCs w:val="false"/>
                <w:i w:val="false"/>
                <w:iCs w:val="false"/>
                <w:sz w:val="19"/>
                <w:szCs w:val="19"/>
              </w:rPr>
              <w:t xml:space="preserve">No</w:t>
            </w:r>
          </w:p>
        </w:tc>
        <w:tc>
          <w:tcPr>
            <w:tcW w:type="dxa" w:w="2050"/>
            <w:shd w:fill="DCE6F1" w:val="clear"/>
            <w:tcMar>
              <w:top w:type="dxa" w:w="80"/>
              <w:left w:type="dxa" w:w="100"/>
              <w:bottom w:type="dxa" w:w="80"/>
              <w:right w:type="dxa" w:w="100"/>
            </w:tcMar>
          </w:tcPr>
          <w:p>
            <w:r>
              <w:rPr>
                <w:b w:val="false"/>
                <w:bCs w:val="false"/>
                <w:i w:val="false"/>
                <w:iCs w:val="false"/>
                <w:sz w:val="19"/>
                <w:szCs w:val="19"/>
              </w:rPr>
              <w:t xml:space="preserve">80-90% time reduction on inspection / modification / analysis tasks</w:t>
            </w:r>
          </w:p>
        </w:tc>
      </w:tr>
      <w:tr>
        <w:tc>
          <w:tcPr>
            <w:tcW w:type="dxa" w:w="1550"/>
            <w:shd w:fill="FFFFFF" w:val="clear"/>
            <w:tcMar>
              <w:top w:type="dxa" w:w="80"/>
              <w:left w:type="dxa" w:w="100"/>
              <w:bottom w:type="dxa" w:w="80"/>
              <w:right w:type="dxa" w:w="100"/>
            </w:tcMar>
          </w:tcPr>
          <w:p>
            <w:r>
              <w:rPr>
                <w:b w:val="false"/>
                <w:bCs w:val="false"/>
                <w:i w:val="false"/>
                <w:iCs w:val="false"/>
                <w:sz w:val="19"/>
                <w:szCs w:val="19"/>
              </w:rPr>
              <w:t xml:space="preserve">Lu, Zheng, Langtry et al. (2025) — Data2BEM</w:t>
            </w:r>
          </w:p>
        </w:tc>
        <w:tc>
          <w:tcPr>
            <w:tcW w:type="dxa" w:w="1750"/>
            <w:shd w:fill="FFFFFF" w:val="clear"/>
            <w:tcMar>
              <w:top w:type="dxa" w:w="80"/>
              <w:left w:type="dxa" w:w="100"/>
              <w:bottom w:type="dxa" w:w="80"/>
              <w:right w:type="dxa" w:w="100"/>
            </w:tcMar>
          </w:tcPr>
          <w:p>
            <w:r>
              <w:rPr>
                <w:b w:val="false"/>
                <w:bCs w:val="false"/>
                <w:i w:val="false"/>
                <w:iCs w:val="false"/>
                <w:sz w:val="19"/>
                <w:szCs w:val="19"/>
              </w:rPr>
              <w:t xml:space="preserve">4-stage multi-agent pipeline (geometry -&gt; parameters -&gt; calibration -&gt; retrofit) + Reviewer agent</w:t>
            </w:r>
          </w:p>
        </w:tc>
        <w:tc>
          <w:tcPr>
            <w:tcW w:type="dxa" w:w="1000"/>
            <w:shd w:fill="FFFFFF" w:val="clear"/>
            <w:tcMar>
              <w:top w:type="dxa" w:w="80"/>
              <w:left w:type="dxa" w:w="100"/>
              <w:bottom w:type="dxa" w:w="80"/>
              <w:right w:type="dxa" w:w="100"/>
            </w:tcMar>
          </w:tcPr>
          <w:p>
            <w:r>
              <w:rPr>
                <w:b w:val="false"/>
                <w:bCs w:val="false"/>
                <w:i w:val="false"/>
                <w:iCs w:val="false"/>
                <w:sz w:val="19"/>
                <w:szCs w:val="19"/>
              </w:rPr>
              <w:t xml:space="preserve">No (bespoke pipeline)</w:t>
            </w:r>
          </w:p>
        </w:tc>
        <w:tc>
          <w:tcPr>
            <w:tcW w:type="dxa" w:w="1100"/>
            <w:shd w:fill="FFFFFF" w:val="clear"/>
            <w:tcMar>
              <w:top w:type="dxa" w:w="80"/>
              <w:left w:type="dxa" w:w="100"/>
              <w:bottom w:type="dxa" w:w="80"/>
              <w:right w:type="dxa" w:w="100"/>
            </w:tcMar>
          </w:tcPr>
          <w:p>
            <w:r>
              <w:rPr>
                <w:b w:val="false"/>
                <w:bCs w:val="false"/>
                <w:i w:val="false"/>
                <w:iCs w:val="false"/>
                <w:sz w:val="19"/>
                <w:szCs w:val="19"/>
              </w:rPr>
              <w:t xml:space="preserve">Yes - data-driven, ASHRAE GL14 benchmarks</w:t>
            </w:r>
          </w:p>
        </w:tc>
        <w:tc>
          <w:tcPr>
            <w:tcW w:type="dxa" w:w="155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2050"/>
            <w:shd w:fill="FFFFFF" w:val="clear"/>
            <w:tcMar>
              <w:top w:type="dxa" w:w="80"/>
              <w:left w:type="dxa" w:w="100"/>
              <w:bottom w:type="dxa" w:w="80"/>
              <w:right w:type="dxa" w:w="100"/>
            </w:tcMar>
          </w:tcPr>
          <w:p>
            <w:r>
              <w:rPr>
                <w:b w:val="false"/>
                <w:bCs w:val="false"/>
                <w:i w:val="false"/>
                <w:iCs w:val="false"/>
                <w:sz w:val="19"/>
                <w:szCs w:val="19"/>
              </w:rPr>
              <w:t xml:space="preserve">48 min vs 8-32 hrs human baseline; retrofit case showed ~44% lower energy cost</w:t>
            </w:r>
          </w:p>
        </w:tc>
      </w:tr>
      <w:tr>
        <w:tc>
          <w:tcPr>
            <w:tcW w:type="dxa" w:w="1550"/>
            <w:shd w:fill="DCE6F1" w:val="clear"/>
            <w:tcMar>
              <w:top w:type="dxa" w:w="80"/>
              <w:left w:type="dxa" w:w="100"/>
              <w:bottom w:type="dxa" w:w="80"/>
              <w:right w:type="dxa" w:w="100"/>
            </w:tcMar>
          </w:tcPr>
          <w:p>
            <w:r>
              <w:rPr>
                <w:b w:val="false"/>
                <w:bCs w:val="false"/>
                <w:i w:val="false"/>
                <w:iCs w:val="false"/>
                <w:sz w:val="19"/>
                <w:szCs w:val="19"/>
              </w:rPr>
              <w:t xml:space="preserve">Lee (2025) — LEED Certification Automation Platform</w:t>
            </w:r>
          </w:p>
        </w:tc>
        <w:tc>
          <w:tcPr>
            <w:tcW w:type="dxa" w:w="1750"/>
            <w:shd w:fill="DCE6F1" w:val="clear"/>
            <w:tcMar>
              <w:top w:type="dxa" w:w="80"/>
              <w:left w:type="dxa" w:w="100"/>
              <w:bottom w:type="dxa" w:w="80"/>
              <w:right w:type="dxa" w:w="100"/>
            </w:tcMar>
          </w:tcPr>
          <w:p>
            <w:r>
              <w:rPr>
                <w:b w:val="false"/>
                <w:bCs w:val="false"/>
                <w:i w:val="false"/>
                <w:iCs w:val="false"/>
                <w:sz w:val="19"/>
                <w:szCs w:val="19"/>
              </w:rPr>
              <w:t xml:space="preserve">OCR/CV document parsing + rule-based LEED engine + EnergyPlus module + RAG reporting</w:t>
            </w:r>
          </w:p>
        </w:tc>
        <w:tc>
          <w:tcPr>
            <w:tcW w:type="dxa" w:w="1000"/>
            <w:shd w:fill="DCE6F1" w:val="clear"/>
            <w:tcMar>
              <w:top w:type="dxa" w:w="80"/>
              <w:left w:type="dxa" w:w="100"/>
              <w:bottom w:type="dxa" w:w="80"/>
              <w:right w:type="dxa" w:w="100"/>
            </w:tcMar>
          </w:tcPr>
          <w:p>
            <w:r>
              <w:rPr>
                <w:b w:val="false"/>
                <w:bCs w:val="false"/>
                <w:i w:val="false"/>
                <w:iCs w:val="false"/>
                <w:sz w:val="19"/>
                <w:szCs w:val="19"/>
              </w:rPr>
              <w:t xml:space="preserve">No</w:t>
            </w:r>
          </w:p>
        </w:tc>
        <w:tc>
          <w:tcPr>
            <w:tcW w:type="dxa" w:w="1100"/>
            <w:shd w:fill="DCE6F1" w:val="clear"/>
            <w:tcMar>
              <w:top w:type="dxa" w:w="80"/>
              <w:left w:type="dxa" w:w="100"/>
              <w:bottom w:type="dxa" w:w="80"/>
              <w:right w:type="dxa" w:w="100"/>
            </w:tcMar>
          </w:tcPr>
          <w:p>
            <w:r>
              <w:rPr>
                <w:b w:val="false"/>
                <w:bCs w:val="false"/>
                <w:i w:val="false"/>
                <w:iCs w:val="false"/>
                <w:sz w:val="19"/>
                <w:szCs w:val="19"/>
              </w:rPr>
              <w:t xml:space="preserve">No</w:t>
            </w:r>
          </w:p>
        </w:tc>
        <w:tc>
          <w:tcPr>
            <w:tcW w:type="dxa" w:w="1550"/>
            <w:shd w:fill="DCE6F1" w:val="clear"/>
            <w:tcMar>
              <w:top w:type="dxa" w:w="80"/>
              <w:left w:type="dxa" w:w="100"/>
              <w:bottom w:type="dxa" w:w="80"/>
              <w:right w:type="dxa" w:w="100"/>
            </w:tcMar>
          </w:tcPr>
          <w:p>
            <w:r>
              <w:rPr>
                <w:b w:val="false"/>
                <w:bCs w:val="false"/>
                <w:i w:val="false"/>
                <w:iCs w:val="false"/>
                <w:sz w:val="19"/>
                <w:szCs w:val="19"/>
              </w:rPr>
              <w:t xml:space="preserve">Yes - LEED v4 credit mapping, full BD+C workflow</w:t>
            </w:r>
          </w:p>
        </w:tc>
        <w:tc>
          <w:tcPr>
            <w:tcW w:type="dxa" w:w="2050"/>
            <w:shd w:fill="DCE6F1" w:val="clear"/>
            <w:tcMar>
              <w:top w:type="dxa" w:w="80"/>
              <w:left w:type="dxa" w:w="100"/>
              <w:bottom w:type="dxa" w:w="80"/>
              <w:right w:type="dxa" w:w="100"/>
            </w:tcMar>
          </w:tcPr>
          <w:p>
            <w:r>
              <w:rPr>
                <w:b w:val="false"/>
                <w:bCs w:val="false"/>
                <w:i w:val="false"/>
                <w:iCs w:val="false"/>
                <w:sz w:val="19"/>
                <w:szCs w:val="19"/>
              </w:rPr>
              <w:t xml:space="preserve">82% credit automation (40/49); EUI within 5% of expert model</w:t>
            </w:r>
          </w:p>
        </w:tc>
      </w:tr>
      <w:tr>
        <w:tc>
          <w:tcPr>
            <w:tcW w:type="dxa" w:w="1550"/>
            <w:shd w:fill="FFFFFF" w:val="clear"/>
            <w:tcMar>
              <w:top w:type="dxa" w:w="80"/>
              <w:left w:type="dxa" w:w="100"/>
              <w:bottom w:type="dxa" w:w="80"/>
              <w:right w:type="dxa" w:w="100"/>
            </w:tcMar>
          </w:tcPr>
          <w:p>
            <w:r>
              <w:rPr>
                <w:b w:val="false"/>
                <w:bCs w:val="false"/>
                <w:i w:val="false"/>
                <w:iCs w:val="false"/>
                <w:sz w:val="19"/>
                <w:szCs w:val="19"/>
              </w:rPr>
              <w:t xml:space="preserve">OptAgent (2026)</w:t>
            </w:r>
          </w:p>
        </w:tc>
        <w:tc>
          <w:tcPr>
            <w:tcW w:type="dxa" w:w="1750"/>
            <w:shd w:fill="FFFFFF" w:val="clear"/>
            <w:tcMar>
              <w:top w:type="dxa" w:w="80"/>
              <w:left w:type="dxa" w:w="100"/>
              <w:bottom w:type="dxa" w:w="80"/>
              <w:right w:type="dxa" w:w="100"/>
            </w:tcMar>
          </w:tcPr>
          <w:p>
            <w:r>
              <w:rPr>
                <w:b w:val="false"/>
                <w:bCs w:val="false"/>
                <w:i w:val="false"/>
                <w:iCs w:val="false"/>
                <w:sz w:val="19"/>
                <w:szCs w:val="19"/>
              </w:rPr>
              <w:t xml:space="preserve">11 agents, 72 MCP tools for real-time operations</w:t>
            </w:r>
          </w:p>
        </w:tc>
        <w:tc>
          <w:tcPr>
            <w:tcW w:type="dxa" w:w="1000"/>
            <w:shd w:fill="FFFFFF" w:val="clear"/>
            <w:tcMar>
              <w:top w:type="dxa" w:w="80"/>
              <w:left w:type="dxa" w:w="100"/>
              <w:bottom w:type="dxa" w:w="80"/>
              <w:right w:type="dxa" w:w="100"/>
            </w:tcMar>
          </w:tcPr>
          <w:p>
            <w:r>
              <w:rPr>
                <w:b w:val="false"/>
                <w:bCs w:val="false"/>
                <w:i w:val="false"/>
                <w:iCs w:val="false"/>
                <w:sz w:val="19"/>
                <w:szCs w:val="19"/>
              </w:rPr>
              <w:t xml:space="preserve">Yes</w:t>
            </w:r>
          </w:p>
        </w:tc>
        <w:tc>
          <w:tcPr>
            <w:tcW w:type="dxa" w:w="110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155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2050"/>
            <w:shd w:fill="FFFFFF" w:val="clear"/>
            <w:tcMar>
              <w:top w:type="dxa" w:w="80"/>
              <w:left w:type="dxa" w:w="100"/>
              <w:bottom w:type="dxa" w:w="80"/>
              <w:right w:type="dxa" w:w="100"/>
            </w:tcMar>
          </w:tcPr>
          <w:p>
            <w:r>
              <w:rPr>
                <w:b w:val="false"/>
                <w:bCs w:val="false"/>
                <w:i w:val="false"/>
                <w:iCs w:val="false"/>
                <w:sz w:val="19"/>
                <w:szCs w:val="19"/>
              </w:rPr>
              <w:t xml:space="preserve">Scoped to operations/controls, not design-stage BEM</w:t>
            </w:r>
          </w:p>
        </w:tc>
      </w:tr>
      <w:tr>
        <w:tc>
          <w:tcPr>
            <w:tcW w:type="dxa" w:w="1550"/>
            <w:shd w:fill="DCE6F1" w:val="clear"/>
            <w:tcMar>
              <w:top w:type="dxa" w:w="80"/>
              <w:left w:type="dxa" w:w="100"/>
              <w:bottom w:type="dxa" w:w="80"/>
              <w:right w:type="dxa" w:w="100"/>
            </w:tcMar>
          </w:tcPr>
          <w:p>
            <w:r>
              <w:rPr>
                <w:b w:val="false"/>
                <w:bCs w:val="false"/>
                <w:i w:val="false"/>
                <w:iCs w:val="false"/>
                <w:sz w:val="19"/>
                <w:szCs w:val="19"/>
              </w:rPr>
              <w:t xml:space="preserve">ResStock-LLM</w:t>
            </w:r>
          </w:p>
        </w:tc>
        <w:tc>
          <w:tcPr>
            <w:tcW w:type="dxa" w:w="1750"/>
            <w:shd w:fill="DCE6F1" w:val="clear"/>
            <w:tcMar>
              <w:top w:type="dxa" w:w="80"/>
              <w:left w:type="dxa" w:w="100"/>
              <w:bottom w:type="dxa" w:w="80"/>
              <w:right w:type="dxa" w:w="100"/>
            </w:tcMar>
          </w:tcPr>
          <w:p>
            <w:r>
              <w:rPr>
                <w:b w:val="false"/>
                <w:bCs w:val="false"/>
                <w:i w:val="false"/>
                <w:iCs w:val="false"/>
                <w:sz w:val="19"/>
                <w:szCs w:val="19"/>
              </w:rPr>
              <w:t xml:space="preserve">Fine-tuned classifier + NREL ResStock database</w:t>
            </w:r>
          </w:p>
        </w:tc>
        <w:tc>
          <w:tcPr>
            <w:tcW w:type="dxa" w:w="1000"/>
            <w:shd w:fill="DCE6F1" w:val="clear"/>
            <w:tcMar>
              <w:top w:type="dxa" w:w="80"/>
              <w:left w:type="dxa" w:w="100"/>
              <w:bottom w:type="dxa" w:w="80"/>
              <w:right w:type="dxa" w:w="100"/>
            </w:tcMar>
          </w:tcPr>
          <w:p>
            <w:r>
              <w:rPr>
                <w:b w:val="false"/>
                <w:bCs w:val="false"/>
                <w:i w:val="false"/>
                <w:iCs w:val="false"/>
                <w:sz w:val="19"/>
                <w:szCs w:val="19"/>
              </w:rPr>
              <w:t xml:space="preserve">No</w:t>
            </w:r>
          </w:p>
        </w:tc>
        <w:tc>
          <w:tcPr>
            <w:tcW w:type="dxa" w:w="1100"/>
            <w:shd w:fill="DCE6F1" w:val="clear"/>
            <w:tcMar>
              <w:top w:type="dxa" w:w="80"/>
              <w:left w:type="dxa" w:w="100"/>
              <w:bottom w:type="dxa" w:w="80"/>
              <w:right w:type="dxa" w:w="100"/>
            </w:tcMar>
          </w:tcPr>
          <w:p>
            <w:r>
              <w:rPr>
                <w:b w:val="false"/>
                <w:bCs w:val="false"/>
                <w:i w:val="false"/>
                <w:iCs w:val="false"/>
                <w:sz w:val="19"/>
                <w:szCs w:val="19"/>
              </w:rPr>
              <w:t xml:space="preserve">No</w:t>
            </w:r>
          </w:p>
        </w:tc>
        <w:tc>
          <w:tcPr>
            <w:tcW w:type="dxa" w:w="1550"/>
            <w:shd w:fill="DCE6F1" w:val="clear"/>
            <w:tcMar>
              <w:top w:type="dxa" w:w="80"/>
              <w:left w:type="dxa" w:w="100"/>
              <w:bottom w:type="dxa" w:w="80"/>
              <w:right w:type="dxa" w:w="100"/>
            </w:tcMar>
          </w:tcPr>
          <w:p>
            <w:r>
              <w:rPr>
                <w:b w:val="false"/>
                <w:bCs w:val="false"/>
                <w:i w:val="false"/>
                <w:iCs w:val="false"/>
                <w:sz w:val="19"/>
                <w:szCs w:val="19"/>
              </w:rPr>
              <w:t xml:space="preserve">Partial (compliance reports)</w:t>
            </w:r>
          </w:p>
        </w:tc>
        <w:tc>
          <w:tcPr>
            <w:tcW w:type="dxa" w:w="2050"/>
            <w:shd w:fill="DCE6F1" w:val="clear"/>
            <w:tcMar>
              <w:top w:type="dxa" w:w="80"/>
              <w:left w:type="dxa" w:w="100"/>
              <w:bottom w:type="dxa" w:w="80"/>
              <w:right w:type="dxa" w:w="100"/>
            </w:tcMar>
          </w:tcPr>
          <w:p>
            <w:r>
              <w:rPr>
                <w:b w:val="false"/>
                <w:bCs w:val="false"/>
                <w:i w:val="false"/>
                <w:iCs w:val="false"/>
                <w:sz w:val="19"/>
                <w:szCs w:val="19"/>
              </w:rPr>
              <w:t xml:space="preserve">Retrofit target flagging at housing-stock scale</w:t>
            </w:r>
          </w:p>
        </w:tc>
      </w:tr>
      <w:tr>
        <w:tc>
          <w:tcPr>
            <w:tcW w:type="dxa" w:w="1550"/>
            <w:shd w:fill="FFFFFF" w:val="clear"/>
            <w:tcMar>
              <w:top w:type="dxa" w:w="80"/>
              <w:left w:type="dxa" w:w="100"/>
              <w:bottom w:type="dxa" w:w="80"/>
              <w:right w:type="dxa" w:w="100"/>
            </w:tcMar>
          </w:tcPr>
          <w:p>
            <w:r>
              <w:rPr>
                <w:b w:val="false"/>
                <w:bCs w:val="false"/>
                <w:i w:val="false"/>
                <w:iCs w:val="false"/>
                <w:sz w:val="19"/>
                <w:szCs w:val="19"/>
              </w:rPr>
              <w:t xml:space="preserve">LuminLab (2024)</w:t>
            </w:r>
          </w:p>
        </w:tc>
        <w:tc>
          <w:tcPr>
            <w:tcW w:type="dxa" w:w="1750"/>
            <w:shd w:fill="FFFFFF" w:val="clear"/>
            <w:tcMar>
              <w:top w:type="dxa" w:w="80"/>
              <w:left w:type="dxa" w:w="100"/>
              <w:bottom w:type="dxa" w:w="80"/>
              <w:right w:type="dxa" w:w="100"/>
            </w:tcMar>
          </w:tcPr>
          <w:p>
            <w:r>
              <w:rPr>
                <w:b w:val="false"/>
                <w:bCs w:val="false"/>
                <w:i w:val="false"/>
                <w:iCs w:val="false"/>
                <w:sz w:val="19"/>
                <w:szCs w:val="19"/>
              </w:rPr>
              <w:t xml:space="preserve">Chatbot + predictive energy model</w:t>
            </w:r>
          </w:p>
        </w:tc>
        <w:tc>
          <w:tcPr>
            <w:tcW w:type="dxa" w:w="100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110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1550"/>
            <w:shd w:fill="FFFFFF" w:val="clear"/>
            <w:tcMar>
              <w:top w:type="dxa" w:w="80"/>
              <w:left w:type="dxa" w:w="100"/>
              <w:bottom w:type="dxa" w:w="80"/>
              <w:right w:type="dxa" w:w="100"/>
            </w:tcMar>
          </w:tcPr>
          <w:p>
            <w:r>
              <w:rPr>
                <w:b w:val="false"/>
                <w:bCs w:val="false"/>
                <w:i w:val="false"/>
                <w:iCs w:val="false"/>
                <w:sz w:val="19"/>
                <w:szCs w:val="19"/>
              </w:rPr>
              <w:t xml:space="preserve">No</w:t>
            </w:r>
          </w:p>
        </w:tc>
        <w:tc>
          <w:tcPr>
            <w:tcW w:type="dxa" w:w="2050"/>
            <w:shd w:fill="FFFFFF" w:val="clear"/>
            <w:tcMar>
              <w:top w:type="dxa" w:w="80"/>
              <w:left w:type="dxa" w:w="100"/>
              <w:bottom w:type="dxa" w:w="80"/>
              <w:right w:type="dxa" w:w="100"/>
            </w:tcMar>
          </w:tcPr>
          <w:p>
            <w:r>
              <w:rPr>
                <w:b w:val="false"/>
                <w:bCs w:val="false"/>
                <w:i w:val="false"/>
                <w:iCs w:val="false"/>
                <w:sz w:val="19"/>
                <w:szCs w:val="19"/>
              </w:rPr>
              <w:t xml:space="preserve">Consumer-facing retrofit pathway suggestions</w:t>
            </w:r>
          </w:p>
        </w:tc>
      </w:tr>
    </w:tbl>
    <w:p>
      <w:pPr>
        <w:spacing w:before="300"/>
      </w:pPr>
    </w:p>
    <w:p>
      <w:pPr>
        <w:pStyle w:val="Heading2"/>
        <w:spacing w:after="150" w:before="300"/>
      </w:pPr>
      <w:r>
        <w:rPr>
          <w:b/>
          <w:bCs/>
          <w:color w:val="1F3864"/>
          <w:sz w:val="24"/>
          <w:szCs w:val="24"/>
        </w:rPr>
        <w:t xml:space="preserve">Paper-by-paper detail</w:t>
      </w:r>
    </w:p>
    <w:p>
      <w:pPr>
        <w:spacing w:after="100" w:before="200"/>
      </w:pPr>
      <w:r>
        <w:rPr>
          <w:b/>
          <w:bCs/>
          <w:sz w:val="21"/>
          <w:szCs w:val="21"/>
        </w:rPr>
        <w:t xml:space="preserve">1. MCP-enabled Agentic AI Workflow for Building Energy Modelling</w:t>
      </w:r>
    </w:p>
    <w:p>
      <w:pPr>
        <w:spacing w:after="150" w:line="300"/>
      </w:pPr>
      <w:r>
        <w:rPr>
          <w:i/>
          <w:iCs/>
          <w:sz w:val="21"/>
          <w:szCs w:val="21"/>
        </w:rPr>
        <w:t xml:space="preserve">Li, Zhang, Zhou, Hong (2026), Journal of Building Performance Simulation — direct sequel to the EnergyPlus-MCP paper, same LBNL authors.</w:t>
      </w:r>
    </w:p>
    <w:p>
      <w:pPr>
        <w:spacing w:after="120" w:line="300"/>
      </w:pPr>
      <w:r>
        <w:rPr>
          <w:b/>
          <w:bCs/>
          <w:sz w:val="21"/>
          <w:szCs w:val="21"/>
        </w:rPr>
        <w:t xml:space="preserve">Method: </w:t>
      </w:r>
      <w:r>
        <w:rPr>
          <w:sz w:val="21"/>
          <w:szCs w:val="21"/>
        </w:rPr>
        <w:t xml:space="preserve">Keeps the same 35-tool EnergyPlus-MCP server as the backend and adds a second interaction paradigm on top of the conversational one: a multi-agent orchestration layer with a planner, a model inspector, a simulation manager, and a named "calibration expert" agent. Agents hold state/memory across multi-step tasks and decide among themselves which MCP tools to call and in what order.</w:t>
      </w:r>
    </w:p>
    <w:p>
      <w:pPr>
        <w:spacing w:after="120" w:line="300"/>
      </w:pPr>
      <w:r>
        <w:rPr>
          <w:b/>
          <w:bCs/>
          <w:sz w:val="21"/>
          <w:szCs w:val="21"/>
        </w:rPr>
        <w:t xml:space="preserve">Workflow / Case study: </w:t>
      </w:r>
      <w:r>
        <w:rPr>
          <w:sz w:val="21"/>
          <w:szCs w:val="21"/>
        </w:rPr>
        <w:t xml:space="preserve">Tested on a residential building testbed with a non-linear workflow graph (branches and loops between inspection, editing, simulation, and results).</w:t>
      </w:r>
    </w:p>
    <w:p>
      <w:pPr>
        <w:spacing w:after="120" w:line="300"/>
      </w:pPr>
      <w:r>
        <w:rPr>
          <w:b/>
          <w:bCs/>
          <w:sz w:val="21"/>
          <w:szCs w:val="21"/>
        </w:rPr>
        <w:t xml:space="preserve">What they achieved: </w:t>
      </w:r>
      <w:r>
        <w:rPr>
          <w:sz w:val="21"/>
          <w:szCs w:val="21"/>
        </w:rPr>
        <w:t xml:space="preserve">Conversational mode cut inspection/modification tasks from 1-2 hours to under 15 minutes. The agentic mode automated full parametric analysis end-to-end, with an overall reported 80-90% time reduction across inspection, modification, and analysis tasks.</w:t>
      </w:r>
    </w:p>
    <w:p>
      <w:pPr>
        <w:spacing w:after="120" w:line="300"/>
      </w:pPr>
      <w:r>
        <w:rPr>
          <w:b/>
          <w:bCs/>
          <w:sz w:val="21"/>
          <w:szCs w:val="21"/>
        </w:rPr>
        <w:t xml:space="preserve">What they only mention / did NOT do (the gap): </w:t>
      </w:r>
      <w:r>
        <w:rPr>
          <w:sz w:val="21"/>
          <w:szCs w:val="21"/>
        </w:rPr>
        <w:t xml:space="preserve">The calibration expert agent is named and scoped in the architecture, but the paper's demonstrated use cases are inspection, editing, simulation, and sensitivity analysis - there is no worked calibration case study, and no sustainability/certification-scoring layer at all.</w:t>
      </w:r>
    </w:p>
    <w:p>
      <w:pPr>
        <w:pBdr>
          <w:bottom w:val="single" w:color="AAAAAA" w:sz="6" w:space="1"/>
        </w:pBdr>
        <w:spacing w:after="200" w:before="100"/>
      </w:pPr>
    </w:p>
    <w:p>
      <w:pPr>
        <w:spacing w:after="100" w:before="200"/>
      </w:pPr>
      <w:r>
        <w:rPr>
          <w:b/>
          <w:bCs/>
          <w:sz w:val="21"/>
          <w:szCs w:val="21"/>
        </w:rPr>
        <w:t xml:space="preserve">2. Data2BEM</w:t>
      </w:r>
    </w:p>
    <w:p>
      <w:pPr>
        <w:spacing w:after="150" w:line="300"/>
      </w:pPr>
      <w:r>
        <w:rPr>
          <w:i/>
          <w:iCs/>
          <w:sz w:val="21"/>
          <w:szCs w:val="21"/>
        </w:rPr>
        <w:t xml:space="preserve">Lu, Zheng, Langtry et al. (Cambridge + Zhejiang University), iScience, Oct 2025.</w:t>
      </w:r>
    </w:p>
    <w:p>
      <w:pPr>
        <w:spacing w:after="120" w:line="300"/>
      </w:pPr>
      <w:r>
        <w:rPr>
          <w:b/>
          <w:bCs/>
          <w:sz w:val="21"/>
          <w:szCs w:val="21"/>
        </w:rPr>
        <w:t xml:space="preserve">Method: </w:t>
      </w:r>
      <w:r>
        <w:rPr>
          <w:sz w:val="21"/>
          <w:szCs w:val="21"/>
        </w:rPr>
        <w:t xml:space="preserve">Multi-agent LLM framework, NOT built on MCP - a custom pipeline built around OpenStudio/EnergyPlus. Four sequential agent stages: (1) geometry modeling - extracts building geometry from architectural drawings/BIM, (2) parameter configuration - fills in envelope, HVAC, schedule parameters from specs, (3) model calibration - data-driven calibration against real sensor/meter data, (4) retrofit evaluation - edits the model to test a retrofit measure and reruns simulation. A separate "Reviewer" agent cross-checks each stage and triggers recovery on failure.</w:t>
      </w:r>
    </w:p>
    <w:p>
      <w:pPr>
        <w:spacing w:after="120" w:line="300"/>
      </w:pPr>
      <w:r>
        <w:rPr>
          <w:b/>
          <w:bCs/>
          <w:sz w:val="21"/>
          <w:szCs w:val="21"/>
        </w:rPr>
        <w:t xml:space="preserve">Workflow / Case study: </w:t>
      </w:r>
      <w:r>
        <w:rPr>
          <w:sz w:val="21"/>
          <w:szCs w:val="21"/>
        </w:rPr>
        <w:t xml:space="preserve">Real case study: a University of Cambridge office building. Tested electrifying heat (gas boilers to air-source heat pumps, COP 3.5) via a natural-language instruction; agents modified the model, reran it, and compared baseline vs retrofit. Benchmarked against a junior (6 months experience) and a senior (4+ years) human modeler doing the same task manually.</w:t>
      </w:r>
    </w:p>
    <w:p>
      <w:pPr>
        <w:spacing w:after="120" w:line="300"/>
      </w:pPr>
      <w:r>
        <w:rPr>
          <w:b/>
          <w:bCs/>
          <w:sz w:val="21"/>
          <w:szCs w:val="21"/>
        </w:rPr>
        <w:t xml:space="preserve">What they achieved: </w:t>
      </w:r>
      <w:r>
        <w:rPr>
          <w:sz w:val="21"/>
          <w:szCs w:val="21"/>
        </w:rPr>
        <w:t xml:space="preserve">Calibrated against real utility/sensor data to meet ASHRAE Guideline 14 accuracy benchmarks. The retrofit case predicted ~44% lower annual energy cost and ~5x lower carbon-tax exposure. Data2BEM completed the full task in 48 minutes vs 8-32 hours for the human modelers (&gt;90% time reduction).</w:t>
      </w:r>
    </w:p>
    <w:p>
      <w:pPr>
        <w:spacing w:after="120" w:line="300"/>
      </w:pPr>
      <w:r>
        <w:rPr>
          <w:b/>
          <w:bCs/>
          <w:sz w:val="21"/>
          <w:szCs w:val="21"/>
        </w:rPr>
        <w:t xml:space="preserve">What they only mention / did NOT do (the gap): </w:t>
      </w:r>
      <w:r>
        <w:rPr>
          <w:sz w:val="21"/>
          <w:szCs w:val="21"/>
        </w:rPr>
        <w:t xml:space="preserve">Strong on calibration and retrofit execution, but it is a bespoke pipeline, not an MCP tool server - not reusable/composable the way EnergyPlus-MCP is. No sustainability-certification component, and the calibration method used is fixed (not selected based on the dataset).</w:t>
      </w:r>
    </w:p>
    <w:p>
      <w:pPr>
        <w:pBdr>
          <w:bottom w:val="single" w:color="AAAAAA" w:sz="6" w:space="1"/>
        </w:pBdr>
        <w:spacing w:after="200" w:before="100"/>
      </w:pPr>
    </w:p>
    <w:p>
      <w:pPr>
        <w:spacing w:after="100" w:before="200"/>
      </w:pPr>
      <w:r>
        <w:rPr>
          <w:b/>
          <w:bCs/>
          <w:sz w:val="21"/>
          <w:szCs w:val="21"/>
        </w:rPr>
        <w:t xml:space="preserve">3. LEED Certification Automation Platform</w:t>
      </w:r>
    </w:p>
    <w:p>
      <w:pPr>
        <w:spacing w:after="150" w:line="300"/>
      </w:pPr>
      <w:r>
        <w:rPr>
          <w:i/>
          <w:iCs/>
          <w:sz w:val="21"/>
          <w:szCs w:val="21"/>
        </w:rPr>
        <w:t xml:space="preserve">Joo Yeol Lee (EverPoint Inc.), arXiv 2506.00888, 2025.</w:t>
      </w:r>
    </w:p>
    <w:p>
      <w:pPr>
        <w:spacing w:after="120" w:line="300"/>
      </w:pPr>
      <w:r>
        <w:rPr>
          <w:b/>
          <w:bCs/>
          <w:sz w:val="21"/>
          <w:szCs w:val="21"/>
        </w:rPr>
        <w:t xml:space="preserve">Method: </w:t>
      </w:r>
      <w:r>
        <w:rPr>
          <w:sz w:val="21"/>
          <w:szCs w:val="21"/>
        </w:rPr>
        <w:t xml:space="preserve">Not agentic or MCP-based - a monolithic desktop application (PySide6 UI) with a "Review Manager" orchestrator coordinating four modules: (a) an OpenCV/OCR pipeline that reads architectural drawings and material certificates (600 DPI rendering, adaptive thresholding, Canny edge detection, Korean+English OCR), (b) a rule-based LEED v4 Credit Analysis module, (c) an EnergyPlus-based energy modeling module that auto-generates IDFs from extracted BIM/HVAC/schedule data, and (d) a GIS-based module for transit/walkability credits. Reports are generated by a locally-hosted Gemma3 LLM with RAG over a LEED-credit knowledge base (FAISS vector search).</w:t>
      </w:r>
    </w:p>
    <w:p>
      <w:pPr>
        <w:spacing w:after="120" w:line="300"/>
      </w:pPr>
      <w:r>
        <w:rPr>
          <w:b/>
          <w:bCs/>
          <w:sz w:val="21"/>
          <w:szCs w:val="21"/>
        </w:rPr>
        <w:t xml:space="preserve">Workflow / Case study: </w:t>
      </w:r>
      <w:r>
        <w:rPr>
          <w:sz w:val="21"/>
          <w:szCs w:val="21"/>
        </w:rPr>
        <w:t xml:space="preserve">Real case study: a 6-story, 75,000 sq ft office building pursuing LEED v4 BD+C, evaluated against 49 achievable credits.</w:t>
      </w:r>
    </w:p>
    <w:p>
      <w:pPr>
        <w:spacing w:after="120" w:line="300"/>
      </w:pPr>
      <w:r>
        <w:rPr>
          <w:b/>
          <w:bCs/>
          <w:sz w:val="21"/>
          <w:szCs w:val="21"/>
        </w:rPr>
        <w:t xml:space="preserve">What they achieved: </w:t>
      </w:r>
      <w:r>
        <w:rPr>
          <w:sz w:val="21"/>
          <w:szCs w:val="21"/>
        </w:rPr>
        <w:t xml:space="preserve">82% automation coverage (40 of 49 credits automated); energy/water/materials/IEQ credits hit 90-95% automation; EnergyPlus EUI predictions within 5% of an experienced consultant's manual model; documentation time down 60-70% (energy modeling alone went from 2-3 weeks to under 4 hours).</w:t>
      </w:r>
    </w:p>
    <w:p>
      <w:pPr>
        <w:spacing w:after="120" w:line="300"/>
      </w:pPr>
      <w:r>
        <w:rPr>
          <w:b/>
          <w:bCs/>
          <w:sz w:val="21"/>
          <w:szCs w:val="21"/>
        </w:rPr>
        <w:t xml:space="preserve">What they only mention / did NOT do (the gap): </w:t>
      </w:r>
      <w:r>
        <w:rPr>
          <w:sz w:val="21"/>
          <w:szCs w:val="21"/>
        </w:rPr>
        <w:t xml:space="preserve">Closest existing work to the certification-mapping tool ideas, but it is a closed, single-purpose desktop tool with no standardized tool protocol - cannot be plugged into a different LLM client or extended without touching the core app. No calibration component at all.</w:t>
      </w:r>
    </w:p>
    <w:p>
      <w:pPr>
        <w:pBdr>
          <w:bottom w:val="single" w:color="AAAAAA" w:sz="6" w:space="1"/>
        </w:pBdr>
        <w:spacing w:after="200" w:before="100"/>
      </w:pPr>
    </w:p>
    <w:p>
      <w:pPr>
        <w:spacing w:after="100" w:before="200"/>
      </w:pPr>
      <w:r>
        <w:rPr>
          <w:b/>
          <w:bCs/>
          <w:sz w:val="21"/>
          <w:szCs w:val="21"/>
        </w:rPr>
        <w:t xml:space="preserve">4. OptAgent</w:t>
      </w:r>
    </w:p>
    <w:p>
      <w:pPr>
        <w:spacing w:after="150" w:line="300"/>
      </w:pPr>
      <w:r>
        <w:rPr>
          <w:i/>
          <w:iCs/>
          <w:sz w:val="21"/>
          <w:szCs w:val="21"/>
        </w:rPr>
        <w:t xml:space="preserve">arXiv preprint, 2026.</w:t>
      </w:r>
    </w:p>
    <w:p>
      <w:pPr>
        <w:spacing w:after="120" w:line="300"/>
      </w:pPr>
      <w:r>
        <w:rPr>
          <w:b/>
          <w:bCs/>
          <w:sz w:val="21"/>
          <w:szCs w:val="21"/>
        </w:rPr>
        <w:t xml:space="preserve">Method: </w:t>
      </w:r>
      <w:r>
        <w:rPr>
          <w:sz w:val="21"/>
          <w:szCs w:val="21"/>
        </w:rPr>
        <w:t xml:space="preserve">11 specialist agents coordinating across 72 MCP tools.</w:t>
      </w:r>
    </w:p>
    <w:p>
      <w:pPr>
        <w:spacing w:after="120" w:line="300"/>
      </w:pPr>
      <w:r>
        <w:rPr>
          <w:b/>
          <w:bCs/>
          <w:sz w:val="21"/>
          <w:szCs w:val="21"/>
        </w:rPr>
        <w:t xml:space="preserve">Workflow / Case study: </w:t>
      </w:r>
      <w:r>
        <w:rPr>
          <w:sz w:val="21"/>
          <w:szCs w:val="21"/>
        </w:rPr>
        <w:t xml:space="preserve">Scoped to real-time building operations and controls - HVAC control, distributed energy resources (DER), occupant comfort, demand flexibility. Benchmarked on roughly 4,000 runs for planning/tool-selection accuracy.</w:t>
      </w:r>
    </w:p>
    <w:p>
      <w:pPr>
        <w:spacing w:after="120" w:line="300"/>
      </w:pPr>
      <w:r>
        <w:rPr>
          <w:b/>
          <w:bCs/>
          <w:sz w:val="21"/>
          <w:szCs w:val="21"/>
        </w:rPr>
        <w:t xml:space="preserve">What they achieved: </w:t>
      </w:r>
      <w:r>
        <w:rPr>
          <w:sz w:val="21"/>
          <w:szCs w:val="21"/>
        </w:rPr>
        <w:t xml:space="preserve">Demonstrates that an MCP tool architecture scales to a large tool count (72 tools, 11 agents) with good tool-selection accuracy.</w:t>
      </w:r>
    </w:p>
    <w:p>
      <w:pPr>
        <w:spacing w:after="120" w:line="300"/>
      </w:pPr>
      <w:r>
        <w:rPr>
          <w:b/>
          <w:bCs/>
          <w:sz w:val="21"/>
          <w:szCs w:val="21"/>
        </w:rPr>
        <w:t xml:space="preserve">What they only mention / did NOT do (the gap): </w:t>
      </w:r>
      <w:r>
        <w:rPr>
          <w:sz w:val="21"/>
          <w:szCs w:val="21"/>
        </w:rPr>
        <w:t xml:space="preserve">Entirely operations-focused, not design-stage EnergyPlus modeling. No calibration, no sustainability/certification scoring - not directly comparable on those axes, but useful evidence that MCP scales well.</w:t>
      </w:r>
    </w:p>
    <w:p>
      <w:pPr>
        <w:pBdr>
          <w:bottom w:val="single" w:color="AAAAAA" w:sz="6" w:space="1"/>
        </w:pBdr>
        <w:spacing w:after="200" w:before="100"/>
      </w:pPr>
    </w:p>
    <w:p>
      <w:pPr>
        <w:spacing w:after="100" w:before="200"/>
      </w:pPr>
      <w:r>
        <w:rPr>
          <w:b/>
          <w:bCs/>
          <w:sz w:val="21"/>
          <w:szCs w:val="21"/>
        </w:rPr>
        <w:t xml:space="preserve">5. ResStock-LLM</w:t>
      </w:r>
    </w:p>
    <w:p>
      <w:pPr>
        <w:spacing w:after="150" w:line="300"/>
      </w:pPr>
      <w:r>
        <w:rPr>
          <w:i/>
          <w:iCs/>
          <w:sz w:val="21"/>
          <w:szCs w:val="21"/>
        </w:rPr>
        <w:t xml:space="preserve">Referenced in recent building-stock retrofit literature (2025-2026).</w:t>
      </w:r>
    </w:p>
    <w:p>
      <w:pPr>
        <w:spacing w:after="120" w:line="300"/>
      </w:pPr>
      <w:r>
        <w:rPr>
          <w:b/>
          <w:bCs/>
          <w:sz w:val="21"/>
          <w:szCs w:val="21"/>
        </w:rPr>
        <w:t xml:space="preserve">Method: </w:t>
      </w:r>
      <w:r>
        <w:rPr>
          <w:sz w:val="21"/>
          <w:szCs w:val="21"/>
        </w:rPr>
        <w:t xml:space="preserve">Chains a fine-tuned building-efficiency classifier to NREL's ResStock national housing-stock database.</w:t>
      </w:r>
    </w:p>
    <w:p>
      <w:pPr>
        <w:spacing w:after="120" w:line="300"/>
      </w:pPr>
      <w:r>
        <w:rPr>
          <w:b/>
          <w:bCs/>
          <w:sz w:val="21"/>
          <w:szCs w:val="21"/>
        </w:rPr>
        <w:t xml:space="preserve">Workflow / Case study: </w:t>
      </w:r>
      <w:r>
        <w:rPr>
          <w:sz w:val="21"/>
          <w:szCs w:val="21"/>
        </w:rPr>
        <w:t xml:space="preserve">Applied at housing-stock scale (many buildings at once) rather than single-building analysis.</w:t>
      </w:r>
    </w:p>
    <w:p>
      <w:pPr>
        <w:spacing w:after="120" w:line="300"/>
      </w:pPr>
      <w:r>
        <w:rPr>
          <w:b/>
          <w:bCs/>
          <w:sz w:val="21"/>
          <w:szCs w:val="21"/>
        </w:rPr>
        <w:t xml:space="preserve">What they achieved: </w:t>
      </w:r>
      <w:r>
        <w:rPr>
          <w:sz w:val="21"/>
          <w:szCs w:val="21"/>
        </w:rPr>
        <w:t xml:space="preserve">Flags retrofit targets across a housing stock and auto-drafts compliance reports.</w:t>
      </w:r>
    </w:p>
    <w:p>
      <w:pPr>
        <w:spacing w:after="120" w:line="300"/>
      </w:pPr>
      <w:r>
        <w:rPr>
          <w:b/>
          <w:bCs/>
          <w:sz w:val="21"/>
          <w:szCs w:val="21"/>
        </w:rPr>
        <w:t xml:space="preserve">What they only mention / did NOT do (the gap): </w:t>
      </w:r>
      <w:r>
        <w:rPr>
          <w:sz w:val="21"/>
          <w:szCs w:val="21"/>
        </w:rPr>
        <w:t xml:space="preserve">No EnergyPlus-level calibration, no MCP architecture, no single-building certification scoring - operates at a different scale/granularity than this project.</w:t>
      </w:r>
    </w:p>
    <w:p>
      <w:pPr>
        <w:pBdr>
          <w:bottom w:val="single" w:color="AAAAAA" w:sz="6" w:space="1"/>
        </w:pBdr>
        <w:spacing w:after="200" w:before="100"/>
      </w:pPr>
    </w:p>
    <w:p>
      <w:pPr>
        <w:spacing w:after="100" w:before="200"/>
      </w:pPr>
      <w:r>
        <w:rPr>
          <w:b/>
          <w:bCs/>
          <w:sz w:val="21"/>
          <w:szCs w:val="21"/>
        </w:rPr>
        <w:t xml:space="preserve">6. LuminLab</w:t>
      </w:r>
    </w:p>
    <w:p>
      <w:pPr>
        <w:spacing w:after="150" w:line="300"/>
      </w:pPr>
      <w:r>
        <w:rPr>
          <w:i/>
          <w:iCs/>
          <w:sz w:val="21"/>
          <w:szCs w:val="21"/>
        </w:rPr>
        <w:t xml:space="preserve">PLEA 2024 conference paper (Maynooth University / Trinity College Dublin).</w:t>
      </w:r>
    </w:p>
    <w:p>
      <w:pPr>
        <w:spacing w:after="120" w:line="300"/>
      </w:pPr>
      <w:r>
        <w:rPr>
          <w:b/>
          <w:bCs/>
          <w:sz w:val="21"/>
          <w:szCs w:val="21"/>
        </w:rPr>
        <w:t xml:space="preserve">Method: </w:t>
      </w:r>
      <w:r>
        <w:rPr>
          <w:sz w:val="21"/>
          <w:szCs w:val="21"/>
        </w:rPr>
        <w:t xml:space="preserve">Consumer-facing chatbot paired with a predictive energy model.</w:t>
      </w:r>
    </w:p>
    <w:p>
      <w:pPr>
        <w:spacing w:after="120" w:line="300"/>
      </w:pPr>
      <w:r>
        <w:rPr>
          <w:b/>
          <w:bCs/>
          <w:sz w:val="21"/>
          <w:szCs w:val="21"/>
        </w:rPr>
        <w:t xml:space="preserve">Workflow / Case study: </w:t>
      </w:r>
      <w:r>
        <w:rPr>
          <w:sz w:val="21"/>
          <w:szCs w:val="21"/>
        </w:rPr>
        <w:t xml:space="preserve">Aimed at homeowners exploring retrofit options through conversation.</w:t>
      </w:r>
    </w:p>
    <w:p>
      <w:pPr>
        <w:spacing w:after="120" w:line="300"/>
      </w:pPr>
      <w:r>
        <w:rPr>
          <w:b/>
          <w:bCs/>
          <w:sz w:val="21"/>
          <w:szCs w:val="21"/>
        </w:rPr>
        <w:t xml:space="preserve">What they achieved: </w:t>
      </w:r>
      <w:r>
        <w:rPr>
          <w:sz w:val="21"/>
          <w:szCs w:val="21"/>
        </w:rPr>
        <w:t xml:space="preserve">Produces retrofit pathway recommendations for individual homeowners.</w:t>
      </w:r>
    </w:p>
    <w:p>
      <w:pPr>
        <w:spacing w:after="120" w:line="300"/>
      </w:pPr>
      <w:r>
        <w:rPr>
          <w:b/>
          <w:bCs/>
          <w:sz w:val="21"/>
          <w:szCs w:val="21"/>
        </w:rPr>
        <w:t xml:space="preserve">What they only mention / did NOT do (the gap): </w:t>
      </w:r>
      <w:r>
        <w:rPr>
          <w:sz w:val="21"/>
          <w:szCs w:val="21"/>
        </w:rPr>
        <w:t xml:space="preserve">Not a research/simulation tool - no EnergyPlus integration at model-detail level, no calibration, no MCP, no certification scoring.</w:t>
      </w:r>
    </w:p>
    <w:p>
      <w:pPr>
        <w:pBdr>
          <w:bottom w:val="single" w:color="AAAAAA" w:sz="6" w:space="1"/>
        </w:pBdr>
        <w:spacing w:after="200" w:before="100"/>
      </w:pPr>
    </w:p>
    <w:p>
      <w:pPr>
        <w:pStyle w:val="Heading2"/>
        <w:spacing w:after="150" w:before="300"/>
      </w:pPr>
      <w:r>
        <w:rPr>
          <w:b/>
          <w:bCs/>
          <w:color w:val="1F3864"/>
          <w:sz w:val="24"/>
          <w:szCs w:val="24"/>
        </w:rPr>
        <w:t xml:space="preserve">Where the gap sits</w:t>
      </w:r>
    </w:p>
    <w:p>
      <w:pPr>
        <w:spacing w:after="150" w:line="300"/>
      </w:pPr>
      <w:r>
        <w:rPr>
          <w:i w:val="false"/>
          <w:iCs w:val="false"/>
          <w:sz w:val="21"/>
          <w:szCs w:val="21"/>
        </w:rPr>
        <w:t xml:space="preserve">The 2026 LBNL sequel has an MCP architecture and a named calibration agent slot but no working calibration case study and no sustainability layer. Data2BEM has real calibration and retrofit execution but is not MCP-based and does not select between calibration methods. The LEED platform has real certification automation but is not MCP-based and is not agentic. No existing work combines (a) an MCP tool architecture, (b) EnergyPlus-based calibration with method selection, and (c) sustainability/certification scoring in one open framework.</w:t>
      </w:r>
    </w:p>
    <w:p>
      <w:pPr>
        <w:pStyle w:val="Heading1"/>
        <w:spacing w:after="200" w:before="400"/>
      </w:pPr>
      <w:r>
        <w:rPr>
          <w:b/>
          <w:bCs/>
          <w:color w:val="1F3864"/>
          <w:sz w:val="30"/>
          <w:szCs w:val="30"/>
        </w:rPr>
        <w:t xml:space="preserve">Part 2 — Calibration Method Recommendation Tool</w:t>
      </w:r>
    </w:p>
    <w:p>
      <w:pPr>
        <w:spacing w:after="150" w:line="300"/>
      </w:pPr>
      <w:r>
        <w:rPr>
          <w:i w:val="false"/>
          <w:iCs w:val="false"/>
          <w:sz w:val="21"/>
          <w:szCs w:val="21"/>
        </w:rPr>
        <w:t xml:space="preserve">Proposed as a new tool category within the EnergyPlus-MCP architecture, alongside the existing five (Server Management, Model Config &amp; Loading, Model Inspection, Model Modification, Simulation &amp; Results).</w:t>
      </w:r>
    </w:p>
    <w:p>
      <w:pPr>
        <w:pStyle w:val="Heading2"/>
        <w:spacing w:after="150" w:before="300"/>
      </w:pPr>
      <w:r>
        <w:rPr>
          <w:b/>
          <w:bCs/>
          <w:color w:val="1F3864"/>
          <w:sz w:val="24"/>
          <w:szCs w:val="24"/>
        </w:rPr>
        <w:t xml:space="preserve">How it works, in plain terms</w:t>
      </w:r>
    </w:p>
    <w:p>
      <w:pPr>
        <w:pStyle w:val="ListParagraph"/>
        <w:numPr>
          <w:ilvl w:val="0"/>
          <w:numId w:val="2"/>
        </w:numPr>
        <w:spacing w:after="80"/>
      </w:pPr>
      <w:r>
        <w:rPr>
          <w:sz w:val="21"/>
          <w:szCs w:val="21"/>
        </w:rPr>
        <w:t xml:space="preserve">The user (or another MCP tool) provides details about their dataset and building model.</w:t>
      </w:r>
    </w:p>
    <w:p>
      <w:pPr>
        <w:pStyle w:val="ListParagraph"/>
        <w:numPr>
          <w:ilvl w:val="0"/>
          <w:numId w:val="2"/>
        </w:numPr>
        <w:spacing w:after="80"/>
      </w:pPr>
      <w:r>
        <w:rPr>
          <w:sz w:val="21"/>
          <w:szCs w:val="21"/>
        </w:rPr>
        <w:t xml:space="preserve">The tool automatically pulls additional building complexity details from the model itself, using EnergyPlus-MCP's existing inspection tools (list_zones, get_materials, inspect_schedules) - the user does not have to count parameters manually.</w:t>
      </w:r>
    </w:p>
    <w:p>
      <w:pPr>
        <w:pStyle w:val="ListParagraph"/>
        <w:numPr>
          <w:ilvl w:val="0"/>
          <w:numId w:val="2"/>
        </w:numPr>
        <w:spacing w:after="80"/>
      </w:pPr>
      <w:r>
        <w:rPr>
          <w:sz w:val="21"/>
          <w:szCs w:val="21"/>
        </w:rPr>
        <w:t xml:space="preserve">A rule-based decision engine scores each candidate calibration method (Bayesian Optimization, Genetic Algorithm, EnKF, ASHRAE GL14 pattern-based, Fonseca Emulate-then-Calibrate) against the inputs.</w:t>
      </w:r>
    </w:p>
    <w:p>
      <w:pPr>
        <w:pStyle w:val="ListParagraph"/>
        <w:numPr>
          <w:ilvl w:val="0"/>
          <w:numId w:val="2"/>
        </w:numPr>
        <w:spacing w:after="80"/>
      </w:pPr>
      <w:r>
        <w:rPr>
          <w:sz w:val="21"/>
          <w:szCs w:val="21"/>
        </w:rPr>
        <w:t xml:space="preserve">The tool returns a ranked list with a plain-language justification for each method, plus a top recommendation.</w:t>
      </w:r>
    </w:p>
    <w:p>
      <w:pPr>
        <w:pStyle w:val="ListParagraph"/>
        <w:numPr>
          <w:ilvl w:val="0"/>
          <w:numId w:val="2"/>
        </w:numPr>
        <w:spacing w:after="80"/>
      </w:pPr>
      <w:r>
        <w:rPr>
          <w:sz w:val="21"/>
          <w:szCs w:val="21"/>
        </w:rPr>
        <w:t xml:space="preserve">The recommendation then feeds directly into a second tool, run_calibration, which executes the chosen method.</w:t>
      </w:r>
    </w:p>
    <w:p>
      <w:pPr>
        <w:pStyle w:val="Heading2"/>
        <w:spacing w:after="150" w:before="300"/>
      </w:pPr>
      <w:r>
        <w:rPr>
          <w:b/>
          <w:bCs/>
          <w:color w:val="1F3864"/>
          <w:sz w:val="24"/>
          <w:szCs w:val="24"/>
        </w:rPr>
        <w:t xml:space="preserve">Inputs the tool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3500"/>
      </w:tblGrid>
      <w:tr>
        <w:trPr>
          <w:tblHeader/>
        </w:trPr>
        <w:tc>
          <w:tcPr>
            <w:tcW w:type="dxa" w:w="2200"/>
            <w:shd w:fill="1F3864" w:val="clear"/>
            <w:tcMar>
              <w:top w:type="dxa" w:w="80"/>
              <w:left w:type="dxa" w:w="100"/>
              <w:bottom w:type="dxa" w:w="80"/>
              <w:right w:type="dxa" w:w="100"/>
            </w:tcMar>
          </w:tcPr>
          <w:p>
            <w:r>
              <w:rPr>
                <w:b/>
                <w:bCs/>
                <w:i w:val="false"/>
                <w:iCs w:val="false"/>
                <w:color w:val="FFFFFF"/>
                <w:sz w:val="19"/>
                <w:szCs w:val="19"/>
              </w:rPr>
              <w:t xml:space="preserve">Input category</w:t>
            </w:r>
          </w:p>
        </w:tc>
        <w:tc>
          <w:tcPr>
            <w:tcW w:type="dxa" w:w="2300"/>
            <w:shd w:fill="1F3864" w:val="clear"/>
            <w:tcMar>
              <w:top w:type="dxa" w:w="80"/>
              <w:left w:type="dxa" w:w="100"/>
              <w:bottom w:type="dxa" w:w="80"/>
              <w:right w:type="dxa" w:w="100"/>
            </w:tcMar>
          </w:tcPr>
          <w:p>
            <w:r>
              <w:rPr>
                <w:b/>
                <w:bCs/>
                <w:i w:val="false"/>
                <w:iCs w:val="false"/>
                <w:color w:val="FFFFFF"/>
                <w:sz w:val="19"/>
                <w:szCs w:val="19"/>
              </w:rPr>
              <w:t xml:space="preserve">What it captures</w:t>
            </w:r>
          </w:p>
        </w:tc>
        <w:tc>
          <w:tcPr>
            <w:tcW w:type="dxa" w:w="3500"/>
            <w:shd w:fill="1F3864" w:val="clear"/>
            <w:tcMar>
              <w:top w:type="dxa" w:w="80"/>
              <w:left w:type="dxa" w:w="100"/>
              <w:bottom w:type="dxa" w:w="80"/>
              <w:right w:type="dxa" w:w="100"/>
            </w:tcMar>
          </w:tcPr>
          <w:p>
            <w:r>
              <w:rPr>
                <w:b/>
                <w:bCs/>
                <w:i w:val="false"/>
                <w:iCs w:val="false"/>
                <w:color w:val="FFFFFF"/>
                <w:sz w:val="19"/>
                <w:szCs w:val="19"/>
              </w:rPr>
              <w:t xml:space="preserve">Example values</w:t>
            </w:r>
          </w:p>
        </w:tc>
      </w:tr>
      <w:tr>
        <w:tc>
          <w:tcPr>
            <w:tcW w:type="dxa" w:w="2200"/>
            <w:shd w:fill="FFFFFF" w:val="clear"/>
            <w:tcMar>
              <w:top w:type="dxa" w:w="80"/>
              <w:left w:type="dxa" w:w="100"/>
              <w:bottom w:type="dxa" w:w="80"/>
              <w:right w:type="dxa" w:w="100"/>
            </w:tcMar>
          </w:tcPr>
          <w:p>
            <w:r>
              <w:rPr>
                <w:b w:val="false"/>
                <w:bCs w:val="false"/>
                <w:i w:val="false"/>
                <w:iCs w:val="false"/>
                <w:sz w:val="19"/>
                <w:szCs w:val="19"/>
              </w:rPr>
              <w:t xml:space="preserve">Data profile</w:t>
            </w:r>
          </w:p>
        </w:tc>
        <w:tc>
          <w:tcPr>
            <w:tcW w:type="dxa" w:w="2300"/>
            <w:shd w:fill="FFFFFF" w:val="clear"/>
            <w:tcMar>
              <w:top w:type="dxa" w:w="80"/>
              <w:left w:type="dxa" w:w="100"/>
              <w:bottom w:type="dxa" w:w="80"/>
              <w:right w:type="dxa" w:w="100"/>
            </w:tcMar>
          </w:tcPr>
          <w:p>
            <w:r>
              <w:rPr>
                <w:b w:val="false"/>
                <w:bCs w:val="false"/>
                <w:i w:val="false"/>
                <w:iCs w:val="false"/>
                <w:sz w:val="19"/>
                <w:szCs w:val="19"/>
              </w:rPr>
              <w:t xml:space="preserve">Where the measured data comes from, how fine-grained it is, and how much of it exists</w:t>
            </w:r>
          </w:p>
        </w:tc>
        <w:tc>
          <w:tcPr>
            <w:tcW w:type="dxa" w:w="3500"/>
            <w:shd w:fill="FFFFFF" w:val="clear"/>
            <w:tcMar>
              <w:top w:type="dxa" w:w="80"/>
              <w:left w:type="dxa" w:w="100"/>
              <w:bottom w:type="dxa" w:w="80"/>
              <w:right w:type="dxa" w:w="100"/>
            </w:tcMar>
          </w:tcPr>
          <w:p>
            <w:r>
              <w:rPr>
                <w:b w:val="false"/>
                <w:bCs w:val="false"/>
                <w:i w:val="false"/>
                <w:iCs w:val="false"/>
                <w:sz w:val="19"/>
                <w:szCs w:val="19"/>
              </w:rPr>
              <w:t xml:space="preserve">Source: utility bill / BMS sensor / sub-meter / synthetic. Granularity: monthly / daily / hourly / sub-hourly. Duration: 12 months. Completeness: 92%</w:t>
            </w:r>
          </w:p>
        </w:tc>
      </w:tr>
      <w:tr>
        <w:tc>
          <w:tcPr>
            <w:tcW w:type="dxa" w:w="2200"/>
            <w:shd w:fill="DCE6F1" w:val="clear"/>
            <w:tcMar>
              <w:top w:type="dxa" w:w="80"/>
              <w:left w:type="dxa" w:w="100"/>
              <w:bottom w:type="dxa" w:w="80"/>
              <w:right w:type="dxa" w:w="100"/>
            </w:tcMar>
          </w:tcPr>
          <w:p>
            <w:r>
              <w:rPr>
                <w:b w:val="false"/>
                <w:bCs w:val="false"/>
                <w:i w:val="false"/>
                <w:iCs w:val="false"/>
                <w:sz w:val="19"/>
                <w:szCs w:val="19"/>
              </w:rPr>
              <w:t xml:space="preserve">Model context</w:t>
            </w:r>
          </w:p>
        </w:tc>
        <w:tc>
          <w:tcPr>
            <w:tcW w:type="dxa" w:w="2300"/>
            <w:shd w:fill="DCE6F1" w:val="clear"/>
            <w:tcMar>
              <w:top w:type="dxa" w:w="80"/>
              <w:left w:type="dxa" w:w="100"/>
              <w:bottom w:type="dxa" w:w="80"/>
              <w:right w:type="dxa" w:w="100"/>
            </w:tcMar>
          </w:tcPr>
          <w:p>
            <w:r>
              <w:rPr>
                <w:b w:val="false"/>
                <w:bCs w:val="false"/>
                <w:i w:val="false"/>
                <w:iCs w:val="false"/>
                <w:sz w:val="19"/>
                <w:szCs w:val="19"/>
              </w:rPr>
              <w:t xml:space="preserve">How complex the building model is - pulled automatically from the model using existing inspection tools, not re-typed by the user</w:t>
            </w:r>
          </w:p>
        </w:tc>
        <w:tc>
          <w:tcPr>
            <w:tcW w:type="dxa" w:w="3500"/>
            <w:shd w:fill="DCE6F1" w:val="clear"/>
            <w:tcMar>
              <w:top w:type="dxa" w:w="80"/>
              <w:left w:type="dxa" w:w="100"/>
              <w:bottom w:type="dxa" w:w="80"/>
              <w:right w:type="dxa" w:w="100"/>
            </w:tcMar>
          </w:tcPr>
          <w:p>
            <w:r>
              <w:rPr>
                <w:b w:val="false"/>
                <w:bCs w:val="false"/>
                <w:i w:val="false"/>
                <w:iCs w:val="false"/>
                <w:sz w:val="19"/>
                <w:szCs w:val="19"/>
              </w:rPr>
              <w:t xml:space="preserve">Number of zones: 5. Number of free calibration parameters: 12. Parameter types: continuous / discrete. Auto-detected via list_zones, get_materials, inspect_schedules</w:t>
            </w:r>
          </w:p>
        </w:tc>
      </w:tr>
      <w:tr>
        <w:tc>
          <w:tcPr>
            <w:tcW w:type="dxa" w:w="2200"/>
            <w:shd w:fill="FFFFFF" w:val="clear"/>
            <w:tcMar>
              <w:top w:type="dxa" w:w="80"/>
              <w:left w:type="dxa" w:w="100"/>
              <w:bottom w:type="dxa" w:w="80"/>
              <w:right w:type="dxa" w:w="100"/>
            </w:tcMar>
          </w:tcPr>
          <w:p>
            <w:r>
              <w:rPr>
                <w:b w:val="false"/>
                <w:bCs w:val="false"/>
                <w:i w:val="false"/>
                <w:iCs w:val="false"/>
                <w:sz w:val="19"/>
                <w:szCs w:val="19"/>
              </w:rPr>
              <w:t xml:space="preserve">Compute budget</w:t>
            </w:r>
          </w:p>
        </w:tc>
        <w:tc>
          <w:tcPr>
            <w:tcW w:type="dxa" w:w="2300"/>
            <w:shd w:fill="FFFFFF" w:val="clear"/>
            <w:tcMar>
              <w:top w:type="dxa" w:w="80"/>
              <w:left w:type="dxa" w:w="100"/>
              <w:bottom w:type="dxa" w:w="80"/>
              <w:right w:type="dxa" w:w="100"/>
            </w:tcMar>
          </w:tcPr>
          <w:p>
            <w:r>
              <w:rPr>
                <w:b w:val="false"/>
                <w:bCs w:val="false"/>
                <w:i w:val="false"/>
                <w:iCs w:val="false"/>
                <w:sz w:val="19"/>
                <w:szCs w:val="19"/>
              </w:rPr>
              <w:t xml:space="preserve">How many EnergyPlus runs and how much time the user can afford</w:t>
            </w:r>
          </w:p>
        </w:tc>
        <w:tc>
          <w:tcPr>
            <w:tcW w:type="dxa" w:w="3500"/>
            <w:shd w:fill="FFFFFF" w:val="clear"/>
            <w:tcMar>
              <w:top w:type="dxa" w:w="80"/>
              <w:left w:type="dxa" w:w="100"/>
              <w:bottom w:type="dxa" w:w="80"/>
              <w:right w:type="dxa" w:w="100"/>
            </w:tcMar>
          </w:tcPr>
          <w:p>
            <w:r>
              <w:rPr>
                <w:b w:val="false"/>
                <w:bCs w:val="false"/>
                <w:i w:val="false"/>
                <w:iCs w:val="false"/>
                <w:sz w:val="19"/>
                <w:szCs w:val="19"/>
              </w:rPr>
              <w:t xml:space="preserve">Max simulation runs: 200. Max wall-clock time: 6 hours. Parallel execution: yes/no</w:t>
            </w:r>
          </w:p>
        </w:tc>
      </w:tr>
      <w:tr>
        <w:tc>
          <w:tcPr>
            <w:tcW w:type="dxa" w:w="2200"/>
            <w:shd w:fill="DCE6F1" w:val="clear"/>
            <w:tcMar>
              <w:top w:type="dxa" w:w="80"/>
              <w:left w:type="dxa" w:w="100"/>
              <w:bottom w:type="dxa" w:w="80"/>
              <w:right w:type="dxa" w:w="100"/>
            </w:tcMar>
          </w:tcPr>
          <w:p>
            <w:r>
              <w:rPr>
                <w:b w:val="false"/>
                <w:bCs w:val="false"/>
                <w:i w:val="false"/>
                <w:iCs w:val="false"/>
                <w:sz w:val="19"/>
                <w:szCs w:val="19"/>
              </w:rPr>
              <w:t xml:space="preserve">Use case</w:t>
            </w:r>
          </w:p>
        </w:tc>
        <w:tc>
          <w:tcPr>
            <w:tcW w:type="dxa" w:w="2300"/>
            <w:shd w:fill="DCE6F1" w:val="clear"/>
            <w:tcMar>
              <w:top w:type="dxa" w:w="80"/>
              <w:left w:type="dxa" w:w="100"/>
              <w:bottom w:type="dxa" w:w="80"/>
              <w:right w:type="dxa" w:w="100"/>
            </w:tcMar>
          </w:tcPr>
          <w:p>
            <w:r>
              <w:rPr>
                <w:b w:val="false"/>
                <w:bCs w:val="false"/>
                <w:i w:val="false"/>
                <w:iCs w:val="false"/>
                <w:sz w:val="19"/>
                <w:szCs w:val="19"/>
              </w:rPr>
              <w:t xml:space="preserve">What the calibrated model will be used for, and what accuracy it must meet</w:t>
            </w:r>
          </w:p>
        </w:tc>
        <w:tc>
          <w:tcPr>
            <w:tcW w:type="dxa" w:w="3500"/>
            <w:shd w:fill="DCE6F1" w:val="clear"/>
            <w:tcMar>
              <w:top w:type="dxa" w:w="80"/>
              <w:left w:type="dxa" w:w="100"/>
              <w:bottom w:type="dxa" w:w="80"/>
              <w:right w:type="dxa" w:w="100"/>
            </w:tcMar>
          </w:tcPr>
          <w:p>
            <w:r>
              <w:rPr>
                <w:b w:val="false"/>
                <w:bCs w:val="false"/>
                <w:i w:val="false"/>
                <w:iCs w:val="false"/>
                <w:sz w:val="19"/>
                <w:szCs w:val="19"/>
              </w:rPr>
              <w:t xml:space="preserve">Purpose: design-stage report / retrofit verification / FDD-digital twin / research-grade. Recurring: yes/no. Accuracy target: ASHRAE GL14 (CV(RMSE) &lt;= 15%, NMBE &lt;= 5%)</w:t>
            </w:r>
          </w:p>
        </w:tc>
      </w:tr>
    </w:tbl>
    <w:p>
      <w:pPr>
        <w:spacing w:before="300"/>
      </w:pPr>
    </w:p>
    <w:p>
      <w:pPr>
        <w:pStyle w:val="Heading2"/>
        <w:spacing w:after="150" w:before="300"/>
      </w:pPr>
      <w:r>
        <w:rPr>
          <w:b/>
          <w:bCs/>
          <w:color w:val="1F3864"/>
          <w:sz w:val="24"/>
          <w:szCs w:val="24"/>
        </w:rPr>
        <w:t xml:space="preserve">What the tool returns (example)</w:t>
      </w:r>
    </w:p>
    <w:p>
      <w:pPr>
        <w:spacing w:after="150" w:line="300"/>
      </w:pPr>
      <w:r>
        <w:rPr>
          <w:i w:val="false"/>
          <w:iCs w:val="false"/>
          <w:sz w:val="21"/>
          <w:szCs w:val="21"/>
        </w:rPr>
        <w:t xml:space="preserve">Example scenario: hourly BMS sensor data, 12 months, 92% complete; 5 zones with 12 free calibration parameters; budget of 200 simulation runs / 6 hours; design-stage report targeting ASHRAE GL14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4100"/>
        <w:gridCol w:w="800"/>
      </w:tblGrid>
      <w:tr>
        <w:trPr>
          <w:tblHeader/>
        </w:trPr>
        <w:tc>
          <w:tcPr>
            <w:tcW w:type="dxa" w:w="1800"/>
            <w:shd w:fill="1F3864" w:val="clear"/>
            <w:tcMar>
              <w:top w:type="dxa" w:w="80"/>
              <w:left w:type="dxa" w:w="100"/>
              <w:bottom w:type="dxa" w:w="80"/>
              <w:right w:type="dxa" w:w="100"/>
            </w:tcMar>
          </w:tcPr>
          <w:p>
            <w:r>
              <w:rPr>
                <w:b/>
                <w:bCs/>
                <w:i w:val="false"/>
                <w:iCs w:val="false"/>
                <w:color w:val="FFFFFF"/>
                <w:sz w:val="19"/>
                <w:szCs w:val="19"/>
              </w:rPr>
              <w:t xml:space="preserve">Method</w:t>
            </w:r>
          </w:p>
        </w:tc>
        <w:tc>
          <w:tcPr>
            <w:tcW w:type="dxa" w:w="1300"/>
            <w:shd w:fill="1F3864" w:val="clear"/>
            <w:tcMar>
              <w:top w:type="dxa" w:w="80"/>
              <w:left w:type="dxa" w:w="100"/>
              <w:bottom w:type="dxa" w:w="80"/>
              <w:right w:type="dxa" w:w="100"/>
            </w:tcMar>
          </w:tcPr>
          <w:p>
            <w:r>
              <w:rPr>
                <w:b/>
                <w:bCs/>
                <w:i w:val="false"/>
                <w:iCs w:val="false"/>
                <w:color w:val="FFFFFF"/>
                <w:sz w:val="19"/>
                <w:szCs w:val="19"/>
              </w:rPr>
              <w:t xml:space="preserve">Fit score</w:t>
            </w:r>
          </w:p>
        </w:tc>
        <w:tc>
          <w:tcPr>
            <w:tcW w:type="dxa" w:w="4100"/>
            <w:shd w:fill="1F3864" w:val="clear"/>
            <w:tcMar>
              <w:top w:type="dxa" w:w="80"/>
              <w:left w:type="dxa" w:w="100"/>
              <w:bottom w:type="dxa" w:w="80"/>
              <w:right w:type="dxa" w:w="100"/>
            </w:tcMar>
          </w:tcPr>
          <w:p>
            <w:r>
              <w:rPr>
                <w:b/>
                <w:bCs/>
                <w:i w:val="false"/>
                <w:iCs w:val="false"/>
                <w:color w:val="FFFFFF"/>
                <w:sz w:val="19"/>
                <w:szCs w:val="19"/>
              </w:rPr>
              <w:t xml:space="preserve">Why (plain-language justification)</w:t>
            </w:r>
          </w:p>
        </w:tc>
        <w:tc>
          <w:tcPr>
            <w:tcW w:type="dxa" w:w="800"/>
            <w:shd w:fill="1F3864" w:val="clear"/>
            <w:tcMar>
              <w:top w:type="dxa" w:w="80"/>
              <w:left w:type="dxa" w:w="100"/>
              <w:bottom w:type="dxa" w:w="80"/>
              <w:right w:type="dxa" w:w="100"/>
            </w:tcMar>
          </w:tcPr>
          <w:p>
            <w:r>
              <w:rPr>
                <w:b/>
                <w:bCs/>
                <w:i w:val="false"/>
                <w:iCs w:val="false"/>
                <w:color w:val="FFFFFF"/>
                <w:sz w:val="19"/>
                <w:szCs w:val="19"/>
              </w:rPr>
              <w:t xml:space="preserve">Est. runs</w:t>
            </w:r>
          </w:p>
        </w:tc>
      </w:tr>
      <w:tr>
        <w:tc>
          <w:tcPr>
            <w:tcW w:type="dxa" w:w="1800"/>
            <w:shd w:fill="DCE6F1" w:val="clear"/>
            <w:tcMar>
              <w:top w:type="dxa" w:w="80"/>
              <w:left w:type="dxa" w:w="100"/>
              <w:bottom w:type="dxa" w:w="80"/>
              <w:right w:type="dxa" w:w="100"/>
            </w:tcMar>
          </w:tcPr>
          <w:p>
            <w:r>
              <w:rPr>
                <w:b w:val="false"/>
                <w:bCs w:val="false"/>
                <w:i w:val="false"/>
                <w:iCs w:val="false"/>
                <w:sz w:val="19"/>
                <w:szCs w:val="19"/>
              </w:rPr>
              <w:t xml:space="preserve">Bayesian Optimization  (top pick)</w:t>
            </w:r>
          </w:p>
        </w:tc>
        <w:tc>
          <w:tcPr>
            <w:tcW w:type="dxa" w:w="1300"/>
            <w:shd w:fill="DCE6F1" w:val="clear"/>
            <w:tcMar>
              <w:top w:type="dxa" w:w="80"/>
              <w:left w:type="dxa" w:w="100"/>
              <w:bottom w:type="dxa" w:w="80"/>
              <w:right w:type="dxa" w:w="100"/>
            </w:tcMar>
          </w:tcPr>
          <w:p>
            <w:r>
              <w:rPr>
                <w:b w:val="false"/>
                <w:bCs w:val="false"/>
                <w:i w:val="false"/>
                <w:iCs w:val="false"/>
                <w:sz w:val="19"/>
                <w:szCs w:val="19"/>
              </w:rPr>
              <w:t xml:space="preserve">0.91</w:t>
            </w:r>
          </w:p>
        </w:tc>
        <w:tc>
          <w:tcPr>
            <w:tcW w:type="dxa" w:w="4100"/>
            <w:shd w:fill="DCE6F1" w:val="clear"/>
            <w:tcMar>
              <w:top w:type="dxa" w:w="80"/>
              <w:left w:type="dxa" w:w="100"/>
              <w:bottom w:type="dxa" w:w="80"/>
              <w:right w:type="dxa" w:w="100"/>
            </w:tcMar>
          </w:tcPr>
          <w:p>
            <w:r>
              <w:rPr>
                <w:b w:val="false"/>
                <w:bCs w:val="false"/>
                <w:i w:val="false"/>
                <w:iCs w:val="false"/>
                <w:sz w:val="19"/>
                <w:szCs w:val="19"/>
              </w:rPr>
              <w:t xml:space="preserve">Low simulation budget (200 runs) and 12 mixed parameters favor BO's data-efficient global search over GA's higher evaluation count.</w:t>
            </w:r>
          </w:p>
        </w:tc>
        <w:tc>
          <w:tcPr>
            <w:tcW w:type="dxa" w:w="800"/>
            <w:shd w:fill="DCE6F1" w:val="clear"/>
            <w:tcMar>
              <w:top w:type="dxa" w:w="80"/>
              <w:left w:type="dxa" w:w="100"/>
              <w:bottom w:type="dxa" w:w="80"/>
              <w:right w:type="dxa" w:w="100"/>
            </w:tcMar>
          </w:tcPr>
          <w:p>
            <w:r>
              <w:rPr>
                <w:b w:val="false"/>
                <w:bCs w:val="false"/>
                <w:i w:val="false"/>
                <w:iCs w:val="false"/>
                <w:sz w:val="19"/>
                <w:szCs w:val="19"/>
              </w:rPr>
              <w:t xml:space="preserve">80-150</w:t>
            </w:r>
          </w:p>
        </w:tc>
      </w:tr>
      <w:tr>
        <w:tc>
          <w:tcPr>
            <w:tcW w:type="dxa" w:w="1800"/>
            <w:shd w:fill="FFFFFF" w:val="clear"/>
            <w:tcMar>
              <w:top w:type="dxa" w:w="80"/>
              <w:left w:type="dxa" w:w="100"/>
              <w:bottom w:type="dxa" w:w="80"/>
              <w:right w:type="dxa" w:w="100"/>
            </w:tcMar>
          </w:tcPr>
          <w:p>
            <w:r>
              <w:rPr>
                <w:b w:val="false"/>
                <w:bCs w:val="false"/>
                <w:i w:val="false"/>
                <w:iCs w:val="false"/>
                <w:sz w:val="19"/>
                <w:szCs w:val="19"/>
              </w:rPr>
              <w:t xml:space="preserve">ASHRAE GL14 pattern-based</w:t>
            </w:r>
          </w:p>
        </w:tc>
        <w:tc>
          <w:tcPr>
            <w:tcW w:type="dxa" w:w="1300"/>
            <w:shd w:fill="FFFFFF" w:val="clear"/>
            <w:tcMar>
              <w:top w:type="dxa" w:w="80"/>
              <w:left w:type="dxa" w:w="100"/>
              <w:bottom w:type="dxa" w:w="80"/>
              <w:right w:type="dxa" w:w="100"/>
            </w:tcMar>
          </w:tcPr>
          <w:p>
            <w:r>
              <w:rPr>
                <w:b w:val="false"/>
                <w:bCs w:val="false"/>
                <w:i w:val="false"/>
                <w:iCs w:val="false"/>
                <w:sz w:val="19"/>
                <w:szCs w:val="19"/>
              </w:rPr>
              <w:t xml:space="preserve">0.74</w:t>
            </w:r>
          </w:p>
        </w:tc>
        <w:tc>
          <w:tcPr>
            <w:tcW w:type="dxa" w:w="4100"/>
            <w:shd w:fill="FFFFFF" w:val="clear"/>
            <w:tcMar>
              <w:top w:type="dxa" w:w="80"/>
              <w:left w:type="dxa" w:w="100"/>
              <w:bottom w:type="dxa" w:w="80"/>
              <w:right w:type="dxa" w:w="100"/>
            </w:tcMar>
          </w:tcPr>
          <w:p>
            <w:r>
              <w:rPr>
                <w:b w:val="false"/>
                <w:bCs w:val="false"/>
                <w:i w:val="false"/>
                <w:iCs w:val="false"/>
                <w:sz w:val="19"/>
                <w:szCs w:val="19"/>
              </w:rPr>
              <w:t xml:space="preserve">Cheapest and standard-compliant, but coarser granularity limits diagnostic power for zone-level discrepancies.</w:t>
            </w:r>
          </w:p>
        </w:tc>
        <w:tc>
          <w:tcPr>
            <w:tcW w:type="dxa" w:w="800"/>
            <w:shd w:fill="FFFFFF" w:val="clear"/>
            <w:tcMar>
              <w:top w:type="dxa" w:w="80"/>
              <w:left w:type="dxa" w:w="100"/>
              <w:bottom w:type="dxa" w:w="80"/>
              <w:right w:type="dxa" w:w="100"/>
            </w:tcMar>
          </w:tcPr>
          <w:p>
            <w:r>
              <w:rPr>
                <w:b w:val="false"/>
                <w:bCs w:val="false"/>
                <w:i w:val="false"/>
                <w:iCs w:val="false"/>
                <w:sz w:val="19"/>
                <w:szCs w:val="19"/>
              </w:rPr>
              <w:t xml:space="preserve">1 (post-hoc)</w:t>
            </w:r>
          </w:p>
        </w:tc>
      </w:tr>
      <w:tr>
        <w:tc>
          <w:tcPr>
            <w:tcW w:type="dxa" w:w="1800"/>
            <w:shd w:fill="FFFFFF" w:val="clear"/>
            <w:tcMar>
              <w:top w:type="dxa" w:w="80"/>
              <w:left w:type="dxa" w:w="100"/>
              <w:bottom w:type="dxa" w:w="80"/>
              <w:right w:type="dxa" w:w="100"/>
            </w:tcMar>
          </w:tcPr>
          <w:p>
            <w:r>
              <w:rPr>
                <w:b w:val="false"/>
                <w:bCs w:val="false"/>
                <w:i w:val="false"/>
                <w:iCs w:val="false"/>
                <w:sz w:val="19"/>
                <w:szCs w:val="19"/>
              </w:rPr>
              <w:t xml:space="preserve">Genetic Algorithm</w:t>
            </w:r>
          </w:p>
        </w:tc>
        <w:tc>
          <w:tcPr>
            <w:tcW w:type="dxa" w:w="1300"/>
            <w:shd w:fill="FFFFFF" w:val="clear"/>
            <w:tcMar>
              <w:top w:type="dxa" w:w="80"/>
              <w:left w:type="dxa" w:w="100"/>
              <w:bottom w:type="dxa" w:w="80"/>
              <w:right w:type="dxa" w:w="100"/>
            </w:tcMar>
          </w:tcPr>
          <w:p>
            <w:r>
              <w:rPr>
                <w:b w:val="false"/>
                <w:bCs w:val="false"/>
                <w:i w:val="false"/>
                <w:iCs w:val="false"/>
                <w:sz w:val="19"/>
                <w:szCs w:val="19"/>
              </w:rPr>
              <w:t xml:space="preserve">0.58</w:t>
            </w:r>
          </w:p>
        </w:tc>
        <w:tc>
          <w:tcPr>
            <w:tcW w:type="dxa" w:w="4100"/>
            <w:shd w:fill="FFFFFF" w:val="clear"/>
            <w:tcMar>
              <w:top w:type="dxa" w:w="80"/>
              <w:left w:type="dxa" w:w="100"/>
              <w:bottom w:type="dxa" w:w="80"/>
              <w:right w:type="dxa" w:w="100"/>
            </w:tcMar>
          </w:tcPr>
          <w:p>
            <w:r>
              <w:rPr>
                <w:b w:val="false"/>
                <w:bCs w:val="false"/>
                <w:i w:val="false"/>
                <w:iCs w:val="false"/>
                <w:sz w:val="19"/>
                <w:szCs w:val="19"/>
              </w:rPr>
              <w:t xml:space="preserve">Handles the mixed parameter space well, but typically needs 500+ evaluations - exceeds the stated budget.</w:t>
            </w:r>
          </w:p>
        </w:tc>
        <w:tc>
          <w:tcPr>
            <w:tcW w:type="dxa" w:w="800"/>
            <w:shd w:fill="FFFFFF" w:val="clear"/>
            <w:tcMar>
              <w:top w:type="dxa" w:w="80"/>
              <w:left w:type="dxa" w:w="100"/>
              <w:bottom w:type="dxa" w:w="80"/>
              <w:right w:type="dxa" w:w="100"/>
            </w:tcMar>
          </w:tcPr>
          <w:p>
            <w:r>
              <w:rPr>
                <w:b w:val="false"/>
                <w:bCs w:val="false"/>
                <w:i w:val="false"/>
                <w:iCs w:val="false"/>
                <w:sz w:val="19"/>
                <w:szCs w:val="19"/>
              </w:rPr>
              <w:t xml:space="preserve">500-1000</w:t>
            </w:r>
          </w:p>
        </w:tc>
      </w:tr>
    </w:tbl>
    <w:p>
      <w:pPr>
        <w:spacing w:after="150" w:before="200"/>
      </w:pPr>
      <w:r>
        <w:rPr>
          <w:b/>
          <w:bCs/>
          <w:sz w:val="21"/>
          <w:szCs w:val="21"/>
        </w:rPr>
        <w:t xml:space="preserve">Overall recommendation: </w:t>
      </w:r>
      <w:r>
        <w:rPr>
          <w:sz w:val="21"/>
          <w:szCs w:val="21"/>
        </w:rPr>
        <w:t xml:space="preserve">Bayesian Optimization is the top pick given the sub-hourly data, moderate parameter count, and tight simulation budget. ASHRAE GL14 is the fallback if compute is further constrained. The Genetic Algorithm is not recommended unless the run budget is relaxed.</w:t>
      </w:r>
    </w:p>
    <w:p>
      <w:pPr>
        <w:pStyle w:val="Heading2"/>
        <w:spacing w:after="150" w:before="300"/>
      </w:pPr>
      <w:r>
        <w:rPr>
          <w:b/>
          <w:bCs/>
          <w:color w:val="1F3864"/>
          <w:sz w:val="24"/>
          <w:szCs w:val="24"/>
        </w:rPr>
        <w:t xml:space="preserve">Important design principle</w:t>
      </w:r>
    </w:p>
    <w:p>
      <w:pPr>
        <w:spacing w:after="150" w:line="300"/>
      </w:pPr>
      <w:r>
        <w:rPr>
          <w:i w:val="false"/>
          <w:iCs w:val="false"/>
          <w:sz w:val="21"/>
          <w:szCs w:val="21"/>
        </w:rPr>
        <w:t xml:space="preserve">The fit scores and run estimates come from the deterministic rule engine, not from free-form LLM reasoning. The LLM's role is limited to (1) turning a natural-language description of the dataset into the structured inputs above, and (2) writing the plain-language justification text. This keeps the actual method-selection logic auditable, testable, and citable as an original contribution, rather than being an unverifiable LLM judgment call.</w:t>
      </w:r>
    </w:p>
    <w:p>
      <w:pPr>
        <w:pStyle w:val="Heading2"/>
        <w:spacing w:after="150" w:before="300"/>
      </w:pPr>
      <w:r>
        <w:rPr>
          <w:b/>
          <w:bCs/>
          <w:color w:val="1F3864"/>
          <w:sz w:val="24"/>
          <w:szCs w:val="24"/>
        </w:rPr>
        <w:t xml:space="preserve">Suggested build order</w:t>
      </w:r>
    </w:p>
    <w:p>
      <w:pPr>
        <w:pStyle w:val="ListParagraph"/>
        <w:numPr>
          <w:ilvl w:val="0"/>
          <w:numId w:val="2"/>
        </w:numPr>
        <w:spacing w:after="80"/>
      </w:pPr>
      <w:r>
        <w:rPr>
          <w:sz w:val="21"/>
          <w:szCs w:val="21"/>
        </w:rPr>
        <w:t xml:space="preserve">Phase 1: implement full execution (not just recommendation) for two methods - ASHRAE GL14 pattern-based and Bayesian Optimization - since these have the strongest literature support and are the cheapest to build.</w:t>
      </w:r>
    </w:p>
    <w:p>
      <w:pPr>
        <w:pStyle w:val="ListParagraph"/>
        <w:numPr>
          <w:ilvl w:val="0"/>
          <w:numId w:val="2"/>
        </w:numPr>
        <w:spacing w:after="80"/>
      </w:pPr>
      <w:r>
        <w:rPr>
          <w:sz w:val="21"/>
          <w:szCs w:val="21"/>
        </w:rPr>
        <w:t xml:space="preserve">Phase 2: build the recommendation engine as a rule-based decision tree over the four input categories, with the LLM handling only input parsing and output narration.</w:t>
      </w:r>
    </w:p>
    <w:p>
      <w:pPr>
        <w:pStyle w:val="ListParagraph"/>
        <w:numPr>
          <w:ilvl w:val="0"/>
          <w:numId w:val="2"/>
        </w:numPr>
        <w:spacing w:after="80"/>
      </w:pPr>
      <w:r>
        <w:rPr>
          <w:sz w:val="21"/>
          <w:szCs w:val="21"/>
        </w:rPr>
        <w:t xml:space="preserve">Phase 3: validate the recommender empirically - run all implemented methods on the same test building and confirm the recommender's picks actually perform best on the predicted metrics. No existing published study runs BO, GA, EnKF, and GL14 head-to-head on one building, so this doubles as a standalone empirical contribution.</w:t>
      </w:r>
    </w:p>
    <w:p>
      <w:pPr>
        <w:pStyle w:val="ListParagraph"/>
        <w:numPr>
          <w:ilvl w:val="0"/>
          <w:numId w:val="2"/>
        </w:numPr>
        <w:spacing w:after="80"/>
      </w:pPr>
      <w:r>
        <w:rPr>
          <w:sz w:val="21"/>
          <w:szCs w:val="21"/>
        </w:rPr>
        <w:t xml:space="preserve">Phase 4: extend run_calibration to Genetic Algorithm, EnKF, and the Fonseca Emulate-then-Calibrate surrogate approach, and widen the recommender's coverage accordingly.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2026-07-02T07:19:54.027Z</dcterms:created>
  <dcterms:modified xsi:type="dcterms:W3CDTF">2026-07-02T07:19:54.027Z</dcterms:modified>
</cp:coreProperties>
</file>

<file path=docProps/custom.xml><?xml version="1.0" encoding="utf-8"?>
<Properties xmlns="http://schemas.openxmlformats.org/officeDocument/2006/custom-properties" xmlns:vt="http://schemas.openxmlformats.org/officeDocument/2006/docPropsVTypes"/>
</file>