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функцию, для расчета ковариации для переменных х и у: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cov=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)(y-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y)</m:t>
                </m:r>
              </m:e>
            </m:ba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численность совокупности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средние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предусмотреть, чтобы длины векторов на входе были одинаковыми.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результат с функцией numpy.cov (x,y) в пакете numpy.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Ковариация - числовая характеристика совместного распределения двух случайных величин. Показывает связь между признаками. Если ковариация имеет положительный знак, то связь между признаками прямая (с увеличением х увеличивается и у). Если знак отрицательный – то связь обратная по направлению (с увеличением х уменьшается у). Если ковариация равно 0, то связи между переменными нет.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Создать функцию, для расчета корреляции для переменных х и у: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cov(x,y)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δ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– среднеквадратические отклонения (корень из дисперсии)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предусмотреть, чтобы длины векторов на входе были одинаковыми.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Сравнить результат с функцией numpy.corrcoef(x,y) в пакете numpy.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Корреляция показывает силу связи между переменными.</w:t>
      </w:r>
    </w:p>
    <w:p w:rsidR="00000000" w:rsidDel="00000000" w:rsidP="00000000" w:rsidRDefault="00000000" w:rsidRPr="00000000" w14:paraId="0000000E">
      <w:pPr>
        <w:shd w:fill="ffffff" w:val="clear"/>
        <w:spacing w:after="420" w:line="240" w:lineRule="auto"/>
        <w:rPr>
          <w:rFonts w:ascii="Georgia" w:cs="Georgia" w:eastAsia="Georgia" w:hAnsi="Georgia"/>
          <w:i w:val="1"/>
          <w:color w:val="1a1a1a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7"/>
          <w:szCs w:val="27"/>
          <w:rtl w:val="0"/>
        </w:rPr>
        <w:t xml:space="preserve">Шкала Чеддока</w:t>
      </w:r>
      <w:r w:rsidDel="00000000" w:rsidR="00000000" w:rsidRPr="00000000">
        <w:rPr>
          <w:rtl w:val="0"/>
        </w:rPr>
      </w:r>
    </w:p>
    <w:tbl>
      <w:tblPr>
        <w:tblStyle w:val="Table1"/>
        <w:tblW w:w="9580.0" w:type="dxa"/>
        <w:jc w:val="left"/>
        <w:tblInd w:w="0.0" w:type="dxa"/>
        <w:tblBorders>
          <w:top w:color="d1d1d1" w:space="0" w:sz="4" w:val="single"/>
          <w:left w:color="d1d1d1" w:space="0" w:sz="4" w:val="single"/>
          <w:bottom w:color="d1d1d1" w:space="0" w:sz="4" w:val="single"/>
          <w:right w:color="d1d1d1" w:space="0" w:sz="4" w:val="single"/>
        </w:tblBorders>
        <w:tblLayout w:type="fixed"/>
        <w:tblLook w:val="0400"/>
      </w:tblPr>
      <w:tblGrid>
        <w:gridCol w:w="1915"/>
        <w:gridCol w:w="1437"/>
        <w:gridCol w:w="1437"/>
        <w:gridCol w:w="1629"/>
        <w:gridCol w:w="1629"/>
        <w:gridCol w:w="1533"/>
        <w:tblGridChange w:id="0">
          <w:tblGrid>
            <w:gridCol w:w="1915"/>
            <w:gridCol w:w="1437"/>
            <w:gridCol w:w="1437"/>
            <w:gridCol w:w="1629"/>
            <w:gridCol w:w="1629"/>
            <w:gridCol w:w="1533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Коэффициент корреляции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0,1 - 0,3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0,3 - 0,5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0,5 - 0,7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0,7 - 0,9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0,9 - 0,99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Связь…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слабая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умеренная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заметная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1d1d1" w:space="0" w:sz="4" w:val="single"/>
              <w:left w:color="d1d1d1" w:space="0" w:sz="4" w:val="single"/>
              <w:bottom w:color="d1d1d1" w:space="0" w:sz="4" w:val="single"/>
              <w:right w:color="d1d1d1" w:space="0" w:sz="4" w:val="single"/>
            </w:tcBorders>
            <w:shd w:fill="fffff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очень высокая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Знак коэффициента корреляции показывает направление связи (аналогично ковариации).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