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8B28C" w14:textId="1F0128E4" w:rsidR="0001768E" w:rsidRDefault="0001768E" w:rsidP="00657557">
      <w:proofErr w:type="spellStart"/>
      <w:r>
        <w:t>Github</w:t>
      </w:r>
      <w:proofErr w:type="spellEnd"/>
      <w:r>
        <w:t xml:space="preserve"> Repo: </w:t>
      </w:r>
      <w:hyperlink r:id="rId5" w:history="1">
        <w:r w:rsidRPr="00DB76F0">
          <w:rPr>
            <w:rStyle w:val="Hyperlink"/>
          </w:rPr>
          <w:t>https://github.com/annabellesanok/DS4200finalProject</w:t>
        </w:r>
      </w:hyperlink>
      <w:r>
        <w:t xml:space="preserve"> </w:t>
      </w:r>
    </w:p>
    <w:p w14:paraId="1C44CD6F" w14:textId="43BCB403" w:rsidR="00853C0F" w:rsidRDefault="00853C0F" w:rsidP="00657557">
      <w:r>
        <w:t xml:space="preserve">Website: </w:t>
      </w:r>
      <w:hyperlink r:id="rId6" w:history="1">
        <w:r w:rsidR="00046E11" w:rsidRPr="00DB76F0">
          <w:rPr>
            <w:rStyle w:val="Hyperlink"/>
          </w:rPr>
          <w:t>https://annabellesanok.github.io/DS4200finalProject/</w:t>
        </w:r>
      </w:hyperlink>
      <w:r w:rsidR="00046E11">
        <w:t xml:space="preserve"> </w:t>
      </w:r>
    </w:p>
    <w:p w14:paraId="73850D5B" w14:textId="77777777" w:rsidR="0001768E" w:rsidRDefault="0001768E" w:rsidP="00657557"/>
    <w:p w14:paraId="45FD2F9B" w14:textId="26966A9F" w:rsidR="004426E9" w:rsidRPr="007A3310" w:rsidRDefault="008D7BDD" w:rsidP="00657557">
      <w:r w:rsidRPr="007A3310">
        <w:t>Visualization 1: Boxplot</w:t>
      </w:r>
    </w:p>
    <w:p w14:paraId="2D48E798" w14:textId="0881E529" w:rsidR="00356682" w:rsidRPr="00717704" w:rsidRDefault="00356682" w:rsidP="00657557">
      <w:pPr>
        <w:rPr>
          <w:rFonts w:cs="AppleSystemUIFont"/>
        </w:rPr>
      </w:pPr>
      <w:r w:rsidRPr="007A3310">
        <w:rPr>
          <w:rFonts w:cs="AppleSystemUIFont"/>
        </w:rPr>
        <w:t xml:space="preserve">We decided to use a box plot for this visualization to allow for a clear comparison of debt between each of these industries. By using boxes and whiskers, the visualization clearly </w:t>
      </w:r>
      <w:r w:rsidR="00197902">
        <w:rPr>
          <w:rFonts w:cs="AppleSystemUIFont"/>
        </w:rPr>
        <w:t>highlights</w:t>
      </w:r>
      <w:r w:rsidRPr="007A3310">
        <w:rPr>
          <w:rFonts w:cs="AppleSystemUIFont"/>
        </w:rPr>
        <w:t xml:space="preserve"> the </w:t>
      </w:r>
      <w:r w:rsidR="00197902">
        <w:rPr>
          <w:rFonts w:cs="AppleSystemUIFont"/>
        </w:rPr>
        <w:t>distribution</w:t>
      </w:r>
      <w:r w:rsidRPr="007A3310">
        <w:rPr>
          <w:rFonts w:cs="AppleSystemUIFont"/>
        </w:rPr>
        <w:t xml:space="preserve"> and extremes </w:t>
      </w:r>
      <w:r w:rsidR="00197902">
        <w:rPr>
          <w:rFonts w:cs="AppleSystemUIFont"/>
        </w:rPr>
        <w:t>of this ratio for each industry</w:t>
      </w:r>
      <w:r w:rsidRPr="007A3310">
        <w:rPr>
          <w:rFonts w:cs="AppleSystemUIFont"/>
        </w:rPr>
        <w:t>.</w:t>
      </w:r>
      <w:r w:rsidRPr="007A3310">
        <w:rPr>
          <w:rFonts w:cs="AppleSystemUIFont"/>
        </w:rPr>
        <w:t xml:space="preserve"> </w:t>
      </w:r>
    </w:p>
    <w:p w14:paraId="4444EAB1" w14:textId="1B794F48" w:rsidR="00657557" w:rsidRPr="007A3310" w:rsidRDefault="00657557" w:rsidP="00657557">
      <w:r w:rsidRPr="007A3310">
        <w:rPr>
          <w:rFonts w:cs="AppleSystemUIFont"/>
          <w:b/>
          <w:bCs/>
        </w:rPr>
        <w:t>Marks</w:t>
      </w:r>
      <w:r w:rsidRPr="007A3310">
        <w:rPr>
          <w:rFonts w:cs="AppleSystemUIFont"/>
        </w:rPr>
        <w:t xml:space="preserve">: The primary marks used in this visualization are boxes and lines </w:t>
      </w:r>
      <w:r w:rsidRPr="007A3310">
        <w:rPr>
          <w:rFonts w:cs="AppleSystemUIFont"/>
        </w:rPr>
        <w:t xml:space="preserve">to create the boxplot </w:t>
      </w:r>
      <w:r w:rsidRPr="007A3310">
        <w:rPr>
          <w:rFonts w:cs="AppleSystemUIFont"/>
        </w:rPr>
        <w:t>a</w:t>
      </w:r>
      <w:r w:rsidRPr="007A3310">
        <w:rPr>
          <w:rFonts w:cs="AppleSystemUIFont"/>
        </w:rPr>
        <w:t xml:space="preserve">nd circles to display outliers. </w:t>
      </w:r>
    </w:p>
    <w:p w14:paraId="2B842C27" w14:textId="7B7E1262" w:rsidR="008D7BDD" w:rsidRPr="00046E11" w:rsidRDefault="00657557" w:rsidP="00046E11">
      <w:pPr>
        <w:autoSpaceDE w:val="0"/>
        <w:autoSpaceDN w:val="0"/>
        <w:adjustRightInd w:val="0"/>
        <w:rPr>
          <w:rFonts w:cs="AppleSystemUIFont"/>
        </w:rPr>
      </w:pPr>
      <w:r w:rsidRPr="007A3310">
        <w:rPr>
          <w:rFonts w:cs="AppleSystemUIFont"/>
          <w:b/>
          <w:bCs/>
        </w:rPr>
        <w:t>Channels</w:t>
      </w:r>
      <w:r w:rsidRPr="007A3310">
        <w:rPr>
          <w:rFonts w:cs="AppleSystemUIFont"/>
        </w:rPr>
        <w:t xml:space="preserve">: The position on the vertical axis represents the value of the debt-to-equity ratio, while the horizontal axis categorizes these values by industry. Color is used </w:t>
      </w:r>
      <w:r w:rsidR="00650248">
        <w:rPr>
          <w:rFonts w:cs="AppleSystemUIFont"/>
        </w:rPr>
        <w:t>as a channel</w:t>
      </w:r>
      <w:r w:rsidRPr="007A3310">
        <w:rPr>
          <w:rFonts w:cs="AppleSystemUIFont"/>
        </w:rPr>
        <w:t xml:space="preserve"> to differentiate between the two industries.</w:t>
      </w:r>
    </w:p>
    <w:p w14:paraId="597637A3" w14:textId="77777777" w:rsidR="00650248" w:rsidRPr="007A3310" w:rsidRDefault="00650248"/>
    <w:p w14:paraId="47DFF2EB" w14:textId="0DD8E348" w:rsidR="008D7BDD" w:rsidRPr="007A3310" w:rsidRDefault="008D7BDD">
      <w:r w:rsidRPr="007A3310">
        <w:t>Visualization 2:</w:t>
      </w:r>
      <w:r w:rsidR="000A1E08" w:rsidRPr="007A3310">
        <w:t xml:space="preserve"> Scatterplot</w:t>
      </w:r>
    </w:p>
    <w:p w14:paraId="7397861B" w14:textId="1F0A1148" w:rsidR="007A3310" w:rsidRPr="007A3310" w:rsidRDefault="007A3310" w:rsidP="007A3310">
      <w:pPr>
        <w:autoSpaceDE w:val="0"/>
        <w:autoSpaceDN w:val="0"/>
        <w:adjustRightInd w:val="0"/>
        <w:rPr>
          <w:rFonts w:cs="AppleSystemUIFont"/>
        </w:rPr>
      </w:pPr>
      <w:r w:rsidRPr="007A3310">
        <w:rPr>
          <w:rFonts w:cs="AppleSystemUIFont"/>
        </w:rPr>
        <w:t>The choice for this visualization was a scatter plot with trend lines, which serves to showcase the changes and trends over time. This type of visualization is well suited for financial data that is tracked across time, like the current assets and liabilities of each company, allowing for an easy visual tracking of their progression and any patterns that may emerge.</w:t>
      </w:r>
    </w:p>
    <w:p w14:paraId="11D5D7E0" w14:textId="28B4D210" w:rsidR="007A3310" w:rsidRPr="007A3310" w:rsidRDefault="007A3310" w:rsidP="007A3310">
      <w:pPr>
        <w:autoSpaceDE w:val="0"/>
        <w:autoSpaceDN w:val="0"/>
        <w:adjustRightInd w:val="0"/>
        <w:rPr>
          <w:rFonts w:cs="AppleSystemUIFont"/>
        </w:rPr>
      </w:pPr>
      <w:r w:rsidRPr="007A3310">
        <w:rPr>
          <w:rFonts w:cs="AppleSystemUIFont"/>
          <w:b/>
          <w:bCs/>
        </w:rPr>
        <w:t xml:space="preserve">Marks: </w:t>
      </w:r>
      <w:r w:rsidRPr="007A3310">
        <w:rPr>
          <w:rFonts w:cs="AppleSystemUIFont"/>
        </w:rPr>
        <w:t>The primary marks in this visualization are the dots and lines. Each dot represents an individual data point for current assets, current liabilities, or working capital at a specific time. The lines, which pass through or near the dots, help to show the general trend over time, giving a sense of how these values have increased, decreased, or fluctuated.</w:t>
      </w:r>
    </w:p>
    <w:p w14:paraId="2A83C7A0" w14:textId="6F8CFA65" w:rsidR="00650248" w:rsidRPr="00046E11" w:rsidRDefault="007A3310" w:rsidP="007A3310">
      <w:pPr>
        <w:rPr>
          <w:rFonts w:cs="AppleSystemUIFont"/>
        </w:rPr>
      </w:pPr>
      <w:r w:rsidRPr="007A3310">
        <w:rPr>
          <w:rFonts w:cs="AppleSystemUIFont"/>
          <w:b/>
          <w:bCs/>
        </w:rPr>
        <w:t xml:space="preserve">Channels: </w:t>
      </w:r>
      <w:r w:rsidRPr="007A3310">
        <w:rPr>
          <w:rFonts w:cs="AppleSystemUIFont"/>
        </w:rPr>
        <w:t>The horizontal axis tracks time, which allows viewers to see how current assets, current liabilities, and working capital have changed over the years. The vertical axis quantifies these financial metrics, showing the magnitude of each at any given time. The use of color as a channel is also effective here, making it easy to distinguish between the three different metrics.</w:t>
      </w:r>
    </w:p>
    <w:p w14:paraId="3B2D9EA1" w14:textId="77777777" w:rsidR="008D7BDD" w:rsidRPr="007A3310" w:rsidRDefault="008D7BDD"/>
    <w:p w14:paraId="11386284" w14:textId="0F0B717E" w:rsidR="004E35FD" w:rsidRPr="007A3310" w:rsidRDefault="008D7BDD">
      <w:r w:rsidRPr="007A3310">
        <w:t>Visualization 3:</w:t>
      </w:r>
      <w:r w:rsidR="000A1E08" w:rsidRPr="007A3310">
        <w:t xml:space="preserve"> </w:t>
      </w:r>
      <w:r w:rsidR="004E35FD" w:rsidRPr="007A3310">
        <w:t>Bubble Plot</w:t>
      </w:r>
    </w:p>
    <w:p w14:paraId="236AEEA3" w14:textId="045FB8DD" w:rsidR="00964F2C" w:rsidRPr="007A3310" w:rsidRDefault="00964F2C" w:rsidP="00964F2C">
      <w:pPr>
        <w:autoSpaceDE w:val="0"/>
        <w:autoSpaceDN w:val="0"/>
        <w:adjustRightInd w:val="0"/>
        <w:rPr>
          <w:rFonts w:cs="AppleSystemUIFont"/>
        </w:rPr>
      </w:pPr>
      <w:r w:rsidRPr="007A3310">
        <w:rPr>
          <w:rFonts w:cs="AppleSystemUIFont"/>
        </w:rPr>
        <w:t>A bubble plot is effective here because it allows us to see three pieces of information at the same time: the PE Ratio, the PCF Ratio, and the ROE. This type of chart is helpful for comparing these things all at once, so you can easily determine which companies have a high ROE and how they stand on the PE and PCF scales.</w:t>
      </w:r>
    </w:p>
    <w:p w14:paraId="5851A021" w14:textId="77777777" w:rsidR="00964F2C" w:rsidRPr="007A3310" w:rsidRDefault="00964F2C" w:rsidP="00964F2C">
      <w:pPr>
        <w:autoSpaceDE w:val="0"/>
        <w:autoSpaceDN w:val="0"/>
        <w:adjustRightInd w:val="0"/>
        <w:rPr>
          <w:rFonts w:cs="AppleSystemUIFont"/>
        </w:rPr>
      </w:pPr>
      <w:r w:rsidRPr="007A3310">
        <w:rPr>
          <w:rFonts w:cs="AppleSystemUIFont"/>
          <w:b/>
          <w:bCs/>
        </w:rPr>
        <w:t xml:space="preserve">Marks: </w:t>
      </w:r>
      <w:r w:rsidRPr="007A3310">
        <w:rPr>
          <w:rFonts w:cs="AppleSystemUIFont"/>
        </w:rPr>
        <w:t xml:space="preserve">The marks in this bubble plot are the circles, each representing a different tech company. </w:t>
      </w:r>
    </w:p>
    <w:p w14:paraId="646FFAD8" w14:textId="4E7905AD" w:rsidR="008D7BDD" w:rsidRPr="007A3310" w:rsidRDefault="00964F2C" w:rsidP="00964F2C">
      <w:r w:rsidRPr="007A3310">
        <w:rPr>
          <w:rFonts w:cs="AppleSystemUIFont"/>
          <w:b/>
          <w:bCs/>
        </w:rPr>
        <w:t xml:space="preserve">Channels: </w:t>
      </w:r>
      <w:r w:rsidRPr="007A3310">
        <w:rPr>
          <w:rFonts w:cs="AppleSystemUIFont"/>
        </w:rPr>
        <w:t>The positioning on the horizontal axis shows the PE ratio, while the vertical axis shows its PCF ratio. The size of the bubble is another channel that conveys the ROE, where larger bubbles correspond with a higher ROE.</w:t>
      </w:r>
    </w:p>
    <w:p w14:paraId="3D974024" w14:textId="77777777" w:rsidR="00F51422" w:rsidRPr="007A3310" w:rsidRDefault="00F51422"/>
    <w:p w14:paraId="5E216B32" w14:textId="11694B36" w:rsidR="008D7BDD" w:rsidRPr="007A3310" w:rsidRDefault="008D7BDD">
      <w:r w:rsidRPr="007A3310">
        <w:t xml:space="preserve">Visualization 4: </w:t>
      </w:r>
      <w:r w:rsidR="004E35FD" w:rsidRPr="007A3310">
        <w:t>Line Chart</w:t>
      </w:r>
    </w:p>
    <w:p w14:paraId="453BC653" w14:textId="5B2B2F3F" w:rsidR="5FF5B03E" w:rsidRPr="007A3310" w:rsidRDefault="5FF5B03E" w:rsidP="2AA15B64">
      <w:pPr>
        <w:rPr>
          <w:rFonts w:eastAsia="system-ui" w:cs="system-ui"/>
        </w:rPr>
      </w:pPr>
      <w:r w:rsidRPr="007A3310">
        <w:rPr>
          <w:rFonts w:eastAsia="system-ui" w:cs="system-ui"/>
          <w:b/>
        </w:rPr>
        <w:t>Marks</w:t>
      </w:r>
    </w:p>
    <w:p w14:paraId="2AD2CCC9" w14:textId="7C8F50F7" w:rsidR="5FF5B03E" w:rsidRPr="007A3310" w:rsidRDefault="5FF5B03E" w:rsidP="46D6C5A4">
      <w:pPr>
        <w:rPr>
          <w:rFonts w:eastAsia="system-ui" w:cs="system-ui"/>
        </w:rPr>
      </w:pPr>
      <w:r w:rsidRPr="007A3310">
        <w:rPr>
          <w:rFonts w:eastAsia="system-ui" w:cs="system-ui"/>
          <w:b/>
        </w:rPr>
        <w:lastRenderedPageBreak/>
        <w:t>Line Marks</w:t>
      </w:r>
      <w:r w:rsidRPr="007A3310">
        <w:rPr>
          <w:rFonts w:eastAsia="system-ui" w:cs="system-ui"/>
        </w:rPr>
        <w:t>: The visualization uses line marks to represent both PE Ratio and EPS. Line marks are ideal for showing trends over time, as they help track changes in data points continuously, making it easy to observe rises and falls in values.</w:t>
      </w:r>
    </w:p>
    <w:p w14:paraId="46E36321" w14:textId="5686203E" w:rsidR="747C90BC" w:rsidRPr="007A3310" w:rsidRDefault="747C90BC" w:rsidP="747C90BC">
      <w:pPr>
        <w:rPr>
          <w:rFonts w:eastAsia="system-ui" w:cs="system-ui"/>
          <w:b/>
        </w:rPr>
      </w:pPr>
    </w:p>
    <w:p w14:paraId="0920DC46" w14:textId="2F350C87" w:rsidR="5FF5B03E" w:rsidRPr="007A3310" w:rsidRDefault="5FF5B03E" w:rsidP="747C90BC">
      <w:pPr>
        <w:rPr>
          <w:rFonts w:eastAsia="system-ui" w:cs="system-ui"/>
        </w:rPr>
      </w:pPr>
      <w:r w:rsidRPr="007A3310">
        <w:rPr>
          <w:rFonts w:eastAsia="system-ui" w:cs="system-ui"/>
          <w:b/>
        </w:rPr>
        <w:t>Channels</w:t>
      </w:r>
    </w:p>
    <w:p w14:paraId="23B88B4B" w14:textId="486E333E" w:rsidR="5454D217" w:rsidRPr="00046E11" w:rsidRDefault="5FF5B03E" w:rsidP="5454D217">
      <w:pPr>
        <w:rPr>
          <w:rFonts w:eastAsia="system-ui" w:cs="system-ui"/>
        </w:rPr>
      </w:pPr>
      <w:r w:rsidRPr="007A3310">
        <w:rPr>
          <w:rFonts w:eastAsia="system-ui" w:cs="system-ui"/>
          <w:b/>
        </w:rPr>
        <w:t>Position (X and Y axes)</w:t>
      </w:r>
      <w:r w:rsidRPr="007A3310">
        <w:rPr>
          <w:rFonts w:eastAsia="system-ui" w:cs="system-ui"/>
        </w:rPr>
        <w:t>: The horizontal axis (x-axis) displays time, providing a temporal context for the data. The vertical axis (y-axis) shows the values of PE Ratio and EPS, allowing users to gauge their magnitudes relative to each other over the timeframe.</w:t>
      </w:r>
    </w:p>
    <w:p w14:paraId="17B86199" w14:textId="7CD0890A" w:rsidR="57386C22" w:rsidRPr="007A3310" w:rsidRDefault="5FF5B03E" w:rsidP="57386C22">
      <w:pPr>
        <w:rPr>
          <w:rFonts w:eastAsia="system-ui" w:cs="system-ui"/>
        </w:rPr>
      </w:pPr>
      <w:r w:rsidRPr="007A3310">
        <w:rPr>
          <w:rFonts w:eastAsia="system-ui" w:cs="system-ui"/>
          <w:b/>
        </w:rPr>
        <w:t>Color</w:t>
      </w:r>
      <w:r w:rsidRPr="007A3310">
        <w:rPr>
          <w:rFonts w:eastAsia="system-ui" w:cs="system-ui"/>
          <w:b/>
        </w:rPr>
        <w:t>:</w:t>
      </w:r>
      <w:r w:rsidRPr="007A3310">
        <w:rPr>
          <w:rFonts w:eastAsia="system-ui" w:cs="system-ui"/>
        </w:rPr>
        <w:t xml:space="preserve"> Color is used to differentiate between the two metrics. For instance, PE Ratio might be represented in blue, and EPS in green. This color coding helps users quickly distinguish between the data series without having to cross-reference with the axes or legend constantly.</w:t>
      </w:r>
    </w:p>
    <w:p w14:paraId="6C9088BA" w14:textId="2F8F0E9C" w:rsidR="5FF5B03E" w:rsidRPr="007A3310" w:rsidRDefault="5FF5B03E" w:rsidP="57386C22">
      <w:pPr>
        <w:rPr>
          <w:rFonts w:eastAsia="system-ui" w:cs="system-ui"/>
          <w:b/>
        </w:rPr>
      </w:pPr>
      <w:r w:rsidRPr="007A3310">
        <w:rPr>
          <w:rFonts w:eastAsia="system-ui" w:cs="system-ui"/>
          <w:b/>
        </w:rPr>
        <w:t>Interactivity</w:t>
      </w:r>
    </w:p>
    <w:p w14:paraId="1B7B6E1A" w14:textId="0036B4FB" w:rsidR="5FF5B03E" w:rsidRPr="007A3310" w:rsidRDefault="5FF5B03E" w:rsidP="00A32C46">
      <w:pPr>
        <w:rPr>
          <w:rFonts w:eastAsia="system-ui" w:cs="system-ui"/>
        </w:rPr>
      </w:pPr>
      <w:r w:rsidRPr="007A3310">
        <w:rPr>
          <w:rFonts w:eastAsia="system-ui" w:cs="system-ui"/>
          <w:b/>
        </w:rPr>
        <w:t>Dropdown Menu</w:t>
      </w:r>
      <w:r w:rsidRPr="007A3310">
        <w:rPr>
          <w:rFonts w:eastAsia="system-ui" w:cs="system-ui"/>
        </w:rPr>
        <w:t>: A dropdown menu enables users to select a specific stock ticker. This interactivity allows the chart to dynamically update and display the corresponding PE Ratio and EPS trends for the chosen stock, making the visualization adaptable to user interests.</w:t>
      </w:r>
    </w:p>
    <w:p w14:paraId="046902E8" w14:textId="26EBD703" w:rsidR="470B4B0A" w:rsidRPr="007A3310" w:rsidRDefault="470B4B0A" w:rsidP="470B4B0A"/>
    <w:p w14:paraId="3D2AABDB" w14:textId="77777777" w:rsidR="000A1E08" w:rsidRPr="007A3310" w:rsidRDefault="000A1E08"/>
    <w:p w14:paraId="04BC246B" w14:textId="4EBB92C8" w:rsidR="000A1E08" w:rsidRPr="007A3310" w:rsidRDefault="000A1E08">
      <w:r w:rsidRPr="007A3310">
        <w:t>Visualization 5:</w:t>
      </w:r>
      <w:r w:rsidR="004E35FD" w:rsidRPr="007A3310">
        <w:t xml:space="preserve"> </w:t>
      </w:r>
      <w:r w:rsidR="4370109F" w:rsidRPr="007A3310">
        <w:t>Stacked bar chart</w:t>
      </w:r>
    </w:p>
    <w:p w14:paraId="454DE6A4" w14:textId="3C63C547" w:rsidR="0906355F" w:rsidRPr="007A3310" w:rsidRDefault="0906355F" w:rsidP="33D41E2A">
      <w:pPr>
        <w:rPr>
          <w:rFonts w:eastAsia="system-ui" w:cs="system-ui"/>
        </w:rPr>
      </w:pPr>
      <w:r w:rsidRPr="007A3310">
        <w:rPr>
          <w:rFonts w:eastAsia="system-ui" w:cs="system-ui"/>
          <w:b/>
          <w:bCs/>
        </w:rPr>
        <w:t>Marks</w:t>
      </w:r>
    </w:p>
    <w:p w14:paraId="47EC38CF" w14:textId="09E8A001" w:rsidR="0906355F" w:rsidRPr="007A3310" w:rsidRDefault="0906355F" w:rsidP="33D41E2A">
      <w:pPr>
        <w:rPr>
          <w:rFonts w:eastAsia="system-ui" w:cs="system-ui"/>
        </w:rPr>
      </w:pPr>
      <w:r w:rsidRPr="007A3310">
        <w:rPr>
          <w:rFonts w:eastAsia="system-ui" w:cs="system-ui"/>
          <w:b/>
          <w:bCs/>
        </w:rPr>
        <w:t>Bar Marks</w:t>
      </w:r>
      <w:r w:rsidRPr="007A3310">
        <w:rPr>
          <w:rFonts w:eastAsia="system-ui" w:cs="system-ui"/>
        </w:rPr>
        <w:t>: The visualization uses bar marks to represent '</w:t>
      </w:r>
      <w:proofErr w:type="spellStart"/>
      <w:r w:rsidRPr="007A3310">
        <w:rPr>
          <w:rFonts w:eastAsia="system-ui" w:cs="system-ui"/>
        </w:rPr>
        <w:t>gross_profit</w:t>
      </w:r>
      <w:proofErr w:type="spellEnd"/>
      <w:r w:rsidRPr="007A3310">
        <w:rPr>
          <w:rFonts w:eastAsia="system-ui" w:cs="system-ui"/>
        </w:rPr>
        <w:t>' and '</w:t>
      </w:r>
      <w:proofErr w:type="spellStart"/>
      <w:r w:rsidRPr="007A3310">
        <w:rPr>
          <w:rFonts w:eastAsia="system-ui" w:cs="system-ui"/>
        </w:rPr>
        <w:t>operating_income</w:t>
      </w:r>
      <w:proofErr w:type="spellEnd"/>
      <w:r w:rsidRPr="007A3310">
        <w:rPr>
          <w:rFonts w:eastAsia="system-ui" w:cs="system-ui"/>
        </w:rPr>
        <w:t>'. Stacked bars are effective for showing parts of a whole, where each segment of the stack represents a different financial metric, allowing comparison of their relative sizes within each ticker.</w:t>
      </w:r>
    </w:p>
    <w:p w14:paraId="1F23462B" w14:textId="6388635C" w:rsidR="0906355F" w:rsidRPr="007A3310" w:rsidRDefault="0906355F" w:rsidP="57263431">
      <w:pPr>
        <w:rPr>
          <w:rFonts w:eastAsia="system-ui" w:cs="system-ui"/>
        </w:rPr>
      </w:pPr>
      <w:r w:rsidRPr="007A3310">
        <w:rPr>
          <w:rFonts w:eastAsia="system-ui" w:cs="system-ui"/>
          <w:b/>
          <w:bCs/>
        </w:rPr>
        <w:t>Line Marks</w:t>
      </w:r>
      <w:r w:rsidRPr="007A3310">
        <w:rPr>
          <w:rFonts w:eastAsia="system-ui" w:cs="system-ui"/>
        </w:rPr>
        <w:t>: A line mark is used to represent the 'close' price over the same period, providing a perspective on the stock's financial health relative to its market performance.</w:t>
      </w:r>
    </w:p>
    <w:p w14:paraId="1CBAF625" w14:textId="0AB8DF96" w:rsidR="164218FC" w:rsidRPr="007A3310" w:rsidRDefault="164218FC" w:rsidP="164218FC">
      <w:pPr>
        <w:rPr>
          <w:rFonts w:eastAsia="system-ui" w:cs="system-ui"/>
          <w:b/>
          <w:bCs/>
        </w:rPr>
      </w:pPr>
    </w:p>
    <w:p w14:paraId="53B78266" w14:textId="1360BE26" w:rsidR="0906355F" w:rsidRPr="007A3310" w:rsidRDefault="0906355F" w:rsidP="2035156E">
      <w:pPr>
        <w:rPr>
          <w:rFonts w:eastAsia="system-ui" w:cs="system-ui"/>
        </w:rPr>
      </w:pPr>
      <w:r w:rsidRPr="007A3310">
        <w:rPr>
          <w:rFonts w:eastAsia="system-ui" w:cs="system-ui"/>
          <w:b/>
          <w:bCs/>
        </w:rPr>
        <w:t>Channels</w:t>
      </w:r>
    </w:p>
    <w:p w14:paraId="027B82DD" w14:textId="60588448" w:rsidR="0906355F" w:rsidRPr="007A3310" w:rsidRDefault="0906355F" w:rsidP="2035156E">
      <w:pPr>
        <w:rPr>
          <w:rFonts w:eastAsia="system-ui" w:cs="system-ui"/>
        </w:rPr>
      </w:pPr>
      <w:r w:rsidRPr="007A3310">
        <w:rPr>
          <w:rFonts w:eastAsia="system-ui" w:cs="system-ui"/>
          <w:b/>
          <w:bCs/>
        </w:rPr>
        <w:t>Position</w:t>
      </w:r>
      <w:r w:rsidRPr="007A3310">
        <w:rPr>
          <w:rFonts w:eastAsia="system-ui" w:cs="system-ui"/>
        </w:rPr>
        <w:t>: The horizontal position (x-axis) represents different stock tickers, organizing the data categorically. The vertical position (y-axis) indicates the quantitative values for '</w:t>
      </w:r>
      <w:proofErr w:type="spellStart"/>
      <w:r w:rsidRPr="007A3310">
        <w:rPr>
          <w:rFonts w:eastAsia="system-ui" w:cs="system-ui"/>
        </w:rPr>
        <w:t>gross_profit</w:t>
      </w:r>
      <w:proofErr w:type="spellEnd"/>
      <w:r w:rsidRPr="007A3310">
        <w:rPr>
          <w:rFonts w:eastAsia="system-ui" w:cs="system-ui"/>
        </w:rPr>
        <w:t>', '</w:t>
      </w:r>
      <w:proofErr w:type="spellStart"/>
      <w:r w:rsidRPr="007A3310">
        <w:rPr>
          <w:rFonts w:eastAsia="system-ui" w:cs="system-ui"/>
        </w:rPr>
        <w:t>operating_income</w:t>
      </w:r>
      <w:proofErr w:type="spellEnd"/>
      <w:r w:rsidRPr="007A3310">
        <w:rPr>
          <w:rFonts w:eastAsia="system-ui" w:cs="system-ui"/>
        </w:rPr>
        <w:t>', and 'close'.</w:t>
      </w:r>
    </w:p>
    <w:p w14:paraId="19B76426" w14:textId="57744F2B" w:rsidR="0906355F" w:rsidRPr="007A3310" w:rsidRDefault="0906355F" w:rsidP="2035156E">
      <w:pPr>
        <w:rPr>
          <w:rFonts w:eastAsia="system-ui" w:cs="system-ui"/>
        </w:rPr>
      </w:pPr>
      <w:r w:rsidRPr="007A3310">
        <w:rPr>
          <w:rFonts w:eastAsia="system-ui" w:cs="system-ui"/>
          <w:b/>
          <w:bCs/>
        </w:rPr>
        <w:t>Color</w:t>
      </w:r>
      <w:r w:rsidRPr="007A3310">
        <w:rPr>
          <w:rFonts w:eastAsia="system-ui" w:cs="system-ui"/>
        </w:rPr>
        <w:t>: Color differentiates between '</w:t>
      </w:r>
      <w:proofErr w:type="spellStart"/>
      <w:r w:rsidRPr="007A3310">
        <w:rPr>
          <w:rFonts w:eastAsia="system-ui" w:cs="system-ui"/>
        </w:rPr>
        <w:t>gross_profit</w:t>
      </w:r>
      <w:proofErr w:type="spellEnd"/>
      <w:r w:rsidRPr="007A3310">
        <w:rPr>
          <w:rFonts w:eastAsia="system-ui" w:cs="system-ui"/>
        </w:rPr>
        <w:t>' and '</w:t>
      </w:r>
      <w:proofErr w:type="spellStart"/>
      <w:r w:rsidRPr="007A3310">
        <w:rPr>
          <w:rFonts w:eastAsia="system-ui" w:cs="system-ui"/>
        </w:rPr>
        <w:t>operating_income</w:t>
      </w:r>
      <w:proofErr w:type="spellEnd"/>
      <w:r w:rsidRPr="007A3310">
        <w:rPr>
          <w:rFonts w:eastAsia="system-ui" w:cs="system-ui"/>
        </w:rPr>
        <w:t>' within each stacked bar. This channel helps users quickly identify which part of the bar corresponds to each metric.</w:t>
      </w:r>
    </w:p>
    <w:p w14:paraId="4C0D96A4" w14:textId="4524CB35" w:rsidR="4644B86A" w:rsidRDefault="0906355F" w:rsidP="4644B86A">
      <w:pPr>
        <w:rPr>
          <w:rFonts w:eastAsia="system-ui" w:cs="system-ui"/>
        </w:rPr>
      </w:pPr>
      <w:r w:rsidRPr="007A3310">
        <w:rPr>
          <w:rFonts w:eastAsia="system-ui" w:cs="system-ui"/>
          <w:b/>
          <w:bCs/>
        </w:rPr>
        <w:t>Length/Height</w:t>
      </w:r>
      <w:r w:rsidRPr="007A3310">
        <w:rPr>
          <w:rFonts w:eastAsia="system-ui" w:cs="system-ui"/>
        </w:rPr>
        <w:t>: The length or height of each segment within the stacked bars represents the value of each financial metric, showing their proportions in relation to each other.</w:t>
      </w:r>
    </w:p>
    <w:p w14:paraId="3B184EFC" w14:textId="06DFEC84" w:rsidR="00046E11" w:rsidRPr="00046E11" w:rsidRDefault="00046E11" w:rsidP="4644B86A">
      <w:pPr>
        <w:rPr>
          <w:rFonts w:eastAsia="system-ui" w:cs="system-ui"/>
        </w:rPr>
      </w:pPr>
    </w:p>
    <w:p w14:paraId="0864CCAC" w14:textId="22C1C267" w:rsidR="610B4FCB" w:rsidRPr="007A3310" w:rsidRDefault="3B8F2C2E" w:rsidP="610B4FCB">
      <w:pPr>
        <w:rPr>
          <w:rFonts w:eastAsia="system-ui" w:cs="system-ui"/>
        </w:rPr>
      </w:pPr>
      <w:r w:rsidRPr="007A3310">
        <w:rPr>
          <w:rFonts w:eastAsia="system-ui" w:cs="system-ui"/>
          <w:b/>
          <w:bCs/>
        </w:rPr>
        <w:t>Interacti</w:t>
      </w:r>
      <w:r w:rsidR="00046E11">
        <w:rPr>
          <w:rFonts w:eastAsia="system-ui" w:cs="system-ui"/>
          <w:b/>
          <w:bCs/>
        </w:rPr>
        <w:t>vity</w:t>
      </w:r>
    </w:p>
    <w:p w14:paraId="2CF67798" w14:textId="6605A0A8" w:rsidR="3B8F2C2E" w:rsidRPr="007A3310" w:rsidRDefault="3B8F2C2E" w:rsidP="3ED2A42B">
      <w:pPr>
        <w:spacing w:line="259" w:lineRule="auto"/>
        <w:rPr>
          <w:rFonts w:eastAsia="system-ui" w:cs="system-ui"/>
        </w:rPr>
      </w:pPr>
      <w:r w:rsidRPr="007A3310">
        <w:rPr>
          <w:rFonts w:eastAsia="system-ui" w:cs="system-ui"/>
          <w:b/>
          <w:bCs/>
        </w:rPr>
        <w:t>D</w:t>
      </w:r>
      <w:r w:rsidR="0906355F" w:rsidRPr="007A3310">
        <w:rPr>
          <w:rFonts w:eastAsia="system-ui" w:cs="system-ui"/>
          <w:b/>
          <w:bCs/>
        </w:rPr>
        <w:t>ropdown Menu</w:t>
      </w:r>
      <w:r w:rsidR="0906355F" w:rsidRPr="007A3310">
        <w:rPr>
          <w:rFonts w:eastAsia="system-ui" w:cs="system-ui"/>
        </w:rPr>
        <w:t>: dropdown menu allows users to select a</w:t>
      </w:r>
      <w:r w:rsidR="018F0814" w:rsidRPr="007A3310">
        <w:rPr>
          <w:rFonts w:eastAsia="system-ui" w:cs="system-ui"/>
        </w:rPr>
        <w:t xml:space="preserve"> ticker, which allows users to focus their analysis on a specific </w:t>
      </w:r>
      <w:proofErr w:type="gramStart"/>
      <w:r w:rsidR="018F0814" w:rsidRPr="007A3310">
        <w:rPr>
          <w:rFonts w:eastAsia="system-ui" w:cs="system-ui"/>
        </w:rPr>
        <w:t>company</w:t>
      </w:r>
      <w:proofErr w:type="gramEnd"/>
    </w:p>
    <w:p w14:paraId="02494C07" w14:textId="6FE14AA9" w:rsidR="000A1E08" w:rsidRPr="00046E11" w:rsidRDefault="0906355F">
      <w:pPr>
        <w:rPr>
          <w:rFonts w:eastAsia="system-ui" w:cs="system-ui"/>
        </w:rPr>
      </w:pPr>
      <w:r w:rsidRPr="007A3310">
        <w:rPr>
          <w:rFonts w:eastAsia="system-ui" w:cs="system-ui"/>
          <w:b/>
          <w:bCs/>
        </w:rPr>
        <w:t>Overlaying Line</w:t>
      </w:r>
      <w:r w:rsidRPr="007A3310">
        <w:rPr>
          <w:rFonts w:eastAsia="system-ui" w:cs="system-ui"/>
        </w:rPr>
        <w:t>: Including a line chart overlay on the stacked bars integrates an additional data dimension (closing price) directly within the same visualization space. This</w:t>
      </w:r>
      <w:r w:rsidR="57F42FE0" w:rsidRPr="007A3310">
        <w:rPr>
          <w:rFonts w:eastAsia="system-ui" w:cs="system-ui"/>
        </w:rPr>
        <w:t xml:space="preserve"> </w:t>
      </w:r>
      <w:r w:rsidRPr="007A3310">
        <w:rPr>
          <w:rFonts w:eastAsia="system-ui" w:cs="system-ui"/>
        </w:rPr>
        <w:t>allows users to correlate the financial performance directly with stock price movements, all within the same interactive visual context.</w:t>
      </w:r>
    </w:p>
    <w:sectPr w:rsidR="000A1E08" w:rsidRPr="00046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system-ui">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A260102"/>
    <w:multiLevelType w:val="hybridMultilevel"/>
    <w:tmpl w:val="FFFFFFFF"/>
    <w:lvl w:ilvl="0" w:tplc="629A4C26">
      <w:start w:val="1"/>
      <w:numFmt w:val="bullet"/>
      <w:lvlText w:val="o"/>
      <w:lvlJc w:val="left"/>
      <w:pPr>
        <w:ind w:left="720" w:hanging="360"/>
      </w:pPr>
      <w:rPr>
        <w:rFonts w:ascii="Courier New" w:hAnsi="Courier New" w:hint="default"/>
      </w:rPr>
    </w:lvl>
    <w:lvl w:ilvl="1" w:tplc="CAFA5228">
      <w:start w:val="1"/>
      <w:numFmt w:val="bullet"/>
      <w:lvlText w:val="o"/>
      <w:lvlJc w:val="left"/>
      <w:pPr>
        <w:ind w:left="1440" w:hanging="360"/>
      </w:pPr>
      <w:rPr>
        <w:rFonts w:ascii="Courier New" w:hAnsi="Courier New" w:hint="default"/>
      </w:rPr>
    </w:lvl>
    <w:lvl w:ilvl="2" w:tplc="52B45DAC">
      <w:start w:val="1"/>
      <w:numFmt w:val="bullet"/>
      <w:lvlText w:val=""/>
      <w:lvlJc w:val="left"/>
      <w:pPr>
        <w:ind w:left="2160" w:hanging="360"/>
      </w:pPr>
      <w:rPr>
        <w:rFonts w:ascii="Wingdings" w:hAnsi="Wingdings" w:hint="default"/>
      </w:rPr>
    </w:lvl>
    <w:lvl w:ilvl="3" w:tplc="16089634">
      <w:start w:val="1"/>
      <w:numFmt w:val="bullet"/>
      <w:lvlText w:val=""/>
      <w:lvlJc w:val="left"/>
      <w:pPr>
        <w:ind w:left="2880" w:hanging="360"/>
      </w:pPr>
      <w:rPr>
        <w:rFonts w:ascii="Symbol" w:hAnsi="Symbol" w:hint="default"/>
      </w:rPr>
    </w:lvl>
    <w:lvl w:ilvl="4" w:tplc="C060C4B4">
      <w:start w:val="1"/>
      <w:numFmt w:val="bullet"/>
      <w:lvlText w:val="o"/>
      <w:lvlJc w:val="left"/>
      <w:pPr>
        <w:ind w:left="3600" w:hanging="360"/>
      </w:pPr>
      <w:rPr>
        <w:rFonts w:ascii="Courier New" w:hAnsi="Courier New" w:hint="default"/>
      </w:rPr>
    </w:lvl>
    <w:lvl w:ilvl="5" w:tplc="AD1C8AB6">
      <w:start w:val="1"/>
      <w:numFmt w:val="bullet"/>
      <w:lvlText w:val=""/>
      <w:lvlJc w:val="left"/>
      <w:pPr>
        <w:ind w:left="4320" w:hanging="360"/>
      </w:pPr>
      <w:rPr>
        <w:rFonts w:ascii="Wingdings" w:hAnsi="Wingdings" w:hint="default"/>
      </w:rPr>
    </w:lvl>
    <w:lvl w:ilvl="6" w:tplc="0090F430">
      <w:start w:val="1"/>
      <w:numFmt w:val="bullet"/>
      <w:lvlText w:val=""/>
      <w:lvlJc w:val="left"/>
      <w:pPr>
        <w:ind w:left="5040" w:hanging="360"/>
      </w:pPr>
      <w:rPr>
        <w:rFonts w:ascii="Symbol" w:hAnsi="Symbol" w:hint="default"/>
      </w:rPr>
    </w:lvl>
    <w:lvl w:ilvl="7" w:tplc="55E00BB8">
      <w:start w:val="1"/>
      <w:numFmt w:val="bullet"/>
      <w:lvlText w:val="o"/>
      <w:lvlJc w:val="left"/>
      <w:pPr>
        <w:ind w:left="5760" w:hanging="360"/>
      </w:pPr>
      <w:rPr>
        <w:rFonts w:ascii="Courier New" w:hAnsi="Courier New" w:hint="default"/>
      </w:rPr>
    </w:lvl>
    <w:lvl w:ilvl="8" w:tplc="EBB2B412">
      <w:start w:val="1"/>
      <w:numFmt w:val="bullet"/>
      <w:lvlText w:val=""/>
      <w:lvlJc w:val="left"/>
      <w:pPr>
        <w:ind w:left="6480" w:hanging="360"/>
      </w:pPr>
      <w:rPr>
        <w:rFonts w:ascii="Wingdings" w:hAnsi="Wingdings" w:hint="default"/>
      </w:rPr>
    </w:lvl>
  </w:abstractNum>
  <w:abstractNum w:abstractNumId="2" w15:restartNumberingAfterBreak="0">
    <w:nsid w:val="5463B92F"/>
    <w:multiLevelType w:val="hybridMultilevel"/>
    <w:tmpl w:val="FFFFFFFF"/>
    <w:lvl w:ilvl="0" w:tplc="E70C47E2">
      <w:start w:val="1"/>
      <w:numFmt w:val="bullet"/>
      <w:lvlText w:val=""/>
      <w:lvlJc w:val="left"/>
      <w:pPr>
        <w:ind w:left="720" w:hanging="360"/>
      </w:pPr>
      <w:rPr>
        <w:rFonts w:ascii="Symbol" w:hAnsi="Symbol" w:hint="default"/>
      </w:rPr>
    </w:lvl>
    <w:lvl w:ilvl="1" w:tplc="01AEA992">
      <w:start w:val="1"/>
      <w:numFmt w:val="bullet"/>
      <w:lvlText w:val="o"/>
      <w:lvlJc w:val="left"/>
      <w:pPr>
        <w:ind w:left="1440" w:hanging="360"/>
      </w:pPr>
      <w:rPr>
        <w:rFonts w:ascii="Courier New" w:hAnsi="Courier New" w:hint="default"/>
      </w:rPr>
    </w:lvl>
    <w:lvl w:ilvl="2" w:tplc="B38A4B3E">
      <w:start w:val="1"/>
      <w:numFmt w:val="bullet"/>
      <w:lvlText w:val=""/>
      <w:lvlJc w:val="left"/>
      <w:pPr>
        <w:ind w:left="2160" w:hanging="360"/>
      </w:pPr>
      <w:rPr>
        <w:rFonts w:ascii="Wingdings" w:hAnsi="Wingdings" w:hint="default"/>
      </w:rPr>
    </w:lvl>
    <w:lvl w:ilvl="3" w:tplc="1CD6C14A">
      <w:start w:val="1"/>
      <w:numFmt w:val="bullet"/>
      <w:lvlText w:val=""/>
      <w:lvlJc w:val="left"/>
      <w:pPr>
        <w:ind w:left="2880" w:hanging="360"/>
      </w:pPr>
      <w:rPr>
        <w:rFonts w:ascii="Symbol" w:hAnsi="Symbol" w:hint="default"/>
      </w:rPr>
    </w:lvl>
    <w:lvl w:ilvl="4" w:tplc="AEAEE130">
      <w:start w:val="1"/>
      <w:numFmt w:val="bullet"/>
      <w:lvlText w:val="o"/>
      <w:lvlJc w:val="left"/>
      <w:pPr>
        <w:ind w:left="3600" w:hanging="360"/>
      </w:pPr>
      <w:rPr>
        <w:rFonts w:ascii="Courier New" w:hAnsi="Courier New" w:hint="default"/>
      </w:rPr>
    </w:lvl>
    <w:lvl w:ilvl="5" w:tplc="8CD07708">
      <w:start w:val="1"/>
      <w:numFmt w:val="bullet"/>
      <w:lvlText w:val=""/>
      <w:lvlJc w:val="left"/>
      <w:pPr>
        <w:ind w:left="4320" w:hanging="360"/>
      </w:pPr>
      <w:rPr>
        <w:rFonts w:ascii="Wingdings" w:hAnsi="Wingdings" w:hint="default"/>
      </w:rPr>
    </w:lvl>
    <w:lvl w:ilvl="6" w:tplc="E44608AE">
      <w:start w:val="1"/>
      <w:numFmt w:val="bullet"/>
      <w:lvlText w:val=""/>
      <w:lvlJc w:val="left"/>
      <w:pPr>
        <w:ind w:left="5040" w:hanging="360"/>
      </w:pPr>
      <w:rPr>
        <w:rFonts w:ascii="Symbol" w:hAnsi="Symbol" w:hint="default"/>
      </w:rPr>
    </w:lvl>
    <w:lvl w:ilvl="7" w:tplc="6E4E2DF2">
      <w:start w:val="1"/>
      <w:numFmt w:val="bullet"/>
      <w:lvlText w:val="o"/>
      <w:lvlJc w:val="left"/>
      <w:pPr>
        <w:ind w:left="5760" w:hanging="360"/>
      </w:pPr>
      <w:rPr>
        <w:rFonts w:ascii="Courier New" w:hAnsi="Courier New" w:hint="default"/>
      </w:rPr>
    </w:lvl>
    <w:lvl w:ilvl="8" w:tplc="077A2FAC">
      <w:start w:val="1"/>
      <w:numFmt w:val="bullet"/>
      <w:lvlText w:val=""/>
      <w:lvlJc w:val="left"/>
      <w:pPr>
        <w:ind w:left="6480" w:hanging="360"/>
      </w:pPr>
      <w:rPr>
        <w:rFonts w:ascii="Wingdings" w:hAnsi="Wingdings" w:hint="default"/>
      </w:rPr>
    </w:lvl>
  </w:abstractNum>
  <w:abstractNum w:abstractNumId="3" w15:restartNumberingAfterBreak="0">
    <w:nsid w:val="7813C342"/>
    <w:multiLevelType w:val="hybridMultilevel"/>
    <w:tmpl w:val="FFFFFFFF"/>
    <w:lvl w:ilvl="0" w:tplc="6E58A166">
      <w:start w:val="1"/>
      <w:numFmt w:val="bullet"/>
      <w:lvlText w:val=""/>
      <w:lvlJc w:val="left"/>
      <w:pPr>
        <w:ind w:left="720" w:hanging="360"/>
      </w:pPr>
      <w:rPr>
        <w:rFonts w:ascii="Symbol" w:hAnsi="Symbol" w:hint="default"/>
      </w:rPr>
    </w:lvl>
    <w:lvl w:ilvl="1" w:tplc="46C2E2DA">
      <w:start w:val="1"/>
      <w:numFmt w:val="bullet"/>
      <w:lvlText w:val="o"/>
      <w:lvlJc w:val="left"/>
      <w:pPr>
        <w:ind w:left="1440" w:hanging="360"/>
      </w:pPr>
      <w:rPr>
        <w:rFonts w:ascii="Courier New" w:hAnsi="Courier New" w:hint="default"/>
      </w:rPr>
    </w:lvl>
    <w:lvl w:ilvl="2" w:tplc="61E88158">
      <w:start w:val="1"/>
      <w:numFmt w:val="bullet"/>
      <w:lvlText w:val=""/>
      <w:lvlJc w:val="left"/>
      <w:pPr>
        <w:ind w:left="2160" w:hanging="360"/>
      </w:pPr>
      <w:rPr>
        <w:rFonts w:ascii="Wingdings" w:hAnsi="Wingdings" w:hint="default"/>
      </w:rPr>
    </w:lvl>
    <w:lvl w:ilvl="3" w:tplc="7AD48F28">
      <w:start w:val="1"/>
      <w:numFmt w:val="bullet"/>
      <w:lvlText w:val=""/>
      <w:lvlJc w:val="left"/>
      <w:pPr>
        <w:ind w:left="2880" w:hanging="360"/>
      </w:pPr>
      <w:rPr>
        <w:rFonts w:ascii="Symbol" w:hAnsi="Symbol" w:hint="default"/>
      </w:rPr>
    </w:lvl>
    <w:lvl w:ilvl="4" w:tplc="66D2EAA4">
      <w:start w:val="1"/>
      <w:numFmt w:val="bullet"/>
      <w:lvlText w:val="o"/>
      <w:lvlJc w:val="left"/>
      <w:pPr>
        <w:ind w:left="3600" w:hanging="360"/>
      </w:pPr>
      <w:rPr>
        <w:rFonts w:ascii="Courier New" w:hAnsi="Courier New" w:hint="default"/>
      </w:rPr>
    </w:lvl>
    <w:lvl w:ilvl="5" w:tplc="463605B0">
      <w:start w:val="1"/>
      <w:numFmt w:val="bullet"/>
      <w:lvlText w:val=""/>
      <w:lvlJc w:val="left"/>
      <w:pPr>
        <w:ind w:left="4320" w:hanging="360"/>
      </w:pPr>
      <w:rPr>
        <w:rFonts w:ascii="Wingdings" w:hAnsi="Wingdings" w:hint="default"/>
      </w:rPr>
    </w:lvl>
    <w:lvl w:ilvl="6" w:tplc="6BF06E66">
      <w:start w:val="1"/>
      <w:numFmt w:val="bullet"/>
      <w:lvlText w:val=""/>
      <w:lvlJc w:val="left"/>
      <w:pPr>
        <w:ind w:left="5040" w:hanging="360"/>
      </w:pPr>
      <w:rPr>
        <w:rFonts w:ascii="Symbol" w:hAnsi="Symbol" w:hint="default"/>
      </w:rPr>
    </w:lvl>
    <w:lvl w:ilvl="7" w:tplc="DB503D52">
      <w:start w:val="1"/>
      <w:numFmt w:val="bullet"/>
      <w:lvlText w:val="o"/>
      <w:lvlJc w:val="left"/>
      <w:pPr>
        <w:ind w:left="5760" w:hanging="360"/>
      </w:pPr>
      <w:rPr>
        <w:rFonts w:ascii="Courier New" w:hAnsi="Courier New" w:hint="default"/>
      </w:rPr>
    </w:lvl>
    <w:lvl w:ilvl="8" w:tplc="071275EA">
      <w:start w:val="1"/>
      <w:numFmt w:val="bullet"/>
      <w:lvlText w:val=""/>
      <w:lvlJc w:val="left"/>
      <w:pPr>
        <w:ind w:left="6480" w:hanging="360"/>
      </w:pPr>
      <w:rPr>
        <w:rFonts w:ascii="Wingdings" w:hAnsi="Wingdings" w:hint="default"/>
      </w:rPr>
    </w:lvl>
  </w:abstractNum>
  <w:num w:numId="1" w16cid:durableId="756638362">
    <w:abstractNumId w:val="1"/>
  </w:num>
  <w:num w:numId="2" w16cid:durableId="719131754">
    <w:abstractNumId w:val="0"/>
  </w:num>
  <w:num w:numId="3" w16cid:durableId="1274358019">
    <w:abstractNumId w:val="3"/>
  </w:num>
  <w:num w:numId="4" w16cid:durableId="19400167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F71"/>
    <w:rsid w:val="00014098"/>
    <w:rsid w:val="00017628"/>
    <w:rsid w:val="0001768E"/>
    <w:rsid w:val="00046E11"/>
    <w:rsid w:val="00053803"/>
    <w:rsid w:val="00054428"/>
    <w:rsid w:val="000A1D27"/>
    <w:rsid w:val="000A1E08"/>
    <w:rsid w:val="000C259B"/>
    <w:rsid w:val="0013667B"/>
    <w:rsid w:val="00151D4E"/>
    <w:rsid w:val="00176AEA"/>
    <w:rsid w:val="001807BC"/>
    <w:rsid w:val="001808A2"/>
    <w:rsid w:val="00186931"/>
    <w:rsid w:val="00191502"/>
    <w:rsid w:val="00197902"/>
    <w:rsid w:val="001A327D"/>
    <w:rsid w:val="001A58C0"/>
    <w:rsid w:val="001B17CF"/>
    <w:rsid w:val="001C04E7"/>
    <w:rsid w:val="001D37A3"/>
    <w:rsid w:val="002262BC"/>
    <w:rsid w:val="00237FBA"/>
    <w:rsid w:val="00271A7B"/>
    <w:rsid w:val="002B0FDA"/>
    <w:rsid w:val="002B1938"/>
    <w:rsid w:val="002B3F54"/>
    <w:rsid w:val="003034A5"/>
    <w:rsid w:val="0031727D"/>
    <w:rsid w:val="00336025"/>
    <w:rsid w:val="00356682"/>
    <w:rsid w:val="00383BB3"/>
    <w:rsid w:val="00397AAB"/>
    <w:rsid w:val="00402C1E"/>
    <w:rsid w:val="00404FEC"/>
    <w:rsid w:val="00416CD4"/>
    <w:rsid w:val="004426E9"/>
    <w:rsid w:val="0046028B"/>
    <w:rsid w:val="004E35FD"/>
    <w:rsid w:val="00507D8D"/>
    <w:rsid w:val="00517479"/>
    <w:rsid w:val="00521D4C"/>
    <w:rsid w:val="005452BA"/>
    <w:rsid w:val="005757C2"/>
    <w:rsid w:val="005901F2"/>
    <w:rsid w:val="00614C02"/>
    <w:rsid w:val="00650248"/>
    <w:rsid w:val="00657557"/>
    <w:rsid w:val="00666D07"/>
    <w:rsid w:val="00670BEB"/>
    <w:rsid w:val="00674CF1"/>
    <w:rsid w:val="006759C6"/>
    <w:rsid w:val="006B26CC"/>
    <w:rsid w:val="00717704"/>
    <w:rsid w:val="007328DB"/>
    <w:rsid w:val="007650CA"/>
    <w:rsid w:val="007A3310"/>
    <w:rsid w:val="007D74E4"/>
    <w:rsid w:val="008035D4"/>
    <w:rsid w:val="00832F61"/>
    <w:rsid w:val="00853C0F"/>
    <w:rsid w:val="008618B3"/>
    <w:rsid w:val="0086271B"/>
    <w:rsid w:val="00874E20"/>
    <w:rsid w:val="008972D9"/>
    <w:rsid w:val="008A719B"/>
    <w:rsid w:val="008C7054"/>
    <w:rsid w:val="008D7BDD"/>
    <w:rsid w:val="008E53CD"/>
    <w:rsid w:val="008F3798"/>
    <w:rsid w:val="00910A3E"/>
    <w:rsid w:val="009226AD"/>
    <w:rsid w:val="00964F2C"/>
    <w:rsid w:val="00987A2F"/>
    <w:rsid w:val="009B4AD3"/>
    <w:rsid w:val="009C0784"/>
    <w:rsid w:val="009C6EED"/>
    <w:rsid w:val="00A22BA1"/>
    <w:rsid w:val="00A32C46"/>
    <w:rsid w:val="00A7125A"/>
    <w:rsid w:val="00B15E48"/>
    <w:rsid w:val="00B858F7"/>
    <w:rsid w:val="00C31AF8"/>
    <w:rsid w:val="00C33943"/>
    <w:rsid w:val="00CD0713"/>
    <w:rsid w:val="00CD43C5"/>
    <w:rsid w:val="00CE73B9"/>
    <w:rsid w:val="00D042E0"/>
    <w:rsid w:val="00D06B66"/>
    <w:rsid w:val="00D44C1F"/>
    <w:rsid w:val="00D643A8"/>
    <w:rsid w:val="00D9260B"/>
    <w:rsid w:val="00DC4732"/>
    <w:rsid w:val="00DD2399"/>
    <w:rsid w:val="00DE3A1E"/>
    <w:rsid w:val="00E0042E"/>
    <w:rsid w:val="00E263DA"/>
    <w:rsid w:val="00E31E09"/>
    <w:rsid w:val="00E33B3F"/>
    <w:rsid w:val="00E667A9"/>
    <w:rsid w:val="00E8204F"/>
    <w:rsid w:val="00E91538"/>
    <w:rsid w:val="00EA552A"/>
    <w:rsid w:val="00EC2ABA"/>
    <w:rsid w:val="00F170A4"/>
    <w:rsid w:val="00F22F62"/>
    <w:rsid w:val="00F240E4"/>
    <w:rsid w:val="00F43F71"/>
    <w:rsid w:val="00F51422"/>
    <w:rsid w:val="00FE352B"/>
    <w:rsid w:val="0134A208"/>
    <w:rsid w:val="018F0814"/>
    <w:rsid w:val="0906355F"/>
    <w:rsid w:val="0AB47B19"/>
    <w:rsid w:val="0AB5DCDA"/>
    <w:rsid w:val="0B3C3DE8"/>
    <w:rsid w:val="0F972ED5"/>
    <w:rsid w:val="109BC7F8"/>
    <w:rsid w:val="164218FC"/>
    <w:rsid w:val="1C40C7D0"/>
    <w:rsid w:val="1DD37CB6"/>
    <w:rsid w:val="2035156E"/>
    <w:rsid w:val="2AA15B64"/>
    <w:rsid w:val="2E914947"/>
    <w:rsid w:val="32C9C38B"/>
    <w:rsid w:val="33D41E2A"/>
    <w:rsid w:val="36E71397"/>
    <w:rsid w:val="3B12DBF3"/>
    <w:rsid w:val="3B8F2C2E"/>
    <w:rsid w:val="3D20094D"/>
    <w:rsid w:val="3ED2A42B"/>
    <w:rsid w:val="4370109F"/>
    <w:rsid w:val="4644B86A"/>
    <w:rsid w:val="46D6C5A4"/>
    <w:rsid w:val="470B4B0A"/>
    <w:rsid w:val="493EEA21"/>
    <w:rsid w:val="49945299"/>
    <w:rsid w:val="4A4A0F09"/>
    <w:rsid w:val="4C9413F6"/>
    <w:rsid w:val="4CABDA92"/>
    <w:rsid w:val="4F78774F"/>
    <w:rsid w:val="50312917"/>
    <w:rsid w:val="52AF4EC3"/>
    <w:rsid w:val="5454D217"/>
    <w:rsid w:val="57263431"/>
    <w:rsid w:val="57386C22"/>
    <w:rsid w:val="57F42FE0"/>
    <w:rsid w:val="5ACBCE50"/>
    <w:rsid w:val="5CB2EE94"/>
    <w:rsid w:val="5FF5B03E"/>
    <w:rsid w:val="610B4FCB"/>
    <w:rsid w:val="61E08D8C"/>
    <w:rsid w:val="62E2C8CF"/>
    <w:rsid w:val="6598FFB6"/>
    <w:rsid w:val="65ECA1C6"/>
    <w:rsid w:val="67984C38"/>
    <w:rsid w:val="67EA27E0"/>
    <w:rsid w:val="68C286BF"/>
    <w:rsid w:val="695B589F"/>
    <w:rsid w:val="6DF87DF4"/>
    <w:rsid w:val="7042E788"/>
    <w:rsid w:val="747C9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5A65A7"/>
  <w15:chartTrackingRefBased/>
  <w15:docId w15:val="{6682C9C6-28B7-FF48-B611-29123128B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310"/>
  </w:style>
  <w:style w:type="paragraph" w:styleId="Heading1">
    <w:name w:val="heading 1"/>
    <w:basedOn w:val="Normal"/>
    <w:next w:val="Normal"/>
    <w:link w:val="Heading1Char"/>
    <w:uiPriority w:val="9"/>
    <w:qFormat/>
    <w:rsid w:val="00F43F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3F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3F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3F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F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F7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F7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F7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F7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F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3F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3F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3F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F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F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F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F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F71"/>
    <w:rPr>
      <w:rFonts w:eastAsiaTheme="majorEastAsia" w:cstheme="majorBidi"/>
      <w:color w:val="272727" w:themeColor="text1" w:themeTint="D8"/>
    </w:rPr>
  </w:style>
  <w:style w:type="paragraph" w:styleId="Title">
    <w:name w:val="Title"/>
    <w:basedOn w:val="Normal"/>
    <w:next w:val="Normal"/>
    <w:link w:val="TitleChar"/>
    <w:uiPriority w:val="10"/>
    <w:qFormat/>
    <w:rsid w:val="00F43F7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F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F7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F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F7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3F71"/>
    <w:rPr>
      <w:i/>
      <w:iCs/>
      <w:color w:val="404040" w:themeColor="text1" w:themeTint="BF"/>
    </w:rPr>
  </w:style>
  <w:style w:type="paragraph" w:styleId="ListParagraph">
    <w:name w:val="List Paragraph"/>
    <w:basedOn w:val="Normal"/>
    <w:uiPriority w:val="34"/>
    <w:qFormat/>
    <w:rsid w:val="00F43F71"/>
    <w:pPr>
      <w:ind w:left="720"/>
      <w:contextualSpacing/>
    </w:pPr>
  </w:style>
  <w:style w:type="character" w:styleId="IntenseEmphasis">
    <w:name w:val="Intense Emphasis"/>
    <w:basedOn w:val="DefaultParagraphFont"/>
    <w:uiPriority w:val="21"/>
    <w:qFormat/>
    <w:rsid w:val="00F43F71"/>
    <w:rPr>
      <w:i/>
      <w:iCs/>
      <w:color w:val="0F4761" w:themeColor="accent1" w:themeShade="BF"/>
    </w:rPr>
  </w:style>
  <w:style w:type="paragraph" w:styleId="IntenseQuote">
    <w:name w:val="Intense Quote"/>
    <w:basedOn w:val="Normal"/>
    <w:next w:val="Normal"/>
    <w:link w:val="IntenseQuoteChar"/>
    <w:uiPriority w:val="30"/>
    <w:qFormat/>
    <w:rsid w:val="00F43F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F71"/>
    <w:rPr>
      <w:i/>
      <w:iCs/>
      <w:color w:val="0F4761" w:themeColor="accent1" w:themeShade="BF"/>
    </w:rPr>
  </w:style>
  <w:style w:type="character" w:styleId="IntenseReference">
    <w:name w:val="Intense Reference"/>
    <w:basedOn w:val="DefaultParagraphFont"/>
    <w:uiPriority w:val="32"/>
    <w:qFormat/>
    <w:rsid w:val="00F43F71"/>
    <w:rPr>
      <w:b/>
      <w:bCs/>
      <w:smallCaps/>
      <w:color w:val="0F4761" w:themeColor="accent1" w:themeShade="BF"/>
      <w:spacing w:val="5"/>
    </w:rPr>
  </w:style>
  <w:style w:type="character" w:styleId="Hyperlink">
    <w:name w:val="Hyperlink"/>
    <w:basedOn w:val="DefaultParagraphFont"/>
    <w:uiPriority w:val="99"/>
    <w:unhideWhenUsed/>
    <w:rsid w:val="0001768E"/>
    <w:rPr>
      <w:color w:val="467886" w:themeColor="hyperlink"/>
      <w:u w:val="single"/>
    </w:rPr>
  </w:style>
  <w:style w:type="character" w:styleId="UnresolvedMention">
    <w:name w:val="Unresolved Mention"/>
    <w:basedOn w:val="DefaultParagraphFont"/>
    <w:uiPriority w:val="99"/>
    <w:semiHidden/>
    <w:unhideWhenUsed/>
    <w:rsid w:val="000176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nabellesanok.github.io/DS4200finalProject/" TargetMode="External"/><Relationship Id="rId5" Type="http://schemas.openxmlformats.org/officeDocument/2006/relationships/hyperlink" Target="https://github.com/annabellesanok/DS4200final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808</Words>
  <Characters>4606</Characters>
  <Application>Microsoft Office Word</Application>
  <DocSecurity>0</DocSecurity>
  <Lines>38</Lines>
  <Paragraphs>10</Paragraphs>
  <ScaleCrop>false</ScaleCrop>
  <Company/>
  <LinksUpToDate>false</LinksUpToDate>
  <CharactersWithSpaces>5404</CharactersWithSpaces>
  <SharedDoc>false</SharedDoc>
  <HLinks>
    <vt:vector size="6" baseType="variant">
      <vt:variant>
        <vt:i4>5111879</vt:i4>
      </vt:variant>
      <vt:variant>
        <vt:i4>0</vt:i4>
      </vt:variant>
      <vt:variant>
        <vt:i4>0</vt:i4>
      </vt:variant>
      <vt:variant>
        <vt:i4>5</vt:i4>
      </vt:variant>
      <vt:variant>
        <vt:lpwstr>https://github.com/annabellesanok/DS4200finalProject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Annabelle Sanok</dc:creator>
  <cp:keywords/>
  <dc:description/>
  <cp:lastModifiedBy>Annabelle Sanok</cp:lastModifiedBy>
  <cp:revision>2</cp:revision>
  <dcterms:created xsi:type="dcterms:W3CDTF">2024-04-19T20:12:00Z</dcterms:created>
  <dcterms:modified xsi:type="dcterms:W3CDTF">2024-04-19T20:12:00Z</dcterms:modified>
</cp:coreProperties>
</file>