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22e0c12f539c4362"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A20CD8" w14:textId="77777777" w:rsidR="007A0887" w:rsidRPr="00B85DDB" w:rsidRDefault="007A0887" w:rsidP="007A0887">
      <w:pPr>
        <w:keepNext/>
        <w:spacing w:after="0" w:line="360" w:lineRule="auto"/>
        <w:outlineLvl w:val="2"/>
        <w:rPr>
          <w:b/>
          <w:lang w:val="en-AU"/>
        </w:rPr>
      </w:pPr>
      <w:r w:rsidRPr="00B85DDB">
        <w:rPr>
          <w:b/>
          <w:lang w:val="en-AU"/>
        </w:rPr>
        <w:t>Material and methods</w:t>
      </w:r>
    </w:p>
    <w:p w14:paraId="57D37B48" w14:textId="77777777" w:rsidR="007A0887" w:rsidRPr="00B85DDB" w:rsidRDefault="007A0887" w:rsidP="007A0887">
      <w:pPr>
        <w:keepNext/>
        <w:spacing w:after="0" w:line="360" w:lineRule="auto"/>
        <w:rPr>
          <w:lang w:val="en-AU"/>
        </w:rPr>
      </w:pPr>
    </w:p>
    <w:p w14:paraId="672D5790" w14:textId="77777777" w:rsidR="007A0887" w:rsidRPr="00B85DDB" w:rsidRDefault="007A0887" w:rsidP="007A0887">
      <w:pPr>
        <w:keepNext/>
        <w:spacing w:after="0" w:line="360" w:lineRule="auto"/>
        <w:outlineLvl w:val="3"/>
        <w:rPr>
          <w:i/>
          <w:lang w:val="en-AU"/>
        </w:rPr>
      </w:pPr>
      <w:r w:rsidRPr="00B85DDB">
        <w:rPr>
          <w:i/>
          <w:lang w:val="en-AU"/>
        </w:rPr>
        <w:t>Study system</w:t>
      </w:r>
      <w:r>
        <w:rPr>
          <w:i/>
          <w:lang w:val="en-AU"/>
        </w:rPr>
        <w:t xml:space="preserve"> &amp; design</w:t>
      </w:r>
    </w:p>
    <w:p w14:paraId="51852A6B" w14:textId="77777777" w:rsidR="007A0887" w:rsidRPr="00B85DDB" w:rsidRDefault="007A0887" w:rsidP="007A0887">
      <w:pPr>
        <w:keepNext/>
        <w:spacing w:after="0" w:line="360" w:lineRule="auto"/>
        <w:rPr>
          <w:lang w:val="en-AU"/>
        </w:rPr>
      </w:pPr>
    </w:p>
    <w:p w14:paraId="7CB9356A" w14:textId="77777777" w:rsidR="007A0887" w:rsidRDefault="007A0887" w:rsidP="007A0887">
      <w:pPr>
        <w:spacing w:after="0" w:line="360" w:lineRule="auto"/>
      </w:pPr>
      <w:commentRangeStart w:id="0"/>
      <w:r>
        <w:t>The study was undertaken in two reserves in the Australian Capital Territory, around the city of Canberra (</w:t>
      </w:r>
      <w:r w:rsidRPr="007A0887">
        <w:rPr>
          <w:highlight w:val="yellow"/>
        </w:rPr>
        <w:t>Fig</w:t>
      </w:r>
      <w:proofErr w:type="gramStart"/>
      <w:r w:rsidRPr="007A0887">
        <w:rPr>
          <w:highlight w:val="yellow"/>
        </w:rPr>
        <w:t>.#</w:t>
      </w:r>
      <w:proofErr w:type="gramEnd"/>
      <w:r w:rsidRPr="007A0887">
        <w:rPr>
          <w:highlight w:val="yellow"/>
        </w:rPr>
        <w:t>).</w:t>
      </w:r>
      <w:r>
        <w:t xml:space="preserve"> </w:t>
      </w:r>
      <w:r w:rsidRPr="00093CBD">
        <w:rPr>
          <w:rFonts w:eastAsia="Times New Roman"/>
        </w:rPr>
        <w:t>The region has a cool temperate climate, with me</w:t>
      </w:r>
      <w:r>
        <w:rPr>
          <w:rFonts w:eastAsia="Times New Roman"/>
        </w:rPr>
        <w:t>an temperatures ranging from 13–</w:t>
      </w:r>
      <w:r w:rsidRPr="00093CBD">
        <w:rPr>
          <w:rFonts w:eastAsia="Times New Roman"/>
        </w:rPr>
        <w:t xml:space="preserve">28 ºC in </w:t>
      </w:r>
      <w:r>
        <w:rPr>
          <w:rFonts w:eastAsia="Times New Roman"/>
        </w:rPr>
        <w:t>summer to 0–</w:t>
      </w:r>
      <w:r w:rsidRPr="00093CBD">
        <w:rPr>
          <w:rFonts w:eastAsia="Times New Roman"/>
        </w:rPr>
        <w:t>11 ºC in winter (Australian Government Bureau of Meteorology). Mean annual precipitation is 629 mm</w:t>
      </w:r>
      <w:r>
        <w:rPr>
          <w:rFonts w:eastAsia="Times New Roman"/>
        </w:rPr>
        <w:t xml:space="preserve"> but is highly variable</w:t>
      </w:r>
      <w:r w:rsidRPr="00093CBD">
        <w:rPr>
          <w:rFonts w:eastAsia="Times New Roman"/>
        </w:rPr>
        <w:t xml:space="preserve"> and rainfall is </w:t>
      </w:r>
      <w:r>
        <w:rPr>
          <w:rFonts w:eastAsia="Times New Roman"/>
        </w:rPr>
        <w:t xml:space="preserve">generally </w:t>
      </w:r>
      <w:r w:rsidRPr="00093CBD">
        <w:rPr>
          <w:rFonts w:eastAsia="Times New Roman"/>
        </w:rPr>
        <w:t xml:space="preserve">distributed throughout the year. </w:t>
      </w:r>
      <w:r>
        <w:t xml:space="preserve">The ecological community is classified as Natural Temperate Grassland and is listed as threatened at the regional level (Australian Capital Territory Government </w:t>
      </w:r>
      <w:r w:rsidRPr="00E56D74">
        <w:rPr>
          <w:i/>
        </w:rPr>
        <w:t>Nature Conservation Act</w:t>
      </w:r>
      <w:r>
        <w:t xml:space="preserve"> 2014) and as critically endangered at the national level (Australian Government </w:t>
      </w:r>
      <w:r w:rsidRPr="00696947">
        <w:rPr>
          <w:i/>
        </w:rPr>
        <w:t>Environment Protection and Biodiversity Conservation Act 1999</w:t>
      </w:r>
      <w:r>
        <w:t xml:space="preserve">). </w:t>
      </w:r>
      <w:r>
        <w:rPr>
          <w:rFonts w:eastAsia="Times New Roman"/>
        </w:rPr>
        <w:t>Approximately 95% of N</w:t>
      </w:r>
      <w:r w:rsidRPr="00093CBD">
        <w:rPr>
          <w:rFonts w:eastAsia="Times New Roman"/>
        </w:rPr>
        <w:t xml:space="preserve">atural </w:t>
      </w:r>
      <w:r>
        <w:rPr>
          <w:rFonts w:eastAsia="Times New Roman"/>
        </w:rPr>
        <w:t>Temperate G</w:t>
      </w:r>
      <w:r w:rsidRPr="00093CBD">
        <w:rPr>
          <w:rFonts w:eastAsia="Times New Roman"/>
        </w:rPr>
        <w:t xml:space="preserve">rassland in </w:t>
      </w:r>
      <w:r>
        <w:t xml:space="preserve">Australia </w:t>
      </w:r>
      <w:r w:rsidRPr="00093CBD">
        <w:rPr>
          <w:rFonts w:eastAsia="Times New Roman"/>
        </w:rPr>
        <w:t xml:space="preserve">has been cleared or degraded since European </w:t>
      </w:r>
      <w:proofErr w:type="spellStart"/>
      <w:r w:rsidRPr="00093CBD">
        <w:rPr>
          <w:rFonts w:eastAsia="Times New Roman"/>
        </w:rPr>
        <w:t>colonisation</w:t>
      </w:r>
      <w:proofErr w:type="spellEnd"/>
      <w:r w:rsidRPr="00093CBD">
        <w:rPr>
          <w:rFonts w:eastAsia="Times New Roman"/>
        </w:rPr>
        <w:t xml:space="preserve"> </w:t>
      </w:r>
      <w:r>
        <w:rPr>
          <w:rFonts w:eastAsia="Times New Roman"/>
        </w:rPr>
        <w:fldChar w:fldCharType="begin"/>
      </w:r>
      <w:r>
        <w:rPr>
          <w:rFonts w:eastAsia="Times New Roman"/>
        </w:rPr>
        <w:instrText xml:space="preserve"> ADDIN EN.CITE &lt;EndNote&gt;&lt;Cite&gt;&lt;Author&gt;Keith&lt;/Author&gt;&lt;Year&gt;2004&lt;/Year&gt;&lt;RecNum&gt;1640&lt;/RecNum&gt;&lt;DisplayText&gt;(Keith 2004)&lt;/DisplayText&gt;&lt;record&gt;&lt;rec-number&gt;1640&lt;/rec-number&gt;&lt;foreign-keys&gt;&lt;key app="EN" db-id="xxvp9afd9xet57ezx93vevwkp9ea2e9vep9z" timestamp="1461308145"&gt;1640&lt;/key&gt;&lt;/foreign-keys&gt;&lt;ref-type name="Book"&gt;6&lt;/ref-type&gt;&lt;contributors&gt;&lt;authors&gt;&lt;author&gt;Keith, David Andrew&lt;/author&gt;&lt;/authors&gt;&lt;/contributors&gt;&lt;titles&gt;&lt;title&gt;Ocean shores to desert dunes: the native vegetation of NSW and the ACT.&lt;/title&gt;&lt;/titles&gt;&lt;dates&gt;&lt;year&gt;2004&lt;/year&gt;&lt;/dates&gt;&lt;pub-location&gt;Sydney&lt;/pub-location&gt;&lt;publisher&gt;Department of Environment and Conservation (NSW)&lt;/publisher&gt;&lt;isbn&gt;0731367804&lt;/isbn&gt;&lt;urls&gt;&lt;/urls&gt;&lt;/record&gt;&lt;/Cite&gt;&lt;/EndNote&gt;</w:instrText>
      </w:r>
      <w:r>
        <w:rPr>
          <w:rFonts w:eastAsia="Times New Roman"/>
        </w:rPr>
        <w:fldChar w:fldCharType="separate"/>
      </w:r>
      <w:r>
        <w:rPr>
          <w:rFonts w:eastAsia="Times New Roman"/>
          <w:noProof/>
        </w:rPr>
        <w:t>(Keith 2004)</w:t>
      </w:r>
      <w:r>
        <w:rPr>
          <w:rFonts w:eastAsia="Times New Roman"/>
        </w:rPr>
        <w:fldChar w:fldCharType="end"/>
      </w:r>
      <w:r>
        <w:rPr>
          <w:rFonts w:eastAsia="Times New Roman"/>
        </w:rPr>
        <w:t>.</w:t>
      </w:r>
      <w:r w:rsidRPr="00093CBD">
        <w:rPr>
          <w:rFonts w:eastAsia="Times New Roman"/>
        </w:rPr>
        <w:t xml:space="preserve"> </w:t>
      </w:r>
      <w:r>
        <w:rPr>
          <w:rFonts w:eastAsia="Times New Roman"/>
        </w:rPr>
        <w:t>Only</w:t>
      </w:r>
      <w:r w:rsidRPr="00093CBD">
        <w:rPr>
          <w:rFonts w:eastAsia="Times New Roman"/>
        </w:rPr>
        <w:t xml:space="preserve"> small fragments (</w:t>
      </w:r>
      <w:r>
        <w:rPr>
          <w:rFonts w:eastAsia="Times New Roman"/>
        </w:rPr>
        <w:t>25–140</w:t>
      </w:r>
      <w:r w:rsidRPr="00F75C3C">
        <w:rPr>
          <w:rFonts w:eastAsia="Times New Roman"/>
        </w:rPr>
        <w:t xml:space="preserve"> ha)</w:t>
      </w:r>
      <w:r w:rsidRPr="00093CBD">
        <w:rPr>
          <w:rFonts w:eastAsia="Times New Roman"/>
        </w:rPr>
        <w:t xml:space="preserve"> </w:t>
      </w:r>
      <w:r>
        <w:rPr>
          <w:rFonts w:eastAsia="Times New Roman"/>
        </w:rPr>
        <w:t xml:space="preserve">remain </w:t>
      </w:r>
      <w:r w:rsidRPr="00093CBD">
        <w:rPr>
          <w:rFonts w:eastAsia="Times New Roman"/>
        </w:rPr>
        <w:t xml:space="preserve">in an urban and agricultural matrix </w:t>
      </w:r>
      <w:r>
        <w:rPr>
          <w:rFonts w:eastAsia="Times New Roman"/>
        </w:rPr>
        <w:fldChar w:fldCharType="begin"/>
      </w:r>
      <w:r>
        <w:rPr>
          <w:rFonts w:eastAsia="Times New Roman"/>
        </w:rPr>
        <w:instrText xml:space="preserve"> ADDIN EN.CITE &lt;EndNote&gt;&lt;Cite ExcludeAuth="1"&gt;&lt;Year&gt;2005&lt;/Year&gt;&lt;RecNum&gt;1642&lt;/RecNum&gt;&lt;Prefix&gt;ACT Government&lt;/Prefix&gt;&lt;DisplayText&gt;(ACT Government 2005)&lt;/DisplayText&gt;&lt;record&gt;&lt;rec-number&gt;1642&lt;/rec-number&gt;&lt;foreign-keys&gt;&lt;key app="EN" db-id="xxvp9afd9xet57ezx93vevwkp9ea2e9vep9z" timestamp="1461309270"&gt;1642&lt;/key&gt;&lt;/foreign-keys&gt;&lt;ref-type name="Government Document"&gt;46&lt;/ref-type&gt;&lt;contributors&gt;&lt;secondary-authors&gt;&lt;author&gt;Environment Australian Captital Territory&lt;/author&gt;&lt;/secondary-authors&gt;&lt;/contributors&gt;&lt;titles&gt;&lt;title&gt;ACT Lowland Native Grassland Conservation Strategy.&lt;/title&gt;&lt;tertiary-title&gt;ACT Government&lt;/tertiary-title&gt;&lt;/titles&gt;&lt;dates&gt;&lt;year&gt;2005&lt;/year&gt;&lt;/dates&gt;&lt;pub-location&gt;Canberra&lt;/pub-location&gt;&lt;publisher&gt;Australian Capital Territory Government&lt;/publisher&gt;&lt;urls&gt;&lt;/urls&gt;&lt;/record&gt;&lt;/Cite&gt;&lt;/EndNote&gt;</w:instrText>
      </w:r>
      <w:r>
        <w:rPr>
          <w:rFonts w:eastAsia="Times New Roman"/>
        </w:rPr>
        <w:fldChar w:fldCharType="separate"/>
      </w:r>
      <w:r>
        <w:rPr>
          <w:rFonts w:eastAsia="Times New Roman"/>
          <w:noProof/>
        </w:rPr>
        <w:t>(ACT Government 2005)</w:t>
      </w:r>
      <w:r>
        <w:rPr>
          <w:rFonts w:eastAsia="Times New Roman"/>
        </w:rPr>
        <w:fldChar w:fldCharType="end"/>
      </w:r>
      <w:r w:rsidRPr="00093CBD">
        <w:rPr>
          <w:rFonts w:eastAsia="Times New Roman"/>
        </w:rPr>
        <w:t xml:space="preserve">. </w:t>
      </w:r>
      <w:r>
        <w:t xml:space="preserve">Native grasses include </w:t>
      </w:r>
      <w:r w:rsidRPr="00D02F01">
        <w:rPr>
          <w:i/>
        </w:rPr>
        <w:t>Themeda</w:t>
      </w:r>
      <w:r>
        <w:t xml:space="preserve">, </w:t>
      </w:r>
      <w:r w:rsidRPr="00D02F01">
        <w:rPr>
          <w:i/>
        </w:rPr>
        <w:t>Austrostipa</w:t>
      </w:r>
      <w:r>
        <w:t xml:space="preserve">, </w:t>
      </w:r>
      <w:r w:rsidRPr="00D02F01">
        <w:rPr>
          <w:i/>
        </w:rPr>
        <w:t>Rytidosperma</w:t>
      </w:r>
      <w:r>
        <w:t xml:space="preserve">, </w:t>
      </w:r>
      <w:r w:rsidRPr="00D02F01">
        <w:rPr>
          <w:i/>
        </w:rPr>
        <w:t>Poa</w:t>
      </w:r>
      <w:r>
        <w:t xml:space="preserve"> and </w:t>
      </w:r>
      <w:r w:rsidRPr="00817384">
        <w:rPr>
          <w:i/>
        </w:rPr>
        <w:t>Bothriochloa</w:t>
      </w:r>
      <w:r>
        <w:t xml:space="preserve"> species and common exotic grasses include </w:t>
      </w:r>
      <w:r w:rsidRPr="00A36B99">
        <w:rPr>
          <w:i/>
        </w:rPr>
        <w:t>Avena</w:t>
      </w:r>
      <w:r>
        <w:t xml:space="preserve">, </w:t>
      </w:r>
      <w:r w:rsidRPr="00A36B99">
        <w:rPr>
          <w:i/>
        </w:rPr>
        <w:t>Phalaris</w:t>
      </w:r>
      <w:r>
        <w:t xml:space="preserve">, </w:t>
      </w:r>
      <w:r w:rsidRPr="00A36B99">
        <w:rPr>
          <w:i/>
        </w:rPr>
        <w:t>Bromus</w:t>
      </w:r>
      <w:r>
        <w:t xml:space="preserve">, </w:t>
      </w:r>
      <w:r w:rsidRPr="00A36B99">
        <w:rPr>
          <w:i/>
        </w:rPr>
        <w:t>Aira</w:t>
      </w:r>
      <w:r>
        <w:t xml:space="preserve"> and </w:t>
      </w:r>
      <w:r w:rsidRPr="00A36B99">
        <w:rPr>
          <w:i/>
        </w:rPr>
        <w:t>Vulpia</w:t>
      </w:r>
      <w:r>
        <w:t xml:space="preserve"> species. </w:t>
      </w:r>
      <w:commentRangeEnd w:id="0"/>
      <w:r w:rsidR="00480182">
        <w:rPr>
          <w:rStyle w:val="CommentReference"/>
        </w:rPr>
        <w:commentReference w:id="0"/>
      </w:r>
    </w:p>
    <w:p w14:paraId="68432EF2" w14:textId="77777777" w:rsidR="007A0887" w:rsidRDefault="007A0887" w:rsidP="007A0887">
      <w:pPr>
        <w:spacing w:after="0" w:line="360" w:lineRule="auto"/>
      </w:pPr>
    </w:p>
    <w:p w14:paraId="746CFB76" w14:textId="6E5DB5DB" w:rsidR="00420A7C" w:rsidRDefault="007A0887" w:rsidP="007A0887">
      <w:pPr>
        <w:spacing w:after="0" w:line="360" w:lineRule="auto"/>
      </w:pPr>
      <w:r>
        <w:t xml:space="preserve">In each reserve, we established eight sites in areas of forb rich natural temperate grassland </w:t>
      </w:r>
      <w:r w:rsidR="00420A7C">
        <w:t xml:space="preserve">with no St </w:t>
      </w:r>
      <w:proofErr w:type="gramStart"/>
      <w:r w:rsidR="00420A7C">
        <w:t>john’s</w:t>
      </w:r>
      <w:proofErr w:type="gramEnd"/>
      <w:r w:rsidR="00420A7C">
        <w:t xml:space="preserve"> Wort</w:t>
      </w:r>
      <w:r>
        <w:t xml:space="preserve"> (</w:t>
      </w:r>
      <w:r w:rsidRPr="007A0887">
        <w:rPr>
          <w:highlight w:val="yellow"/>
        </w:rPr>
        <w:t>Fig #</w:t>
      </w:r>
      <w:r>
        <w:t xml:space="preserve">). </w:t>
      </w:r>
      <w:r w:rsidR="00420A7C">
        <w:t>Sites were separated by at least 106 m (range 106-387 m) within reserves. Each site contained two treatment plots (</w:t>
      </w:r>
      <w:r w:rsidR="00420A7C" w:rsidRPr="00420A7C">
        <w:t>1. spot spray</w:t>
      </w:r>
      <w:r w:rsidR="00556F7C">
        <w:t xml:space="preserve"> (Plot A)</w:t>
      </w:r>
      <w:r w:rsidR="00420A7C" w:rsidRPr="00420A7C">
        <w:t>;</w:t>
      </w:r>
      <w:r w:rsidR="00420A7C">
        <w:t xml:space="preserve"> and</w:t>
      </w:r>
      <w:r w:rsidR="00420A7C" w:rsidRPr="00420A7C">
        <w:t xml:space="preserve"> 2. boom spray</w:t>
      </w:r>
      <w:r w:rsidR="00420A7C">
        <w:t xml:space="preserve"> – fine droplet</w:t>
      </w:r>
      <w:r w:rsidR="00556F7C">
        <w:t xml:space="preserve"> (Plot B)</w:t>
      </w:r>
      <w:r w:rsidR="00420A7C">
        <w:t>) and one control plot (not sprayed</w:t>
      </w:r>
      <w:r w:rsidR="00556F7C">
        <w:t xml:space="preserve"> (Plot C)</w:t>
      </w:r>
      <w:r w:rsidR="00420A7C">
        <w:t>) (</w:t>
      </w:r>
      <w:r w:rsidR="00420A7C" w:rsidRPr="00420A7C">
        <w:rPr>
          <w:highlight w:val="yellow"/>
        </w:rPr>
        <w:t>Fig. #</w:t>
      </w:r>
      <w:r w:rsidR="00420A7C">
        <w:t>).</w:t>
      </w:r>
      <w:r w:rsidR="00FF1BEE">
        <w:t xml:space="preserve"> </w:t>
      </w:r>
      <w:r w:rsidR="008D6752">
        <w:t>The location of the plots were position to include</w:t>
      </w:r>
      <w:r w:rsidR="00420A7C">
        <w:t xml:space="preserve"> the following</w:t>
      </w:r>
      <w:r w:rsidR="001942B2">
        <w:t xml:space="preserve"> group</w:t>
      </w:r>
      <w:r w:rsidR="00AF0749">
        <w:t xml:space="preserve"> of native species:</w:t>
      </w:r>
      <w:r w:rsidR="00420A7C" w:rsidRPr="00AF0749">
        <w:rPr>
          <w:rFonts w:eastAsia="Times New Roman"/>
        </w:rPr>
        <w:t xml:space="preserve"> </w:t>
      </w:r>
      <w:r w:rsidR="00AF0749" w:rsidRPr="00AF0749">
        <w:rPr>
          <w:rFonts w:eastAsia="Times New Roman"/>
          <w:i/>
        </w:rPr>
        <w:t>Eryngium ovatum</w:t>
      </w:r>
      <w:r w:rsidR="00AF0749" w:rsidRPr="00AF0749">
        <w:rPr>
          <w:rFonts w:eastAsia="Times New Roman"/>
        </w:rPr>
        <w:t xml:space="preserve"> (</w:t>
      </w:r>
      <w:proofErr w:type="spellStart"/>
      <w:r w:rsidR="00AF0749" w:rsidRPr="00AF0749">
        <w:rPr>
          <w:rFonts w:eastAsia="Times New Roman"/>
        </w:rPr>
        <w:t>Apiacea</w:t>
      </w:r>
      <w:proofErr w:type="spellEnd"/>
      <w:r w:rsidR="00AF0749" w:rsidRPr="00AF0749">
        <w:rPr>
          <w:rFonts w:eastAsia="Times New Roman"/>
        </w:rPr>
        <w:t xml:space="preserve">), </w:t>
      </w:r>
      <w:r w:rsidR="00AF0749" w:rsidRPr="00AF0749">
        <w:rPr>
          <w:rFonts w:eastAsia="Times New Roman"/>
          <w:i/>
        </w:rPr>
        <w:t>Chrysocephalum apiculatum</w:t>
      </w:r>
      <w:r w:rsidR="00AF0749" w:rsidRPr="00AF0749">
        <w:rPr>
          <w:rFonts w:eastAsia="Times New Roman"/>
        </w:rPr>
        <w:t xml:space="preserve"> (Asteraceae), </w:t>
      </w:r>
      <w:r w:rsidR="00070B23" w:rsidRPr="00070B23">
        <w:rPr>
          <w:rFonts w:eastAsia="Times New Roman"/>
          <w:i/>
        </w:rPr>
        <w:t>Tricoryne</w:t>
      </w:r>
      <w:r w:rsidR="00070B23" w:rsidRPr="00AF0749">
        <w:rPr>
          <w:rFonts w:eastAsia="Times New Roman"/>
          <w:i/>
        </w:rPr>
        <w:t xml:space="preserve"> elatior</w:t>
      </w:r>
      <w:r w:rsidR="00070B23" w:rsidRPr="00AF0749">
        <w:rPr>
          <w:rFonts w:eastAsia="Times New Roman"/>
        </w:rPr>
        <w:t xml:space="preserve"> (Hemerocallidaceae)</w:t>
      </w:r>
      <w:r w:rsidR="00070B23">
        <w:rPr>
          <w:rFonts w:eastAsia="Times New Roman"/>
        </w:rPr>
        <w:t xml:space="preserve">, and </w:t>
      </w:r>
      <w:r w:rsidR="00AF0749" w:rsidRPr="00AF0749">
        <w:rPr>
          <w:rFonts w:eastAsia="Times New Roman"/>
        </w:rPr>
        <w:t>Desmodium and/or Glycine species (Fabaceae)</w:t>
      </w:r>
      <w:r w:rsidR="00070B23">
        <w:rPr>
          <w:rFonts w:eastAsia="Times New Roman"/>
        </w:rPr>
        <w:t>.</w:t>
      </w:r>
      <w:bookmarkStart w:id="1" w:name="_GoBack"/>
      <w:bookmarkEnd w:id="1"/>
      <w:r w:rsidR="00070B23">
        <w:rPr>
          <w:rFonts w:eastAsia="Times New Roman"/>
        </w:rPr>
        <w:t xml:space="preserve"> </w:t>
      </w:r>
      <w:r w:rsidR="008714DB">
        <w:t>Treatments were randomly assigned within each site and plots</w:t>
      </w:r>
      <w:r w:rsidR="00070B23">
        <w:rPr>
          <w:rFonts w:eastAsia="Times New Roman"/>
        </w:rPr>
        <w:t xml:space="preserve"> were</w:t>
      </w:r>
      <w:r w:rsidR="009D4E8A">
        <w:rPr>
          <w:rFonts w:eastAsia="Times New Roman"/>
        </w:rPr>
        <w:t xml:space="preserve"> </w:t>
      </w:r>
      <w:r w:rsidR="00070B23">
        <w:rPr>
          <w:rFonts w:eastAsia="Times New Roman"/>
        </w:rPr>
        <w:t>spaced at least 8 m apart (range 8-14 m)</w:t>
      </w:r>
      <w:r w:rsidR="009D4E8A">
        <w:rPr>
          <w:rFonts w:eastAsia="Times New Roman"/>
        </w:rPr>
        <w:t xml:space="preserve">. Each plot was </w:t>
      </w:r>
      <w:r w:rsidR="009D4E8A">
        <w:t>1 m</w:t>
      </w:r>
      <w:r w:rsidR="009D4E8A" w:rsidRPr="00392DF9">
        <w:rPr>
          <w:vertAlign w:val="superscript"/>
        </w:rPr>
        <w:t>2</w:t>
      </w:r>
      <w:r w:rsidR="009D4E8A">
        <w:rPr>
          <w:vertAlign w:val="superscript"/>
        </w:rPr>
        <w:t xml:space="preserve"> </w:t>
      </w:r>
      <w:r w:rsidR="009D4E8A">
        <w:t xml:space="preserve">with a 0.5 m buffer. </w:t>
      </w:r>
    </w:p>
    <w:p w14:paraId="144CAF6A" w14:textId="77777777" w:rsidR="00961AAC" w:rsidRDefault="00961AAC" w:rsidP="007A0887">
      <w:pPr>
        <w:spacing w:after="0" w:line="360" w:lineRule="auto"/>
      </w:pPr>
    </w:p>
    <w:p w14:paraId="13F7E03F" w14:textId="6DB43DBA" w:rsidR="00B62F2F" w:rsidRDefault="00961AAC" w:rsidP="007A0887">
      <w:pPr>
        <w:spacing w:after="0" w:line="360" w:lineRule="auto"/>
      </w:pPr>
      <w:r>
        <w:t xml:space="preserve">The herbicide </w:t>
      </w:r>
      <w:proofErr w:type="spellStart"/>
      <w:r>
        <w:t>f</w:t>
      </w:r>
      <w:r w:rsidR="00481FDA">
        <w:t>luroxypyr</w:t>
      </w:r>
      <w:proofErr w:type="spellEnd"/>
      <w:r w:rsidR="00481FDA">
        <w:t xml:space="preserve"> (</w:t>
      </w:r>
      <w:proofErr w:type="spellStart"/>
      <w:r w:rsidR="00481FDA">
        <w:t>Starane</w:t>
      </w:r>
      <w:proofErr w:type="spellEnd"/>
      <w:r w:rsidR="00481FDA">
        <w:t xml:space="preserve"> Advanced) was applied</w:t>
      </w:r>
      <w:r w:rsidR="00D34C68">
        <w:t xml:space="preserve"> to</w:t>
      </w:r>
      <w:r w:rsidR="00B62F2F">
        <w:t xml:space="preserve"> all treatment plots</w:t>
      </w:r>
      <w:r>
        <w:t xml:space="preserve"> (including buffers) </w:t>
      </w:r>
      <w:r w:rsidR="00B62F2F">
        <w:t xml:space="preserve">using one of the following two application methods and rates: </w:t>
      </w:r>
    </w:p>
    <w:p w14:paraId="27628676" w14:textId="77777777" w:rsidR="00B62F2F" w:rsidRPr="00B62F2F" w:rsidRDefault="00B62F2F" w:rsidP="00B62F2F">
      <w:pPr>
        <w:pStyle w:val="Paragraph"/>
        <w:numPr>
          <w:ilvl w:val="0"/>
          <w:numId w:val="2"/>
        </w:numPr>
        <w:rPr>
          <w:rFonts w:ascii="Times New Roman" w:eastAsia="Cambria" w:hAnsi="Times New Roman" w:cs="Times New Roman"/>
          <w:sz w:val="24"/>
          <w:szCs w:val="24"/>
          <w:lang w:val="en-US"/>
        </w:rPr>
      </w:pPr>
      <w:r w:rsidRPr="00B62F2F">
        <w:rPr>
          <w:rFonts w:ascii="Times New Roman" w:eastAsia="Cambria" w:hAnsi="Times New Roman" w:cs="Times New Roman"/>
          <w:sz w:val="24"/>
          <w:szCs w:val="24"/>
          <w:lang w:val="en-US"/>
        </w:rPr>
        <w:t xml:space="preserve">Spot spraying with quick spray unit </w:t>
      </w:r>
      <w:r>
        <w:rPr>
          <w:rFonts w:ascii="Times New Roman" w:eastAsia="Cambria" w:hAnsi="Times New Roman" w:cs="Times New Roman"/>
          <w:sz w:val="24"/>
          <w:szCs w:val="24"/>
          <w:lang w:val="en-US"/>
        </w:rPr>
        <w:t xml:space="preserve">at a rate of 300ml </w:t>
      </w:r>
      <w:proofErr w:type="spellStart"/>
      <w:r>
        <w:rPr>
          <w:rFonts w:ascii="Times New Roman" w:eastAsia="Cambria" w:hAnsi="Times New Roman" w:cs="Times New Roman"/>
          <w:sz w:val="24"/>
          <w:szCs w:val="24"/>
          <w:lang w:val="en-US"/>
        </w:rPr>
        <w:t>fluroxypyr</w:t>
      </w:r>
      <w:proofErr w:type="spellEnd"/>
      <w:r>
        <w:rPr>
          <w:rFonts w:ascii="Times New Roman" w:eastAsia="Cambria" w:hAnsi="Times New Roman" w:cs="Times New Roman"/>
          <w:sz w:val="24"/>
          <w:szCs w:val="24"/>
          <w:lang w:val="en-US"/>
        </w:rPr>
        <w:t xml:space="preserve"> per 100L water plus </w:t>
      </w:r>
      <w:r w:rsidRPr="00B62F2F">
        <w:rPr>
          <w:rFonts w:ascii="Times New Roman" w:eastAsia="Cambria" w:hAnsi="Times New Roman" w:cs="Times New Roman"/>
          <w:sz w:val="24"/>
          <w:szCs w:val="24"/>
          <w:lang w:val="en-US"/>
        </w:rPr>
        <w:t>500ml Uptake Oil per 100L water</w:t>
      </w:r>
      <w:r>
        <w:rPr>
          <w:rFonts w:ascii="Times New Roman" w:eastAsia="Cambria" w:hAnsi="Times New Roman" w:cs="Times New Roman"/>
          <w:sz w:val="24"/>
          <w:szCs w:val="24"/>
          <w:lang w:val="en-US"/>
        </w:rPr>
        <w:t xml:space="preserve"> (</w:t>
      </w:r>
      <w:commentRangeStart w:id="2"/>
      <w:r>
        <w:rPr>
          <w:rFonts w:ascii="Times New Roman" w:eastAsia="Cambria" w:hAnsi="Times New Roman" w:cs="Times New Roman"/>
          <w:sz w:val="24"/>
          <w:szCs w:val="24"/>
          <w:lang w:val="en-US"/>
        </w:rPr>
        <w:t>spot spray</w:t>
      </w:r>
      <w:commentRangeEnd w:id="2"/>
      <w:r w:rsidR="00033CBF">
        <w:rPr>
          <w:rStyle w:val="CommentReference"/>
          <w:rFonts w:ascii="Times New Roman" w:eastAsia="Cambria" w:hAnsi="Times New Roman" w:cs="Times New Roman"/>
          <w:lang w:val="en-US"/>
        </w:rPr>
        <w:commentReference w:id="2"/>
      </w:r>
      <w:r>
        <w:rPr>
          <w:rFonts w:ascii="Times New Roman" w:eastAsia="Cambria" w:hAnsi="Times New Roman" w:cs="Times New Roman"/>
          <w:sz w:val="24"/>
          <w:szCs w:val="24"/>
          <w:lang w:val="en-US"/>
        </w:rPr>
        <w:t>)</w:t>
      </w:r>
      <w:r w:rsidRPr="00B62F2F">
        <w:rPr>
          <w:rFonts w:ascii="Times New Roman" w:eastAsia="Cambria" w:hAnsi="Times New Roman" w:cs="Times New Roman"/>
          <w:sz w:val="24"/>
          <w:szCs w:val="24"/>
          <w:lang w:val="en-US"/>
        </w:rPr>
        <w:t xml:space="preserve">.   </w:t>
      </w:r>
    </w:p>
    <w:p w14:paraId="16BB57F5" w14:textId="25291BEA" w:rsidR="00B62F2F" w:rsidRDefault="00B62F2F" w:rsidP="00961AAC">
      <w:pPr>
        <w:pStyle w:val="Paragraph"/>
        <w:numPr>
          <w:ilvl w:val="0"/>
          <w:numId w:val="2"/>
        </w:numPr>
        <w:rPr>
          <w:rFonts w:ascii="Arial" w:hAnsi="Arial"/>
          <w:sz w:val="24"/>
          <w:szCs w:val="24"/>
        </w:rPr>
      </w:pPr>
      <w:r w:rsidRPr="00B62F2F">
        <w:rPr>
          <w:rFonts w:ascii="Times New Roman" w:eastAsia="Cambria" w:hAnsi="Times New Roman" w:cs="Times New Roman"/>
          <w:sz w:val="24"/>
          <w:szCs w:val="24"/>
          <w:lang w:val="en-US"/>
        </w:rPr>
        <w:t xml:space="preserve">Boom spraying </w:t>
      </w:r>
      <w:r>
        <w:rPr>
          <w:rFonts w:ascii="Times New Roman" w:eastAsia="Cambria" w:hAnsi="Times New Roman" w:cs="Times New Roman"/>
          <w:sz w:val="24"/>
          <w:szCs w:val="24"/>
          <w:lang w:val="en-US"/>
        </w:rPr>
        <w:t>with</w:t>
      </w:r>
      <w:r w:rsidRPr="00B62F2F">
        <w:rPr>
          <w:rFonts w:ascii="Times New Roman" w:eastAsia="Cambria" w:hAnsi="Times New Roman" w:cs="Times New Roman"/>
          <w:sz w:val="24"/>
          <w:szCs w:val="24"/>
          <w:lang w:val="en-US"/>
        </w:rPr>
        <w:t xml:space="preserve"> twin bodied </w:t>
      </w:r>
      <w:proofErr w:type="spellStart"/>
      <w:r w:rsidRPr="00B62F2F">
        <w:rPr>
          <w:rFonts w:ascii="Times New Roman" w:eastAsia="Cambria" w:hAnsi="Times New Roman" w:cs="Times New Roman"/>
          <w:sz w:val="24"/>
          <w:szCs w:val="24"/>
          <w:lang w:val="en-US"/>
        </w:rPr>
        <w:t>nossel</w:t>
      </w:r>
      <w:proofErr w:type="spellEnd"/>
      <w:r w:rsidRPr="00B62F2F">
        <w:rPr>
          <w:rFonts w:ascii="Times New Roman" w:eastAsia="Cambria" w:hAnsi="Times New Roman" w:cs="Times New Roman"/>
          <w:sz w:val="24"/>
          <w:szCs w:val="24"/>
          <w:lang w:val="en-US"/>
        </w:rPr>
        <w:t xml:space="preserve"> at 60</w:t>
      </w:r>
      <w:r>
        <w:rPr>
          <w:rFonts w:ascii="Times New Roman" w:eastAsia="Cambria" w:hAnsi="Times New Roman" w:cs="Times New Roman"/>
          <w:sz w:val="24"/>
          <w:szCs w:val="24"/>
          <w:vertAlign w:val="superscript"/>
          <w:lang w:val="en-US"/>
        </w:rPr>
        <w:t xml:space="preserve">o </w:t>
      </w:r>
      <w:r>
        <w:rPr>
          <w:rFonts w:ascii="Times New Roman" w:eastAsia="Cambria" w:hAnsi="Times New Roman" w:cs="Times New Roman"/>
          <w:sz w:val="24"/>
          <w:szCs w:val="24"/>
          <w:lang w:val="en-US"/>
        </w:rPr>
        <w:t xml:space="preserve">at a rate of 1.8L </w:t>
      </w:r>
      <w:proofErr w:type="spellStart"/>
      <w:r>
        <w:rPr>
          <w:rFonts w:ascii="Times New Roman" w:eastAsia="Cambria" w:hAnsi="Times New Roman" w:cs="Times New Roman"/>
          <w:sz w:val="24"/>
          <w:szCs w:val="24"/>
          <w:lang w:val="en-US"/>
        </w:rPr>
        <w:t>fluroxypyr</w:t>
      </w:r>
      <w:proofErr w:type="spellEnd"/>
      <w:r>
        <w:rPr>
          <w:rFonts w:ascii="Times New Roman" w:eastAsia="Cambria" w:hAnsi="Times New Roman" w:cs="Times New Roman"/>
          <w:sz w:val="24"/>
          <w:szCs w:val="24"/>
          <w:lang w:val="en-US"/>
        </w:rPr>
        <w:t xml:space="preserve"> per ha, 75L water per ha and 500ml Uptake</w:t>
      </w:r>
      <w:r w:rsidR="00033CBF">
        <w:rPr>
          <w:rFonts w:ascii="Times New Roman" w:eastAsia="Cambria" w:hAnsi="Times New Roman" w:cs="Times New Roman"/>
          <w:sz w:val="24"/>
          <w:szCs w:val="24"/>
          <w:lang w:val="en-US"/>
        </w:rPr>
        <w:t xml:space="preserve"> Oil per 100L water (</w:t>
      </w:r>
      <w:commentRangeStart w:id="3"/>
      <w:r w:rsidR="00033CBF">
        <w:rPr>
          <w:rFonts w:ascii="Times New Roman" w:eastAsia="Cambria" w:hAnsi="Times New Roman" w:cs="Times New Roman"/>
          <w:sz w:val="24"/>
          <w:szCs w:val="24"/>
          <w:lang w:val="en-US"/>
        </w:rPr>
        <w:t>boom spray – fine droplet</w:t>
      </w:r>
      <w:commentRangeEnd w:id="3"/>
      <w:r w:rsidR="00033CBF">
        <w:rPr>
          <w:rStyle w:val="CommentReference"/>
          <w:rFonts w:ascii="Times New Roman" w:eastAsia="Cambria" w:hAnsi="Times New Roman" w:cs="Times New Roman"/>
          <w:lang w:val="en-US"/>
        </w:rPr>
        <w:commentReference w:id="3"/>
      </w:r>
      <w:r w:rsidR="00033CBF">
        <w:rPr>
          <w:rFonts w:ascii="Times New Roman" w:eastAsia="Cambria" w:hAnsi="Times New Roman" w:cs="Times New Roman"/>
          <w:sz w:val="24"/>
          <w:szCs w:val="24"/>
          <w:lang w:val="en-US"/>
        </w:rPr>
        <w:t>).</w:t>
      </w:r>
    </w:p>
    <w:p w14:paraId="3520B880" w14:textId="77777777" w:rsidR="00961AAC" w:rsidRPr="00961AAC" w:rsidRDefault="00961AAC" w:rsidP="00961AAC">
      <w:pPr>
        <w:pStyle w:val="Paragraph"/>
        <w:ind w:left="360"/>
        <w:rPr>
          <w:rFonts w:ascii="Arial" w:hAnsi="Arial"/>
          <w:sz w:val="24"/>
          <w:szCs w:val="24"/>
        </w:rPr>
      </w:pPr>
    </w:p>
    <w:p w14:paraId="2C2A1C7C" w14:textId="2B0DD500" w:rsidR="00420A7C" w:rsidRDefault="00D34C68" w:rsidP="007A0887">
      <w:pPr>
        <w:spacing w:after="0" w:line="360" w:lineRule="auto"/>
      </w:pPr>
      <w:r>
        <w:t xml:space="preserve">No herbicide was applied to </w:t>
      </w:r>
      <w:commentRangeStart w:id="4"/>
      <w:r>
        <w:t>control plots</w:t>
      </w:r>
      <w:commentRangeEnd w:id="4"/>
      <w:r w:rsidR="00033CBF">
        <w:rPr>
          <w:rStyle w:val="CommentReference"/>
        </w:rPr>
        <w:commentReference w:id="4"/>
      </w:r>
      <w:r w:rsidR="00480182">
        <w:t xml:space="preserve"> and a screen was placed between control and treatment plots to </w:t>
      </w:r>
      <w:r w:rsidR="008D6752">
        <w:t>reduce</w:t>
      </w:r>
      <w:r w:rsidR="00480182">
        <w:t xml:space="preserve"> the risk of spray drift. </w:t>
      </w:r>
    </w:p>
    <w:p w14:paraId="669389A6" w14:textId="77777777" w:rsidR="009D4E8A" w:rsidRDefault="009D4E8A" w:rsidP="007A0887">
      <w:pPr>
        <w:spacing w:after="0" w:line="360" w:lineRule="auto"/>
      </w:pPr>
    </w:p>
    <w:p w14:paraId="6C9C0354" w14:textId="33564B40" w:rsidR="008D6752" w:rsidRDefault="008D6752" w:rsidP="007A0887">
      <w:pPr>
        <w:spacing w:after="0" w:line="360" w:lineRule="auto"/>
      </w:pPr>
      <w:r w:rsidRPr="008D6752">
        <w:rPr>
          <w:highlight w:val="yellow"/>
        </w:rPr>
        <w:t>NEED TO INCLUDE METHODS FOR COMPONENT 1, 2, 3A AND 4.</w:t>
      </w:r>
    </w:p>
    <w:p w14:paraId="38388EC6" w14:textId="77777777" w:rsidR="008D6752" w:rsidRDefault="008D6752" w:rsidP="007A0887">
      <w:pPr>
        <w:spacing w:after="0" w:line="360" w:lineRule="auto"/>
      </w:pPr>
    </w:p>
    <w:p w14:paraId="0EE4D7D1" w14:textId="77777777" w:rsidR="00E01847" w:rsidRPr="00E730B7" w:rsidRDefault="00E01847" w:rsidP="00E01847">
      <w:pPr>
        <w:keepNext/>
        <w:spacing w:after="0" w:line="360" w:lineRule="auto"/>
        <w:rPr>
          <w:i/>
        </w:rPr>
      </w:pPr>
      <w:r>
        <w:rPr>
          <w:i/>
        </w:rPr>
        <w:t xml:space="preserve">Data </w:t>
      </w:r>
      <w:commentRangeStart w:id="5"/>
      <w:r>
        <w:rPr>
          <w:i/>
        </w:rPr>
        <w:t>co</w:t>
      </w:r>
      <w:commentRangeStart w:id="6"/>
      <w:r>
        <w:rPr>
          <w:i/>
        </w:rPr>
        <w:t>llection</w:t>
      </w:r>
      <w:commentRangeEnd w:id="6"/>
      <w:r w:rsidR="0008597E">
        <w:rPr>
          <w:rStyle w:val="CommentReference"/>
        </w:rPr>
        <w:commentReference w:id="6"/>
      </w:r>
      <w:commentRangeEnd w:id="5"/>
      <w:r w:rsidR="0008597E">
        <w:rPr>
          <w:rStyle w:val="CommentReference"/>
        </w:rPr>
        <w:commentReference w:id="5"/>
      </w:r>
    </w:p>
    <w:p w14:paraId="7C3823B2" w14:textId="77777777" w:rsidR="00E01847" w:rsidRDefault="00E01847" w:rsidP="00E01847">
      <w:pPr>
        <w:keepNext/>
        <w:spacing w:after="0" w:line="360" w:lineRule="auto"/>
      </w:pPr>
    </w:p>
    <w:p w14:paraId="10BE5B67" w14:textId="34C45FCD" w:rsidR="00E01847" w:rsidRDefault="00E01847" w:rsidP="00E01847">
      <w:pPr>
        <w:spacing w:after="0" w:line="360" w:lineRule="auto"/>
      </w:pPr>
      <w:commentRangeStart w:id="7"/>
      <w:r>
        <w:t>Two experienced botanists (</w:t>
      </w:r>
      <w:r w:rsidR="00480182">
        <w:t>TH and MM</w:t>
      </w:r>
      <w:r>
        <w:t xml:space="preserve">) surveyed vegetation </w:t>
      </w:r>
      <w:r w:rsidR="008714DB">
        <w:t>in</w:t>
      </w:r>
      <w:r w:rsidR="00480182" w:rsidRPr="00480182">
        <w:rPr>
          <w:highlight w:val="yellow"/>
        </w:rPr>
        <w:t xml:space="preserve"> November 2017</w:t>
      </w:r>
      <w:r>
        <w:t xml:space="preserve"> (spring). All plant taxa observed within each plot were counted</w:t>
      </w:r>
      <w:r w:rsidR="00480182">
        <w:t xml:space="preserve"> and assigned a cover score</w:t>
      </w:r>
      <w:r w:rsidR="008D6752">
        <w:t xml:space="preserve"> to the nearest 10%</w:t>
      </w:r>
      <w:r>
        <w:t xml:space="preserve">. </w:t>
      </w:r>
      <w:r w:rsidR="008D6752">
        <w:t xml:space="preserve">All </w:t>
      </w:r>
      <w:r>
        <w:t xml:space="preserve">taxa </w:t>
      </w:r>
      <w:r w:rsidRPr="00480182">
        <w:rPr>
          <w:highlight w:val="yellow"/>
        </w:rPr>
        <w:t>(85%)</w:t>
      </w:r>
      <w:r>
        <w:t xml:space="preserve"> were identified to species following NSW Flora Online (</w:t>
      </w:r>
      <w:r w:rsidRPr="00042C98">
        <w:t>http://plantnet.rbgsyd.nsw.gov.au</w:t>
      </w:r>
      <w:r>
        <w:t xml:space="preserve">). </w:t>
      </w:r>
      <w:r w:rsidRPr="00480182">
        <w:rPr>
          <w:highlight w:val="yellow"/>
        </w:rPr>
        <w:t>Nineteen taxa</w:t>
      </w:r>
      <w:r>
        <w:t xml:space="preserve"> were difficult to identify and were assigned to a genus (e.g. </w:t>
      </w:r>
      <w:r w:rsidRPr="00042C98">
        <w:rPr>
          <w:i/>
        </w:rPr>
        <w:t>Avena</w:t>
      </w:r>
      <w:r>
        <w:rPr>
          <w:i/>
        </w:rPr>
        <w:t>,</w:t>
      </w:r>
      <w:r>
        <w:t xml:space="preserve"> </w:t>
      </w:r>
      <w:r w:rsidRPr="009A6066">
        <w:rPr>
          <w:i/>
        </w:rPr>
        <w:t>Aira</w:t>
      </w:r>
      <w:r>
        <w:t xml:space="preserve">, </w:t>
      </w:r>
      <w:r w:rsidRPr="009A6066">
        <w:rPr>
          <w:i/>
        </w:rPr>
        <w:t>Conyza</w:t>
      </w:r>
      <w:r>
        <w:t xml:space="preserve">, </w:t>
      </w:r>
      <w:r w:rsidRPr="009A6066">
        <w:rPr>
          <w:i/>
        </w:rPr>
        <w:t>Vulpia</w:t>
      </w:r>
      <w:r w:rsidR="00480182">
        <w:t xml:space="preserve">, see </w:t>
      </w:r>
      <w:r w:rsidR="00480182" w:rsidRPr="00480182">
        <w:rPr>
          <w:highlight w:val="yellow"/>
        </w:rPr>
        <w:t>Table #</w:t>
      </w:r>
      <w:r w:rsidRPr="00480182">
        <w:rPr>
          <w:highlight w:val="yellow"/>
        </w:rPr>
        <w:t>)</w:t>
      </w:r>
      <w:r>
        <w:t xml:space="preserve"> or to </w:t>
      </w:r>
      <w:r w:rsidRPr="00480182">
        <w:rPr>
          <w:highlight w:val="yellow"/>
        </w:rPr>
        <w:t>three</w:t>
      </w:r>
      <w:r>
        <w:t xml:space="preserve"> different </w:t>
      </w:r>
      <w:proofErr w:type="spellStart"/>
      <w:r>
        <w:t>morphospecies</w:t>
      </w:r>
      <w:proofErr w:type="spellEnd"/>
      <w:r>
        <w:t xml:space="preserve"> (</w:t>
      </w:r>
      <w:r w:rsidRPr="002602DB">
        <w:rPr>
          <w:i/>
        </w:rPr>
        <w:t>Rytidosperma</w:t>
      </w:r>
      <w:r>
        <w:t xml:space="preserve">). </w:t>
      </w:r>
    </w:p>
    <w:p w14:paraId="71C53C15" w14:textId="77777777" w:rsidR="00E01847" w:rsidRDefault="00E01847" w:rsidP="00E01847">
      <w:pPr>
        <w:spacing w:after="0" w:line="360" w:lineRule="auto"/>
      </w:pPr>
    </w:p>
    <w:p w14:paraId="369EDE47" w14:textId="38D9075A" w:rsidR="00E01847" w:rsidRDefault="00E01847" w:rsidP="00E01847">
      <w:pPr>
        <w:spacing w:after="0" w:line="360" w:lineRule="auto"/>
      </w:pPr>
      <w:r>
        <w:t>We classified each taxon into categories based on origin (native/exotic), lifespan (annual/perennial), growth form (forb, grass, shrub, sedge, rush), photosynthetic pathway for grasses (</w:t>
      </w:r>
      <w:r>
        <w:rPr>
          <w:lang w:val="en-AU"/>
        </w:rPr>
        <w:t>C</w:t>
      </w:r>
      <w:r w:rsidRPr="00B56C3A">
        <w:rPr>
          <w:vertAlign w:val="subscript"/>
          <w:lang w:val="en-AU"/>
        </w:rPr>
        <w:t>3</w:t>
      </w:r>
      <w:r>
        <w:t>/</w:t>
      </w:r>
      <w:r>
        <w:rPr>
          <w:lang w:val="en-AU"/>
        </w:rPr>
        <w:t>C</w:t>
      </w:r>
      <w:r>
        <w:rPr>
          <w:vertAlign w:val="subscript"/>
          <w:lang w:val="en-AU"/>
        </w:rPr>
        <w:t>4</w:t>
      </w:r>
      <w:r>
        <w:t>) and ability to fix nitrogen (legume/non-legume) (</w:t>
      </w:r>
      <w:r w:rsidR="00480182">
        <w:rPr>
          <w:highlight w:val="yellow"/>
        </w:rPr>
        <w:t>Table #</w:t>
      </w:r>
      <w:r>
        <w:t xml:space="preserve">) </w:t>
      </w:r>
      <w:r>
        <w:fldChar w:fldCharType="begin"/>
      </w:r>
      <w:r>
        <w:instrText xml:space="preserve"> ADDIN EN.CITE &lt;EndNote&gt;&lt;Cite&gt;&lt;Author&gt;Díaz&lt;/Author&gt;&lt;Year&gt;2007&lt;/Year&gt;&lt;RecNum&gt;1960&lt;/RecNum&gt;&lt;DisplayText&gt;(Díaz&lt;style face="italic"&gt; et al.&lt;/style&gt; 2007)&lt;/DisplayText&gt;&lt;record&gt;&lt;rec-number&gt;1960&lt;/rec-number&gt;&lt;foreign-keys&gt;&lt;key app="EN" db-id="xxvp9afd9xet57ezx93vevwkp9ea2e9vep9z" timestamp="1499005966"&gt;1960&lt;/key&gt;&lt;/foreign-keys&gt;&lt;ref-type name="Journal Article"&gt;17&lt;/ref-type&gt;&lt;contributors&gt;&lt;authors&gt;&lt;author&gt;Díaz, Sandra&lt;/author&gt;&lt;author&gt;Lavorel, Sandra&lt;/author&gt;&lt;author&gt;McIntyre, S. U. E.&lt;/author&gt;&lt;author&gt;Falczuk, Valeria&lt;/author&gt;&lt;author&gt;Casanoves, Fernando&lt;/author&gt;&lt;author&gt;Milchunas, Daniel G.&lt;/author&gt;&lt;author&gt;Skarpe, Christina&lt;/author&gt;&lt;author&gt;Rusch, Graciela&lt;/author&gt;&lt;author&gt;Sternberg, Marcelo&lt;/author&gt;&lt;author&gt;Noy-Meir, Imanuel&lt;/author&gt;&lt;author&gt;Landsberg, Jill&lt;/author&gt;&lt;author&gt;Zhang, W. E. I.&lt;/author&gt;&lt;author&gt;Clark, Harry&lt;/author&gt;&lt;author&gt;Campbell, Bruce D.&lt;/author&gt;&lt;/authors&gt;&lt;/contributors&gt;&lt;titles&gt;&lt;title&gt;Plant trait responses to grazing – a global synthesis&lt;/title&gt;&lt;secondary-title&gt;Global Change Biology&lt;/secondary-title&gt;&lt;/titles&gt;&lt;periodical&gt;&lt;full-title&gt;Global Change Biology&lt;/full-title&gt;&lt;abbr-2&gt;Glob Change Biol&lt;/abbr-2&gt;&lt;/periodical&gt;&lt;pages&gt;313-341&lt;/pages&gt;&lt;volume&gt;13&lt;/volume&gt;&lt;number&gt;2&lt;/number&gt;&lt;keywords&gt;&lt;keyword&gt;dynamic global vegetation models&lt;/keyword&gt;&lt;keyword&gt;functional traits&lt;/keyword&gt;&lt;keyword&gt;global plant functional types&lt;/keyword&gt;&lt;keyword&gt;grazing history&lt;/keyword&gt;&lt;keyword&gt;grazing models&lt;/keyword&gt;&lt;keyword&gt;ungulate herbivores&lt;/keyword&gt;&lt;/keywords&gt;&lt;dates&gt;&lt;year&gt;2007&lt;/year&gt;&lt;/dates&gt;&lt;publisher&gt;Blackwell Publishing Ltd&lt;/publisher&gt;&lt;isbn&gt;1365-2486&lt;/isbn&gt;&lt;urls&gt;&lt;related-urls&gt;&lt;url&gt;http://dx.doi.org/10.1111/j.1365-2486.2006.01288.x&lt;/url&gt;&lt;url&gt;http://onlinelibrary.wiley.com/doi/10.1111/j.1365-2486.2006.01288.x/abstract&lt;/url&gt;&lt;/related-urls&gt;&lt;/urls&gt;&lt;electronic-resource-num&gt;10.1111/j.1365-2486.2006.01288.x&lt;/electronic-resource-num&gt;&lt;/record&gt;&lt;/Cite&gt;&lt;/EndNote&gt;</w:instrText>
      </w:r>
      <w:r>
        <w:fldChar w:fldCharType="separate"/>
      </w:r>
      <w:r>
        <w:rPr>
          <w:noProof/>
        </w:rPr>
        <w:t>(Díaz</w:t>
      </w:r>
      <w:r w:rsidRPr="007D5252">
        <w:rPr>
          <w:i/>
          <w:noProof/>
        </w:rPr>
        <w:t xml:space="preserve"> et al.</w:t>
      </w:r>
      <w:r>
        <w:rPr>
          <w:noProof/>
        </w:rPr>
        <w:t xml:space="preserve"> 2007)</w:t>
      </w:r>
      <w:r>
        <w:fldChar w:fldCharType="end"/>
      </w:r>
      <w:r>
        <w:t>. We also used three binomial categories that are used by the local government to monitor grassland quality (</w:t>
      </w:r>
      <w:proofErr w:type="spellStart"/>
      <w:r>
        <w:t>Rehwinkel</w:t>
      </w:r>
      <w:proofErr w:type="spellEnd"/>
      <w:r>
        <w:t xml:space="preserve"> 2015; Australian Government 2017)</w:t>
      </w:r>
      <w:r>
        <w:fldChar w:fldCharType="begin"/>
      </w:r>
      <w:r>
        <w:instrText xml:space="preserve"> ADDIN EN.CITE &lt;EndNote&gt;&lt;Cite ExcludeAuth="1" ExcludeYear="1"&gt;&lt;Author&gt;Rehwinkel&lt;/Author&gt;&lt;Year&gt;2015&lt;/Year&gt;&lt;RecNum&gt;1954&lt;/RecNum&gt;&lt;record&gt;&lt;rec-number&gt;1954&lt;/rec-number&gt;&lt;foreign-keys&gt;&lt;key app="EN" db-id="xxvp9afd9xet57ezx93vevwkp9ea2e9vep9z" timestamp="1498993797"&gt;1954&lt;/key&gt;&lt;/foreign-keys&gt;&lt;ref-type name="Conference Proceedings"&gt;10&lt;/ref-type&gt;&lt;contributors&gt;&lt;authors&gt;&lt;author&gt;Rehwinkel, R.&lt;/author&gt;&lt;/authors&gt;&lt;/contributors&gt;&lt;titles&gt;&lt;title&gt;A revised floristic value scoring method to assess grassland condition&lt;/title&gt;&lt;secondary-title&gt;Proceedings of the Friends of Grasslands 20th Anniversary Forum&lt;/secondary-title&gt;&lt;/titles&gt;&lt;dates&gt;&lt;year&gt;2015&lt;/year&gt;&lt;/dates&gt;&lt;pub-location&gt;&lt;style face="normal" font="default" size="100%"&gt;Canberra, Australia, 30 October – 1 November 2014, &lt;/style&gt;&lt;style face="underline" font="default" size="100%"&gt;http://www.fog.org.au/forum2014.htm&lt;/style&gt;&lt;/pub-location&gt;&lt;urls&gt;&lt;/urls&gt;&lt;/record&gt;&lt;/Cite&gt;&lt;Cite ExcludeAuth="1" ExcludeYear="1"&gt;&lt;Year&gt;2017&lt;/Year&gt;&lt;RecNum&gt;1955&lt;/RecNum&gt;&lt;record&gt;&lt;rec-number&gt;1955&lt;/rec-number&gt;&lt;foreign-keys&gt;&lt;key app="EN" db-id="xxvp9afd9xet57ezx93vevwkp9ea2e9vep9z" timestamp="1498994138"&gt;1955&lt;/key&gt;&lt;/foreign-keys&gt;&lt;ref-type name="Government Document"&gt;46&lt;/ref-type&gt;&lt;contributors&gt;&lt;secondary-authors&gt;&lt;author&gt;Department of the Environment&lt;/author&gt;&lt;/secondary-authors&gt;&lt;/contributors&gt;&lt;titles&gt;&lt;title&gt;Species Profile and Threats Database: White Box-Yellow box-Blakely’s Red Gum Grassy Woodlands and Derived Native Grasslands&lt;/title&gt;&lt;tertiary-title&gt;Australian Government&lt;/tertiary-title&gt;&lt;/titles&gt;&lt;dates&gt;&lt;year&gt;2017&lt;/year&gt;&lt;/dates&gt;&lt;pub-location&gt;Canberra, Australia, http://www.environment.gov.au/sprat&lt;/pub-location&gt;&lt;publisher&gt;Department of the Environment&lt;/publisher&gt;&lt;urls&gt;&lt;/urls&gt;&lt;/record&gt;&lt;/Cite&gt;&lt;/EndNote&gt;</w:instrText>
      </w:r>
      <w:r>
        <w:fldChar w:fldCharType="end"/>
      </w:r>
      <w:r>
        <w:t xml:space="preserve">: (1) indicator species (sensitive native taxa that are indicative of high value native grassland), (2) important species (taxa used to classify vegetation as Box-Gum Grassy Woodland under the Australian </w:t>
      </w:r>
      <w:r w:rsidRPr="00696947">
        <w:rPr>
          <w:i/>
        </w:rPr>
        <w:t>Environment Protection and Biodiversity Conservation Act 1999</w:t>
      </w:r>
      <w:r>
        <w:t xml:space="preserve">) and (3) increaser species (common native and exotic taxa that tolerate or respond positively to disturbance). Taxa were assigned to </w:t>
      </w:r>
      <w:r w:rsidRPr="00480182">
        <w:rPr>
          <w:highlight w:val="yellow"/>
        </w:rPr>
        <w:t>24 functional groups</w:t>
      </w:r>
      <w:r>
        <w:t xml:space="preserve"> based on these categories in a hierarchical way. For example, we </w:t>
      </w:r>
      <w:proofErr w:type="spellStart"/>
      <w:r>
        <w:t>analysed</w:t>
      </w:r>
      <w:proofErr w:type="spellEnd"/>
      <w:r>
        <w:t xml:space="preserve"> the diversity of all taxa, native taxa and exotic taxa separately, while native and exotic grasses were further divided into </w:t>
      </w:r>
      <w:r>
        <w:rPr>
          <w:lang w:val="en-AU"/>
        </w:rPr>
        <w:t>C</w:t>
      </w:r>
      <w:r w:rsidRPr="00B56C3A">
        <w:rPr>
          <w:vertAlign w:val="subscript"/>
          <w:lang w:val="en-AU"/>
        </w:rPr>
        <w:t>3</w:t>
      </w:r>
      <w:r>
        <w:t xml:space="preserve"> and </w:t>
      </w:r>
      <w:r>
        <w:rPr>
          <w:lang w:val="en-AU"/>
        </w:rPr>
        <w:t>C</w:t>
      </w:r>
      <w:r>
        <w:rPr>
          <w:vertAlign w:val="subscript"/>
          <w:lang w:val="en-AU"/>
        </w:rPr>
        <w:t>4</w:t>
      </w:r>
      <w:r>
        <w:t xml:space="preserve"> categories (Table S1). This allowed us to examine broad functional responses while also examining which functional traits drove broader patterns. For each functional group in each subplot, we calculated species richness (number of species) and, to account for variation in abundance and evenness among species, the Shannon diversity index (</w:t>
      </w:r>
      <w:r w:rsidRPr="00DA79DA">
        <w:rPr>
          <w:i/>
        </w:rPr>
        <w:t>H</w:t>
      </w:r>
      <w:r>
        <w:t xml:space="preserve">'). These data were </w:t>
      </w:r>
      <w:proofErr w:type="spellStart"/>
      <w:r>
        <w:t>analysed</w:t>
      </w:r>
      <w:proofErr w:type="spellEnd"/>
      <w:r>
        <w:t xml:space="preserve"> at the </w:t>
      </w:r>
      <w:r w:rsidR="00480182">
        <w:t>plot</w:t>
      </w:r>
      <w:r>
        <w:t xml:space="preserve"> level (</w:t>
      </w:r>
      <w:r w:rsidR="00480182" w:rsidRPr="00480182">
        <w:rPr>
          <w:highlight w:val="yellow"/>
        </w:rPr>
        <w:t xml:space="preserve">48 </w:t>
      </w:r>
      <w:r w:rsidRPr="00480182">
        <w:rPr>
          <w:highlight w:val="yellow"/>
        </w:rPr>
        <w:t>observations</w:t>
      </w:r>
      <w:r>
        <w:t xml:space="preserve">). </w:t>
      </w:r>
      <w:commentRangeEnd w:id="7"/>
      <w:r w:rsidR="00480182">
        <w:rPr>
          <w:rStyle w:val="CommentReference"/>
        </w:rPr>
        <w:commentReference w:id="7"/>
      </w:r>
    </w:p>
    <w:p w14:paraId="07C20BF5" w14:textId="77777777" w:rsidR="00E01847" w:rsidRDefault="00E01847" w:rsidP="00E01847">
      <w:pPr>
        <w:spacing w:after="0" w:line="360" w:lineRule="auto"/>
      </w:pPr>
    </w:p>
    <w:p w14:paraId="62846B9E" w14:textId="77777777" w:rsidR="00E01847" w:rsidRPr="003B690B" w:rsidRDefault="00E01847" w:rsidP="00E01847">
      <w:pPr>
        <w:spacing w:after="0" w:line="360" w:lineRule="auto"/>
        <w:rPr>
          <w:lang w:val="en-AU"/>
        </w:rPr>
      </w:pPr>
    </w:p>
    <w:p w14:paraId="4514A5E2" w14:textId="77777777" w:rsidR="00420A7C" w:rsidRDefault="00420A7C" w:rsidP="007A0887">
      <w:pPr>
        <w:spacing w:after="0" w:line="360" w:lineRule="auto"/>
      </w:pPr>
    </w:p>
    <w:p w14:paraId="172AF0C1" w14:textId="77777777" w:rsidR="00EC4A42" w:rsidRDefault="00EC4A42"/>
    <w:sectPr w:rsidR="00EC4A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lner, Richard" w:date="2018-01-22T15:48:00Z" w:initials="MR">
    <w:p w14:paraId="7B150851" w14:textId="4FFB1BC9" w:rsidR="00480182" w:rsidRDefault="00480182">
      <w:pPr>
        <w:pStyle w:val="CommentText"/>
      </w:pPr>
      <w:r>
        <w:rPr>
          <w:rStyle w:val="CommentReference"/>
        </w:rPr>
        <w:annotationRef/>
      </w:r>
      <w:r>
        <w:t>Copy and pasted from Smith et al 2018 – need to reword if Annabel doesn’t write paper.</w:t>
      </w:r>
    </w:p>
  </w:comment>
  <w:comment w:id="2" w:author="Milner, Richard" w:date="2018-01-22T15:34:00Z" w:initials="MR">
    <w:p w14:paraId="60E8D85B" w14:textId="77777777" w:rsidR="00033CBF" w:rsidRDefault="00033CBF">
      <w:pPr>
        <w:pStyle w:val="CommentText"/>
      </w:pPr>
      <w:r>
        <w:rPr>
          <w:rStyle w:val="CommentReference"/>
        </w:rPr>
        <w:annotationRef/>
      </w:r>
      <w:r>
        <w:t>Plot A</w:t>
      </w:r>
    </w:p>
  </w:comment>
  <w:comment w:id="3" w:author="Milner, Richard" w:date="2018-01-22T15:33:00Z" w:initials="MR">
    <w:p w14:paraId="5FC0FE30" w14:textId="77777777" w:rsidR="00033CBF" w:rsidRDefault="00033CBF">
      <w:pPr>
        <w:pStyle w:val="CommentText"/>
      </w:pPr>
      <w:r>
        <w:rPr>
          <w:rStyle w:val="CommentReference"/>
        </w:rPr>
        <w:annotationRef/>
      </w:r>
      <w:r>
        <w:t>Plot B</w:t>
      </w:r>
    </w:p>
  </w:comment>
  <w:comment w:id="4" w:author="Milner, Richard" w:date="2018-01-22T15:34:00Z" w:initials="MR">
    <w:p w14:paraId="09E45D32" w14:textId="77777777" w:rsidR="00033CBF" w:rsidRDefault="00033CBF">
      <w:pPr>
        <w:pStyle w:val="CommentText"/>
      </w:pPr>
      <w:r>
        <w:rPr>
          <w:rStyle w:val="CommentReference"/>
        </w:rPr>
        <w:annotationRef/>
      </w:r>
      <w:r>
        <w:t>Plot C</w:t>
      </w:r>
    </w:p>
  </w:comment>
  <w:comment w:id="6" w:author="Milner, Richard" w:date="2018-01-31T14:49:00Z" w:initials="MR">
    <w:p w14:paraId="7A4FDA49" w14:textId="2DB94C1C" w:rsidR="0008597E" w:rsidRDefault="0008597E">
      <w:pPr>
        <w:pStyle w:val="CommentText"/>
      </w:pPr>
      <w:r>
        <w:rPr>
          <w:rStyle w:val="CommentReference"/>
        </w:rPr>
        <w:annotationRef/>
      </w:r>
      <w:r>
        <w:rPr>
          <w:color w:val="1F497D"/>
        </w:rPr>
        <w:t>Melita Milner - Just checked over my notes – the only addition is that we did precise counts of forbs but grasses we estimated if over 16.</w:t>
      </w:r>
    </w:p>
  </w:comment>
  <w:comment w:id="5" w:author="Milner, Richard" w:date="2018-01-31T14:50:00Z" w:initials="MR">
    <w:p w14:paraId="148F4C9D" w14:textId="77777777" w:rsidR="0008597E" w:rsidRDefault="0008597E" w:rsidP="0008597E">
      <w:pPr>
        <w:pStyle w:val="PlainText"/>
      </w:pPr>
      <w:r>
        <w:rPr>
          <w:rStyle w:val="CommentReference"/>
        </w:rPr>
        <w:annotationRef/>
      </w:r>
      <w:r>
        <w:t xml:space="preserve">I checked in my notes and we aimed for Eryngium, Tricoryne, Desmodium/Glycine, and Asteraceae sp. (not including Vittadinia). So perhaps we may have had e.g. Leptorhynchos instead of Chrysocephalum but from memory it was mostly Chrysocephalum. </w:t>
      </w:r>
    </w:p>
    <w:p w14:paraId="587ADF80" w14:textId="77777777" w:rsidR="0008597E" w:rsidRDefault="0008597E" w:rsidP="0008597E">
      <w:pPr>
        <w:pStyle w:val="PlainText"/>
      </w:pPr>
      <w:r>
        <w:t>The only other thing I thought to note, was that we tried to keep each of the three quadrants in a plot as visually similar as possible, so I guess similar dominant species (even if not target species), similar bare ground, also similar drainage etc. Of course, we could only do as best we could with the available sites, so they may not be completely similar but that was the aim.</w:t>
      </w:r>
    </w:p>
    <w:p w14:paraId="7CDD21BD" w14:textId="77777777" w:rsidR="0008597E" w:rsidRDefault="0008597E" w:rsidP="0008597E">
      <w:pPr>
        <w:pStyle w:val="PlainText"/>
      </w:pPr>
      <w:r>
        <w:t xml:space="preserve">One other thing - we </w:t>
      </w:r>
      <w:proofErr w:type="gramStart"/>
      <w:r>
        <w:t>counted ?</w:t>
      </w:r>
      <w:proofErr w:type="gramEnd"/>
      <w:r>
        <w:t>nodes/?tufts (not sure what the right term is) of Tricoryne and Lomandra as well as the usual handful/separate clumps measurement. We did this because we felt that the handful/separate clump scores didn’t always adequately reflect the amount of Tricoryne/Lomandra present e.g. a Tricoryne score of A4 might be quite a lot, or it might just be 4 tiny separate clumps. Anyway, we scored them the usual way as well, so we can always look at that later. Probably doesn’t need to go in methods, just putting down here so you know.</w:t>
      </w:r>
    </w:p>
    <w:p w14:paraId="5E5D5B3F" w14:textId="3E825A7A" w:rsidR="0008597E" w:rsidRDefault="0008597E">
      <w:pPr>
        <w:pStyle w:val="CommentText"/>
      </w:pPr>
    </w:p>
  </w:comment>
  <w:comment w:id="7" w:author="Milner, Richard" w:date="2018-01-22T15:48:00Z" w:initials="MR">
    <w:p w14:paraId="3F0A1E78" w14:textId="605A1644" w:rsidR="00480182" w:rsidRDefault="00480182">
      <w:pPr>
        <w:pStyle w:val="CommentText"/>
      </w:pPr>
      <w:r>
        <w:rPr>
          <w:rStyle w:val="CommentReference"/>
        </w:rPr>
        <w:annotationRef/>
      </w:r>
      <w:r>
        <w:t>Copy and pasted from Smith et al 2018 – need to reword if Annabel doesn’t write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150851" w15:done="0"/>
  <w15:commentEx w15:paraId="60E8D85B" w15:done="0"/>
  <w15:commentEx w15:paraId="5FC0FE30" w15:done="0"/>
  <w15:commentEx w15:paraId="09E45D32" w15:done="0"/>
  <w15:commentEx w15:paraId="7A4FDA49" w15:done="0"/>
  <w15:commentEx w15:paraId="5E5D5B3F" w15:done="0"/>
  <w15:commentEx w15:paraId="3F0A1E7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783903"/>
    <w:multiLevelType w:val="hybridMultilevel"/>
    <w:tmpl w:val="83E2D3B4"/>
    <w:lvl w:ilvl="0" w:tplc="80E433DA">
      <w:numFmt w:val="bullet"/>
      <w:lvlText w:val="-"/>
      <w:lvlJc w:val="left"/>
      <w:pPr>
        <w:ind w:left="420" w:hanging="360"/>
      </w:pPr>
      <w:rPr>
        <w:rFonts w:ascii="Times New Roman" w:eastAsia="Cambria"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 w15:restartNumberingAfterBreak="0">
    <w:nsid w:val="71727313"/>
    <w:multiLevelType w:val="hybridMultilevel"/>
    <w:tmpl w:val="2592B5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lner, Richard">
    <w15:presenceInfo w15:providerId="AD" w15:userId="S-1-5-21-815100918-1079928561-1238779560-5028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887"/>
    <w:rsid w:val="00033CBF"/>
    <w:rsid w:val="00070B23"/>
    <w:rsid w:val="0008597E"/>
    <w:rsid w:val="000951AB"/>
    <w:rsid w:val="001942B2"/>
    <w:rsid w:val="00420A7C"/>
    <w:rsid w:val="00480182"/>
    <w:rsid w:val="00481FDA"/>
    <w:rsid w:val="00556F7C"/>
    <w:rsid w:val="007A0887"/>
    <w:rsid w:val="008714DB"/>
    <w:rsid w:val="008D6752"/>
    <w:rsid w:val="00961AAC"/>
    <w:rsid w:val="009D4E8A"/>
    <w:rsid w:val="00AF0749"/>
    <w:rsid w:val="00B62F2F"/>
    <w:rsid w:val="00CD6506"/>
    <w:rsid w:val="00D34C68"/>
    <w:rsid w:val="00E01847"/>
    <w:rsid w:val="00EC4A42"/>
    <w:rsid w:val="00FF1B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0E5DB"/>
  <w15:chartTrackingRefBased/>
  <w15:docId w15:val="{D2E27FF7-1A19-445B-BA92-01F622540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887"/>
    <w:pPr>
      <w:spacing w:after="200" w:line="240" w:lineRule="auto"/>
    </w:pPr>
    <w:rPr>
      <w:rFonts w:ascii="Times New Roman" w:eastAsia="Cambria"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0749"/>
    <w:rPr>
      <w:sz w:val="16"/>
      <w:szCs w:val="16"/>
    </w:rPr>
  </w:style>
  <w:style w:type="paragraph" w:styleId="CommentText">
    <w:name w:val="annotation text"/>
    <w:basedOn w:val="Normal"/>
    <w:link w:val="CommentTextChar"/>
    <w:uiPriority w:val="99"/>
    <w:semiHidden/>
    <w:unhideWhenUsed/>
    <w:rsid w:val="00AF0749"/>
    <w:rPr>
      <w:sz w:val="20"/>
      <w:szCs w:val="20"/>
    </w:rPr>
  </w:style>
  <w:style w:type="character" w:customStyle="1" w:styleId="CommentTextChar">
    <w:name w:val="Comment Text Char"/>
    <w:basedOn w:val="DefaultParagraphFont"/>
    <w:link w:val="CommentText"/>
    <w:uiPriority w:val="99"/>
    <w:semiHidden/>
    <w:rsid w:val="00AF0749"/>
    <w:rPr>
      <w:rFonts w:ascii="Times New Roman" w:eastAsia="Cambria"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F0749"/>
    <w:rPr>
      <w:b/>
      <w:bCs/>
    </w:rPr>
  </w:style>
  <w:style w:type="character" w:customStyle="1" w:styleId="CommentSubjectChar">
    <w:name w:val="Comment Subject Char"/>
    <w:basedOn w:val="CommentTextChar"/>
    <w:link w:val="CommentSubject"/>
    <w:uiPriority w:val="99"/>
    <w:semiHidden/>
    <w:rsid w:val="00AF0749"/>
    <w:rPr>
      <w:rFonts w:ascii="Times New Roman" w:eastAsia="Cambria" w:hAnsi="Times New Roman" w:cs="Times New Roman"/>
      <w:b/>
      <w:bCs/>
      <w:sz w:val="20"/>
      <w:szCs w:val="20"/>
      <w:lang w:val="en-US"/>
    </w:rPr>
  </w:style>
  <w:style w:type="paragraph" w:styleId="BalloonText">
    <w:name w:val="Balloon Text"/>
    <w:basedOn w:val="Normal"/>
    <w:link w:val="BalloonTextChar"/>
    <w:uiPriority w:val="99"/>
    <w:semiHidden/>
    <w:unhideWhenUsed/>
    <w:rsid w:val="00AF074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0749"/>
    <w:rPr>
      <w:rFonts w:ascii="Segoe UI" w:eastAsia="Cambria" w:hAnsi="Segoe UI" w:cs="Segoe UI"/>
      <w:sz w:val="18"/>
      <w:szCs w:val="18"/>
      <w:lang w:val="en-US"/>
    </w:rPr>
  </w:style>
  <w:style w:type="paragraph" w:styleId="ListParagraph">
    <w:name w:val="List Paragraph"/>
    <w:basedOn w:val="Normal"/>
    <w:uiPriority w:val="34"/>
    <w:qFormat/>
    <w:rsid w:val="00B62F2F"/>
    <w:pPr>
      <w:ind w:left="720"/>
      <w:contextualSpacing/>
    </w:pPr>
  </w:style>
  <w:style w:type="paragraph" w:customStyle="1" w:styleId="Paragraph">
    <w:name w:val="Paragraph"/>
    <w:basedOn w:val="Normal"/>
    <w:rsid w:val="00B62F2F"/>
    <w:pPr>
      <w:spacing w:before="120" w:after="120"/>
      <w:ind w:left="720"/>
    </w:pPr>
    <w:rPr>
      <w:rFonts w:ascii="Verdana" w:eastAsia="Times New Roman" w:hAnsi="Verdana" w:cs="Arial"/>
      <w:sz w:val="20"/>
      <w:szCs w:val="20"/>
      <w:lang w:val="en-AU"/>
    </w:rPr>
  </w:style>
  <w:style w:type="paragraph" w:styleId="PlainText">
    <w:name w:val="Plain Text"/>
    <w:basedOn w:val="Normal"/>
    <w:link w:val="PlainTextChar"/>
    <w:uiPriority w:val="99"/>
    <w:semiHidden/>
    <w:unhideWhenUsed/>
    <w:rsid w:val="0008597E"/>
    <w:pPr>
      <w:spacing w:after="0"/>
    </w:pPr>
    <w:rPr>
      <w:rFonts w:ascii="Calibri" w:eastAsiaTheme="minorHAnsi" w:hAnsi="Calibri" w:cstheme="minorBidi"/>
      <w:sz w:val="22"/>
      <w:szCs w:val="21"/>
      <w:lang w:val="en-AU"/>
    </w:rPr>
  </w:style>
  <w:style w:type="character" w:customStyle="1" w:styleId="PlainTextChar">
    <w:name w:val="Plain Text Char"/>
    <w:basedOn w:val="DefaultParagraphFont"/>
    <w:link w:val="PlainText"/>
    <w:uiPriority w:val="99"/>
    <w:semiHidden/>
    <w:rsid w:val="0008597E"/>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75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3</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ACT Government</Company>
  <LinksUpToDate>false</LinksUpToDate>
  <CharactersWithSpaces>9603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Milner, Richard</dc:creator>
  <cp:keywords/>
  <dc:description/>
  <cp:lastModifiedBy>Milner, Richard</cp:lastModifiedBy>
  <cp:revision>5</cp:revision>
  <dcterms:created xsi:type="dcterms:W3CDTF">2018-01-21T23:56:00Z</dcterms:created>
  <dcterms:modified xsi:type="dcterms:W3CDTF">2018-05-14T22:38:00Z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A18028879</vt:lpwstr>
  </property>
  <property fmtid="{D5CDD505-2E9C-101B-9397-08002B2CF9AE}" pid="4" name="Objective-Title">
    <vt:lpwstr>methods for STJW study</vt:lpwstr>
  </property>
  <property fmtid="{D5CDD505-2E9C-101B-9397-08002B2CF9AE}" pid="5" name="Objective-Comment">
    <vt:lpwstr/>
  </property>
  <property fmtid="{D5CDD505-2E9C-101B-9397-08002B2CF9AE}" pid="6" name="Objective-CreationStamp">
    <vt:filetime>2018-12-16T08:25:44Z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2018-12-16T08:25:45Z</vt:filetime>
  </property>
  <property fmtid="{D5CDD505-2E9C-101B-9397-08002B2CF9AE}" pid="10" name="Objective-ModificationStamp">
    <vt:filetime>2018-12-16T08:25:45Z</vt:filetime>
  </property>
  <property fmtid="{D5CDD505-2E9C-101B-9397-08002B2CF9AE}" pid="11" name="Objective-Owner">
    <vt:lpwstr>Catriona Towner</vt:lpwstr>
  </property>
  <property fmtid="{D5CDD505-2E9C-101B-9397-08002B2CF9AE}" pid="12" name="Objective-Path">
    <vt:lpwstr>Whole of ACT Government:EPSDD - Environment Planning and Sustainable Development Directorate:DIVISION - Environment:BRANCH - PCS:SECTION - Projects:09. Programs and/or Projects:Active Molonglo - Infrastructure, restoration, research projects:Research:STJW herbicide project:9. Manuscript:</vt:lpwstr>
  </property>
  <property fmtid="{D5CDD505-2E9C-101B-9397-08002B2CF9AE}" pid="13" name="Objective-Parent">
    <vt:lpwstr>9. Manuscript</vt:lpwstr>
  </property>
  <property fmtid="{D5CDD505-2E9C-101B-9397-08002B2CF9AE}" pid="14" name="Objective-State">
    <vt:lpwstr>Published</vt:lpwstr>
  </property>
  <property fmtid="{D5CDD505-2E9C-101B-9397-08002B2CF9AE}" pid="15" name="Objective-Version">
    <vt:lpwstr>1.0</vt:lpwstr>
  </property>
  <property fmtid="{D5CDD505-2E9C-101B-9397-08002B2CF9AE}" pid="16" name="Objective-VersionNumber">
    <vt:r8>1</vt:r8>
  </property>
  <property fmtid="{D5CDD505-2E9C-101B-9397-08002B2CF9AE}" pid="17" name="Objective-VersionComment">
    <vt:lpwstr>First version</vt:lpwstr>
  </property>
  <property fmtid="{D5CDD505-2E9C-101B-9397-08002B2CF9AE}" pid="18" name="Objective-FileNumber">
    <vt:lpwstr/>
  </property>
  <property fmtid="{D5CDD505-2E9C-101B-9397-08002B2CF9AE}" pid="19" name="Objective-Classification">
    <vt:lpwstr>[Inherited - Unclassified (beige file cover)]</vt:lpwstr>
  </property>
  <property fmtid="{D5CDD505-2E9C-101B-9397-08002B2CF9AE}" pid="20" name="Objective-Caveats">
    <vt:lpwstr/>
  </property>
  <property fmtid="{D5CDD505-2E9C-101B-9397-08002B2CF9AE}" pid="21" name="Objective-Owner Agency [system]">
    <vt:lpwstr>CRA</vt:lpwstr>
  </property>
  <property fmtid="{D5CDD505-2E9C-101B-9397-08002B2CF9AE}" pid="22" name="Objective-Document Type [system]">
    <vt:lpwstr>0-Document</vt:lpwstr>
  </property>
  <property fmtid="{D5CDD505-2E9C-101B-9397-08002B2CF9AE}" pid="23" name="Objective-Language [system]">
    <vt:lpwstr>English (en)</vt:lpwstr>
  </property>
  <property fmtid="{D5CDD505-2E9C-101B-9397-08002B2CF9AE}" pid="24" name="Objective-Jurisdiction [system]">
    <vt:lpwstr/>
  </property>
  <property fmtid="{D5CDD505-2E9C-101B-9397-08002B2CF9AE}" pid="25" name="Objective-Customers [system]">
    <vt:lpwstr/>
  </property>
  <property fmtid="{D5CDD505-2E9C-101B-9397-08002B2CF9AE}" pid="26" name="Objective-Places [system]">
    <vt:lpwstr/>
  </property>
  <property fmtid="{D5CDD505-2E9C-101B-9397-08002B2CF9AE}" pid="27" name="Objective-Transaction Reference [system]">
    <vt:lpwstr/>
  </property>
  <property fmtid="{D5CDD505-2E9C-101B-9397-08002B2CF9AE}" pid="28" name="Objective-Document Created By [system]">
    <vt:lpwstr/>
  </property>
  <property fmtid="{D5CDD505-2E9C-101B-9397-08002B2CF9AE}" pid="29" name="Objective-Document Created On [system]">
    <vt:lpwstr/>
  </property>
  <property fmtid="{D5CDD505-2E9C-101B-9397-08002B2CF9AE}" pid="30" name="Objective-Covers Period From [system]">
    <vt:lpwstr/>
  </property>
  <property fmtid="{D5CDD505-2E9C-101B-9397-08002B2CF9AE}" pid="31" name="Objective-Covers Period To [system]">
    <vt:lpwstr/>
  </property>
</Properties>
</file>