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240"/>
        <w:jc w:val="center"/>
      </w:pPr>
      <w:r>
        <w:rPr>
          <w:rFonts w:ascii="Times New Roman" w:hAnsi="Times New Roman"/>
          <w:b/>
          <w:sz w:val="48"/>
        </w:rPr>
        <w:t>Real-Time LiDAR SLAM with Reinforcement Learning Path Planning for Autonomous AGVs</w:t>
      </w:r>
    </w:p>
    <w:p>
      <w:pPr>
        <w:spacing w:before="0" w:after="240"/>
        <w:jc w:val="center"/>
      </w:pPr>
      <w:r>
        <w:rPr>
          <w:rFonts w:ascii="Times New Roman" w:hAnsi="Times New Roman"/>
          <w:sz w:val="22"/>
        </w:rPr>
        <w:t>Alexander J. Mercer</w:t>
      </w:r>
      <w:r>
        <w:rPr>
          <w:rFonts w:ascii="Times New Roman" w:hAnsi="Times New Roman"/>
          <w:i/>
          <w:sz w:val="20"/>
        </w:rPr>
        <w:br/>
        <w:t>Department of Computer Science, University of Technology</w:t>
      </w:r>
      <w:r>
        <w:rPr>
          <w:rFonts w:ascii="Times New Roman" w:hAnsi="Times New Roman"/>
          <w:i/>
          <w:sz w:val="20"/>
        </w:rPr>
        <w:br/>
        <w:t>Cambridge, UK</w:t>
      </w:r>
      <w:r>
        <w:rPr>
          <w:rFonts w:ascii="Times New Roman" w:hAnsi="Times New Roman"/>
          <w:i/>
          <w:sz w:val="20"/>
        </w:rPr>
        <w:br/>
        <w:t>e-mail: a.mercer@utec.ac.uk</w:t>
      </w:r>
      <w:r>
        <w:br/>
      </w:r>
      <w:r>
        <w:rPr>
          <w:rFonts w:ascii="Times New Roman" w:hAnsi="Times New Roman"/>
          <w:sz w:val="22"/>
        </w:rPr>
        <w:t>Priya K. Rao</w:t>
      </w:r>
      <w:r>
        <w:rPr>
          <w:rFonts w:ascii="Times New Roman" w:hAnsi="Times New Roman"/>
          <w:i/>
          <w:sz w:val="20"/>
        </w:rPr>
        <w:br/>
        <w:t>School of Engineering, Institute of Autonomous Systems</w:t>
      </w:r>
      <w:r>
        <w:rPr>
          <w:rFonts w:ascii="Times New Roman" w:hAnsi="Times New Roman"/>
          <w:i/>
          <w:sz w:val="20"/>
        </w:rPr>
        <w:br/>
        <w:t>Bengaluru, India</w:t>
      </w:r>
      <w:r>
        <w:rPr>
          <w:rFonts w:ascii="Times New Roman" w:hAnsi="Times New Roman"/>
          <w:i/>
          <w:sz w:val="20"/>
        </w:rPr>
        <w:br/>
        <w:t>e-mail: p.rao@ias.ac.in</w:t>
      </w:r>
    </w:p>
    <w:p>
      <w:pPr>
        <w:spacing w:before="120" w:after="120"/>
        <w:jc w:val="both"/>
      </w:pPr>
      <w:r>
        <w:rPr>
          <w:rFonts w:ascii="Times New Roman" w:hAnsi="Times New Roman"/>
          <w:b/>
          <w:i/>
          <w:sz w:val="18"/>
        </w:rPr>
        <w:t>Abstract—</w:t>
      </w:r>
      <w:r>
        <w:rPr>
          <w:rFonts w:ascii="Times New Roman" w:hAnsi="Times New Roman"/>
          <w:i/>
          <w:sz w:val="18"/>
        </w:rPr>
        <w:t>Autonomous guided vehicles (AGVs) require accurate, low-latency localization and robust path planning to operate safely in dynamic indoor and outdoor environments. Despite recent progress, prior LiDAR-based SLAM systems provide high-fidelity maps but lack integrated, learning-based planners capable of reacting in real time to dynamic obstacles, while reinforcement learning planners often assume perfect localization and dense maps. To address this gap, we propose LARS-RL, a novel approach to tightly couple a lightweight, real-time LiDAR SLAM front-end with a reinforcement learning (RL) based path planner that reasons over an incrementally updated occupancy-semantic map. The proposed joint framework is designed to operate on commodity AGV hardware and to balance mapping accuracy, planning success, and inference speed. Extensive experiments on KITTI Odometry, SemanticKITTI and a custom warehouse AGV dataset demonstrate that LARS-RL achieves 0.048 m ATE (Absolute Trajectory Error) on KITTI and a 94.2% path success rate in warehouse trials, outperforming modular baselines by 12.3% in success rate while running at 28.6 FPS on an NVIDIA RTX 3090. Our method reduces planning latency by 37% compared to a classical A* planner with dynamic remapping, enabling safer and more efficient AGV operation in cluttered environments.</w:t>
      </w:r>
    </w:p>
    <w:p>
      <w:pPr>
        <w:spacing w:before="40" w:after="0"/>
        <w:jc w:val="both"/>
      </w:pPr>
      <w:r>
        <w:rPr>
          <w:rFonts w:ascii="Times New Roman" w:hAnsi="Times New Roman"/>
          <w:b/>
          <w:i/>
          <w:sz w:val="18"/>
        </w:rPr>
        <w:t>Keywords—</w:t>
      </w:r>
      <w:r>
        <w:rPr>
          <w:rFonts w:ascii="Times New Roman" w:hAnsi="Times New Roman"/>
          <w:i/>
          <w:sz w:val="18"/>
        </w:rPr>
        <w:t>LiDAR SLAM, Reinforcement Learning, Path Planning, Autonomous AGV, Real-Time Mapping, Occupancy Semantics</w:t>
      </w:r>
    </w:p>
    <w:p>
      <w:pPr>
        <w:rPr>
          <w:sz w:val="2"/>
        </w:rPr>
        <w:spacing w:before="0" w:after="0" w:line="20" w:lineRule="exact"/>
        <w:sectPr>
          <w:type w:val="continuous"/>
          <w:pgSz w:w="12240" w:h="15840"/>
          <w:pgMar w:top="1080" w:right="900" w:bottom="1440" w:left="900"/>
          <w:cols w:num="1" w:space="720"/>
        </w:sectPr>
      </w:pPr>
    </w:p>
    <w:p>
      <w:pPr>
        <w:spacing w:before="240" w:after="120"/>
        <w:jc w:val="center"/>
      </w:pPr>
      <w:r>
        <w:rPr>
          <w:rFonts w:ascii="Times New Roman" w:hAnsi="Times New Roman"/>
          <w:b/>
          <w:sz w:val="20"/>
        </w:rPr>
        <w:t>I. INTRODUCTION</w:t>
      </w:r>
    </w:p>
    <w:p>
      <w:pPr>
        <w:spacing w:before="0" w:after="40"/>
        <w:ind w:firstLine="360"/>
        <w:jc w:val="both"/>
      </w:pPr>
      <w:r>
        <w:rPr>
          <w:rFonts w:ascii="Times New Roman" w:hAnsi="Times New Roman"/>
          <w:sz w:val="20"/>
        </w:rPr>
        <w:t xml:space="preserve">Autonomous guided vehicles (AGVs) are increasingly deployed for logistics, warehousing, and industrial inspection tasks, where robust navigation in dynamic, partially structured environments is mandatory. Central to reliable AGV autonomy are two tightly coupled capabilities: accurate and stable localization with mapping (SLAM), and fast, safe path planning that adapts to moving obstacles and evolving layouts. Classical LiDAR SLAM systems such as LOAM and LIO-SAM provide precise odometry and dense maps, but despite achieving low trajectory error they suffer from limited real-time adaptability when coupled with reactive planners due to heavy map update costs and brittle hand-crafted heuristics </w:t>
      </w:r>
      <w:r>
        <w:rPr>
          <w:rFonts w:ascii="Times New Roman" w:hAnsi="Times New Roman"/>
          <w:sz w:val="20"/>
        </w:rPr>
        <w:t>[1]</w:t>
      </w:r>
      <w:r>
        <w:rPr>
          <w:rFonts w:ascii="Times New Roman" w:hAnsi="Times New Roman"/>
          <w:sz w:val="20"/>
        </w:rPr>
        <w:t>[11]</w:t>
      </w:r>
      <w:r>
        <w:rPr>
          <w:rFonts w:ascii="Times New Roman" w:hAnsi="Times New Roman"/>
          <w:sz w:val="20"/>
        </w:rPr>
        <w:t>[12]</w:t>
      </w:r>
      <w:r>
        <w:rPr>
          <w:rFonts w:ascii="Times New Roman" w:hAnsi="Times New Roman"/>
          <w:sz w:val="20"/>
        </w:rPr>
        <w:t xml:space="preserve">. Conversely, modern reinforcement learning (RL) planners exhibit strong reactive behaviors learned from simulation, but they often assume access to ideal localization or static maps and therefore degrade in real-world deployment where </w:t>
      </w:r>
      <m:oMath xmlns:mml="http://www.w3.org/1998/Math/MathML">
        <m:sSub>
          <m:e>
            <m:r>
              <m:t>𝐏</m:t>
            </m:r>
          </m:e>
          <m:sub>
            <m:r>
              <m:t>t</m:t>
            </m:r>
          </m:sub>
        </m:sSub>
      </m:oMath>
      <w:r>
        <w:rPr>
          <w:rFonts w:ascii="Times New Roman" w:hAnsi="Times New Roman"/>
          <w:sz w:val="20"/>
        </w:rPr>
        <w:t xml:space="preserve"> (pose estimate) and the local occupancy map are noisy and partial </w:t>
      </w:r>
      <w:r>
        <w:rPr>
          <w:rFonts w:ascii="Times New Roman" w:hAnsi="Times New Roman"/>
          <w:sz w:val="20"/>
        </w:rPr>
        <w:t>[5]</w:t>
      </w:r>
      <w:r>
        <w:rPr>
          <w:rFonts w:ascii="Times New Roman" w:hAnsi="Times New Roman"/>
          <w:sz w:val="20"/>
        </w:rPr>
        <w:t>[6]</w:t>
      </w:r>
      <w:r>
        <w:rPr>
          <w:rFonts w:ascii="Times New Roman" w:hAnsi="Times New Roman"/>
          <w:sz w:val="20"/>
        </w:rPr>
        <w:t>.</w:t>
      </w:r>
    </w:p>
    <w:p>
      <w:pPr>
        <w:spacing w:before="0" w:after="40"/>
        <w:ind w:firstLine="360"/>
        <w:jc w:val="both"/>
      </w:pPr>
      <w:r>
        <w:rPr>
          <w:rFonts w:ascii="Times New Roman" w:hAnsi="Times New Roman"/>
          <w:sz w:val="20"/>
        </w:rPr>
        <w:t>The problem gap we target is the absence of a single, integrated system that combines a real-time LiDAR SLAM pipeline with an RL-based path planner that can operate under realistic sensor noise, constrained compute, and dynamically changing scenes. Despite achieving high mapping fidelity, prior SLAM systems suffer from high latency and heavy memory usage, making them less suitable for small AGVs. To address this challenge, we introduce LARS-RL, a novel approach to fuse a lightweight LiDAR SLAM front-end with an RL planner that reasons over a compact occupancy-semantic representation updated incrementally. LARS-RL explicitly models uncertainty in the SLAM front-end and injects this information into the RL state to improve safety.</w:t>
      </w:r>
    </w:p>
    <w:p>
      <w:pPr>
        <w:spacing w:before="0" w:after="40"/>
        <w:ind w:firstLine="360"/>
        <w:jc w:val="both"/>
      </w:pPr>
      <w:r>
        <w:rPr>
          <w:rFonts w:ascii="Times New Roman" w:hAnsi="Times New Roman"/>
          <w:sz w:val="20"/>
        </w:rPr>
        <w:t>The main contributions of this work can be summarized as follows:</w:t>
      </w:r>
    </w:p>
    <w:p>
      <w:pPr>
        <w:spacing w:before="20" w:after="20"/>
        <w:ind w:left="360" w:hanging="216"/>
        <w:jc w:val="both"/>
      </w:pPr>
      <w:r>
        <w:rPr>
          <w:rFonts w:ascii="Times New Roman" w:hAnsi="Times New Roman"/>
          <w:sz w:val="20"/>
        </w:rPr>
        <w:t xml:space="preserve">• </w:t>
      </w:r>
      <w:r>
        <w:rPr>
          <w:rFonts w:ascii="Times New Roman" w:hAnsi="Times New Roman"/>
          <w:sz w:val="20"/>
        </w:rPr>
        <w:t>We propose LARS-RL, a novel approach to couple a real-time LiDAR SLAM front-end with an on-board reinforcement learning planner that operates on incrementally updated occupancy-semantic maps to enable reactive AGV navigation.</w:t>
      </w:r>
    </w:p>
    <w:p>
      <w:pPr>
        <w:spacing w:before="20" w:after="20"/>
        <w:ind w:left="360" w:hanging="216"/>
        <w:jc w:val="both"/>
      </w:pPr>
      <w:r>
        <w:rPr>
          <w:rFonts w:ascii="Times New Roman" w:hAnsi="Times New Roman"/>
          <w:sz w:val="20"/>
        </w:rPr>
        <w:t xml:space="preserve">• </w:t>
      </w:r>
      <w:r>
        <w:rPr>
          <w:rFonts w:ascii="Times New Roman" w:hAnsi="Times New Roman"/>
          <w:sz w:val="20"/>
        </w:rPr>
        <w:t>The proposed mapping module is designed to provide low-latency pose and compact map updates while quantifying uncertainty; the RL policy is trained with domain-randomized map noise and curriculum learning to be robust to localization drift.</w:t>
      </w:r>
    </w:p>
    <w:p>
      <w:pPr>
        <w:spacing w:before="20" w:after="20"/>
        <w:ind w:left="360" w:hanging="216"/>
        <w:jc w:val="both"/>
      </w:pPr>
      <w:r>
        <w:rPr>
          <w:rFonts w:ascii="Times New Roman" w:hAnsi="Times New Roman"/>
          <w:sz w:val="20"/>
        </w:rPr>
        <w:t xml:space="preserve">• </w:t>
      </w:r>
      <w:r>
        <w:rPr>
          <w:rFonts w:ascii="Times New Roman" w:hAnsi="Times New Roman"/>
          <w:sz w:val="20"/>
        </w:rPr>
        <w:t>Extensive experiments on KITTI Odometry, SemanticKITTI and a custom warehouse AGV dataset demonstrate that LARS-RL achieves 0.048 m ATE on KITTI and a 94.2% path success rate in real-world warehouse trials, outperforming modular baselines by 12.3% in success rate.</w:t>
      </w:r>
    </w:p>
    <w:p>
      <w:pPr>
        <w:spacing w:before="20" w:after="20"/>
        <w:ind w:left="360" w:hanging="216"/>
        <w:jc w:val="both"/>
      </w:pPr>
      <w:r>
        <w:rPr>
          <w:rFonts w:ascii="Times New Roman" w:hAnsi="Times New Roman"/>
          <w:sz w:val="20"/>
        </w:rPr>
        <w:t xml:space="preserve">• </w:t>
      </w:r>
      <w:r>
        <w:rPr>
          <w:rFonts w:ascii="Times New Roman" w:hAnsi="Times New Roman"/>
          <w:sz w:val="20"/>
        </w:rPr>
        <w:t>We provide an ablation study showing that the inclusion of map uncertainty and auxiliary occupancy prediction reduces collision rate by 28% and planning latency by 37% compared to classical planners.</w:t>
      </w:r>
    </w:p>
    <w:p>
      <w:pPr>
        <w:spacing w:before="0" w:after="40"/>
        <w:ind w:firstLine="360"/>
        <w:jc w:val="both"/>
      </w:pPr>
      <w:r>
        <w:rPr>
          <w:rFonts w:ascii="Times New Roman" w:hAnsi="Times New Roman"/>
          <w:sz w:val="20"/>
        </w:rPr>
        <w:t xml:space="preserve">The remainder of this paper is organized as follows. Section II reviews related SLAM, planning, and RL literature. Section III presents the proposed LARS-RL framework: problem formulation, network and SLAM architecture, the Feature Enhancement Module for map representation, and the combined loss functions. Section IV describes datasets, metrics, implementation details, ablation studies, and comparisons against state-of-the-art baselines. Section V concludes and discusses future directions. Throughout the paper we denote the incremental map tensor as </w:t>
      </w:r>
      <m:oMath xmlns:mml="http://www.w3.org/1998/Math/MathML">
        <m:r>
          <m:t>𝐌∈</m:t>
        </m:r>
        <m:sSup>
          <m:e>
            <m:r>
              <m:t>ℝ</m:t>
            </m:r>
          </m:e>
          <m:sup>
            <m:sSub>
              <m:e>
                <m:r>
                  <m:t>H</m:t>
                </m:r>
              </m:e>
              <m:sub>
                <m:r>
                  <m:t>m</m:t>
                </m:r>
              </m:sub>
            </m:sSub>
            <m:r>
              <m:t>×</m:t>
            </m:r>
            <m:sSub>
              <m:e>
                <m:r>
                  <m:t>W</m:t>
                </m:r>
              </m:e>
              <m:sub>
                <m:r>
                  <m:t>m</m:t>
                </m:r>
              </m:sub>
            </m:sSub>
            <m:r>
              <m:t>×</m:t>
            </m:r>
            <m:sSub>
              <m:e>
                <m:r>
                  <m:t>C</m:t>
                </m:r>
              </m:e>
              <m:sub>
                <m:r>
                  <m:t>m</m:t>
                </m:r>
              </m:sub>
            </m:sSub>
          </m:sup>
        </m:sSup>
      </m:oMath>
      <w:r>
        <w:rPr>
          <w:rFonts w:ascii="Times New Roman" w:hAnsi="Times New Roman"/>
          <w:sz w:val="20"/>
        </w:rPr>
        <w:t xml:space="preserve"> and the pose at time </w:t>
      </w:r>
      <m:oMath xmlns:mml="http://www.w3.org/1998/Math/MathML">
        <m:r>
          <m:t>t</m:t>
        </m:r>
      </m:oMath>
      <w:r>
        <w:rPr>
          <w:rFonts w:ascii="Times New Roman" w:hAnsi="Times New Roman"/>
          <w:sz w:val="20"/>
        </w:rPr>
        <w:t xml:space="preserve"> as </w:t>
      </w:r>
      <m:oMath xmlns:mml="http://www.w3.org/1998/Math/MathML">
        <m:sSub>
          <m:e>
            <m:r>
              <m:t>𝐏</m:t>
            </m:r>
          </m:e>
          <m:sub>
            <m:r>
              <m:t>t</m:t>
            </m:r>
          </m:sub>
        </m:sSub>
      </m:oMath>
      <w:r>
        <w:rPr>
          <w:rFonts w:ascii="Times New Roman" w:hAnsi="Times New Roman"/>
          <w:sz w:val="20"/>
        </w:rPr>
        <w:t>.</w:t>
      </w:r>
    </w:p>
    <w:p>
      <w:pPr>
        <w:spacing w:before="240" w:after="120"/>
        <w:jc w:val="center"/>
      </w:pPr>
      <w:r>
        <w:rPr>
          <w:rFonts w:ascii="Times New Roman" w:hAnsi="Times New Roman"/>
          <w:b/>
          <w:sz w:val="20"/>
        </w:rPr>
        <w:t>II. RELATED WORK</w:t>
      </w:r>
    </w:p>
    <w:p>
      <w:pPr>
        <w:spacing w:before="0" w:after="40"/>
        <w:ind w:firstLine="360"/>
        <w:jc w:val="both"/>
      </w:pPr>
      <w:r>
        <w:rPr>
          <w:rFonts w:ascii="Times New Roman" w:hAnsi="Times New Roman"/>
          <w:sz w:val="20"/>
        </w:rPr>
        <w:t>This section provides a brief overview of three complementary research threads central to our approach: LiDAR SLAM systems and efficient mapping, attention and representation learning applied to spatial perception, and reinforcement learning for navigation and planning. We emphasize limitations of prior approaches that motivate an integrated, joint SLAM+RL design. The following subsections discuss seminal and recent work in each thread and highlight the need for robustness to localization uncertainty when applying RL in real AGV deployments.</w:t>
      </w:r>
    </w:p>
    <w:p>
      <w:pPr>
        <w:spacing w:before="120" w:after="60"/>
        <w:jc w:val="left"/>
      </w:pPr>
      <w:r>
        <w:rPr>
          <w:rFonts w:ascii="Times New Roman" w:hAnsi="Times New Roman"/>
          <w:b/>
          <w:i/>
          <w:sz w:val="20"/>
        </w:rPr>
        <w:t>A. Related Category A (e.g., LiDAR-based SLAM and Efficient Mapping)</w:t>
      </w:r>
    </w:p>
    <w:p>
      <w:pPr>
        <w:spacing w:before="0" w:after="40"/>
        <w:ind w:firstLine="360"/>
        <w:jc w:val="both"/>
      </w:pPr>
      <w:r>
        <w:rPr>
          <w:rFonts w:ascii="Times New Roman" w:hAnsi="Times New Roman"/>
          <w:sz w:val="20"/>
        </w:rPr>
        <w:t xml:space="preserve">LiDAR-based SLAM has been a cornerstone of mobile robotics for over a decade. Early work such as LOAM introduced accurate LiDAR odometry and mapping by alternating scan registration and mapping, achieving low drift in structured environments but with high computational cost </w:t>
      </w:r>
      <w:r>
        <w:rPr>
          <w:rFonts w:ascii="Times New Roman" w:hAnsi="Times New Roman"/>
          <w:sz w:val="20"/>
        </w:rPr>
        <w:t>[1]</w:t>
      </w:r>
      <w:r>
        <w:rPr>
          <w:rFonts w:ascii="Times New Roman" w:hAnsi="Times New Roman"/>
          <w:sz w:val="20"/>
        </w:rPr>
        <w:t xml:space="preserve">. LeGO-LOAM extended LOAM for ground vehicles by segmenting ground and non-ground points, improving real-time performance in outdoor terrains but still suffering in cluttered indoor scenarios due to noisy point correspondences </w:t>
      </w:r>
      <w:r>
        <w:rPr>
          <w:rFonts w:ascii="Times New Roman" w:hAnsi="Times New Roman"/>
          <w:sz w:val="20"/>
        </w:rPr>
        <w:t>[2]</w:t>
      </w:r>
      <w:r>
        <w:rPr>
          <w:rFonts w:ascii="Times New Roman" w:hAnsi="Times New Roman"/>
          <w:sz w:val="20"/>
        </w:rPr>
        <w:t xml:space="preserve">. LIO-SAM introduced a tightly-coupled factor graph fusion of IMU and LiDAR for robust odometry in aggressive motion, yet it requires significant CPU resources and careful parameter tuning </w:t>
      </w:r>
      <w:r>
        <w:rPr>
          <w:rFonts w:ascii="Times New Roman" w:hAnsi="Times New Roman"/>
          <w:sz w:val="20"/>
        </w:rPr>
        <w:t>[3]</w:t>
      </w:r>
      <w:r>
        <w:rPr>
          <w:rFonts w:ascii="Times New Roman" w:hAnsi="Times New Roman"/>
          <w:sz w:val="20"/>
        </w:rPr>
        <w:t xml:space="preserve">. SuMa and SuMa++ advanced surfel-based mapping for dense long-term LiDAR mapping, enabling loop-closure and semantic fusion, but these methods incur high memory and update latency that challenge small AGV platforms </w:t>
      </w:r>
      <w:r>
        <w:rPr>
          <w:rFonts w:ascii="Times New Roman" w:hAnsi="Times New Roman"/>
          <w:sz w:val="20"/>
        </w:rPr>
        <w:t>[4]</w:t>
      </w:r>
      <w:r>
        <w:rPr>
          <w:rFonts w:ascii="Times New Roman" w:hAnsi="Times New Roman"/>
          <w:sz w:val="20"/>
        </w:rPr>
        <w:t>.</w:t>
      </w:r>
    </w:p>
    <w:p>
      <w:pPr>
        <w:spacing w:before="0" w:after="40"/>
        <w:ind w:firstLine="360"/>
        <w:jc w:val="both"/>
      </w:pPr>
      <w:r>
        <w:rPr>
          <w:rFonts w:ascii="Times New Roman" w:hAnsi="Times New Roman"/>
          <w:sz w:val="20"/>
        </w:rPr>
        <w:t xml:space="preserve">Although LOAM-like pipelines achieve low ATE, they suffer from limited adaptability when maps change dynamically or when the platform has constrained compute. To address these issues, recent work has explored compact grid representations and incremental occupancy updates to reduce update time </w:t>
      </w:r>
      <w:r>
        <w:rPr>
          <w:rFonts w:ascii="Times New Roman" w:hAnsi="Times New Roman"/>
          <w:sz w:val="20"/>
        </w:rPr>
        <w:t>[8]</w:t>
      </w:r>
      <w:r>
        <w:rPr>
          <w:rFonts w:ascii="Times New Roman" w:hAnsi="Times New Roman"/>
          <w:sz w:val="20"/>
        </w:rPr>
        <w:t>[9]</w:t>
      </w:r>
      <w:r>
        <w:rPr>
          <w:rFonts w:ascii="Times New Roman" w:hAnsi="Times New Roman"/>
          <w:sz w:val="20"/>
        </w:rPr>
        <w:t>. While these methods improve throughput, they do not leverage learned planning policies and typically rely on classical graph search for path planning, which can be brittle under noisy pose estimates. Our approach leverages the strengths of modern LiDAR SLAM pipelines while designing a compact, uncertainty-aware occupancy-semantic representation suitable for RL planners.</w:t>
      </w:r>
    </w:p>
    <w:p>
      <w:pPr>
        <w:spacing w:before="120" w:after="60"/>
        <w:jc w:val="left"/>
      </w:pPr>
      <w:r>
        <w:rPr>
          <w:rFonts w:ascii="Times New Roman" w:hAnsi="Times New Roman"/>
          <w:b/>
          <w:i/>
          <w:sz w:val="20"/>
        </w:rPr>
        <w:t>B. Related Category B (e.g., Attention Mechanisms and Spatial Representations)</w:t>
      </w:r>
    </w:p>
    <w:p>
      <w:pPr>
        <w:spacing w:before="0" w:after="40"/>
        <w:ind w:firstLine="360"/>
        <w:jc w:val="both"/>
      </w:pPr>
      <w:r>
        <w:rPr>
          <w:rFonts w:ascii="Times New Roman" w:hAnsi="Times New Roman"/>
          <w:sz w:val="20"/>
        </w:rPr>
        <w:t xml:space="preserve">Attention mechanisms and compact spatial encodings have become important for perception modules feeding downstream planners. Transformer-style self-attention has been adapted to spatial tasks, with architectures that operate on BEV (bird's-eye view) grids achieving strong performance in detection and segmentation tasks </w:t>
      </w:r>
      <w:r>
        <w:rPr>
          <w:rFonts w:ascii="Times New Roman" w:hAnsi="Times New Roman"/>
          <w:sz w:val="20"/>
        </w:rPr>
        <w:t>[5]</w:t>
      </w:r>
      <w:r>
        <w:rPr>
          <w:rFonts w:ascii="Times New Roman" w:hAnsi="Times New Roman"/>
          <w:sz w:val="20"/>
        </w:rPr>
        <w:t>[6]</w:t>
      </w:r>
      <w:r>
        <w:rPr>
          <w:rFonts w:ascii="Times New Roman" w:hAnsi="Times New Roman"/>
          <w:sz w:val="20"/>
        </w:rPr>
        <w:t xml:space="preserve">. Although transformers provide global context, they often require large </w:t>
      </w:r>
      <m:oMath xmlns:mml="http://www.w3.org/1998/Math/MathML">
        <m:sSub>
          <m:e>
            <m:r>
              <m:t>d</m:t>
            </m:r>
          </m:e>
          <m:sub>
            <m:r>
              <m:rPr>
                <m:nor/>
              </m:rPr>
              <m:t>model</m:t>
            </m:r>
          </m:sub>
        </m:sSub>
      </m:oMath>
      <w:r>
        <w:rPr>
          <w:rFonts w:ascii="Times New Roman" w:hAnsi="Times New Roman"/>
          <w:sz w:val="20"/>
        </w:rPr>
        <w:t xml:space="preserve"> and </w:t>
      </w:r>
      <m:oMath xmlns:mml="http://www.w3.org/1998/Math/MathML">
        <m:r>
          <m:t>h</m:t>
        </m:r>
      </m:oMath>
      <w:r>
        <w:rPr>
          <w:rFonts w:ascii="Times New Roman" w:hAnsi="Times New Roman"/>
          <w:sz w:val="20"/>
        </w:rPr>
        <w:t xml:space="preserve"> heads, making them costly for on-board AGV compute budgets. Channel and spatial attention modules have been proposed as lightweight alternatives that focus compute on salient features </w:t>
      </w:r>
      <w:r>
        <w:rPr>
          <w:rFonts w:ascii="Times New Roman" w:hAnsi="Times New Roman"/>
          <w:sz w:val="20"/>
        </w:rPr>
        <w:t>[7]</w:t>
      </w:r>
      <w:r>
        <w:rPr>
          <w:rFonts w:ascii="Times New Roman" w:hAnsi="Times New Roman"/>
          <w:sz w:val="20"/>
        </w:rPr>
        <w:t>[8]</w:t>
      </w:r>
      <w:r>
        <w:rPr>
          <w:rFonts w:ascii="Times New Roman" w:hAnsi="Times New Roman"/>
          <w:sz w:val="20"/>
        </w:rPr>
        <w:t>.</w:t>
      </w:r>
    </w:p>
    <w:p>
      <w:pPr>
        <w:spacing w:before="0" w:after="40"/>
        <w:ind w:firstLine="360"/>
        <w:jc w:val="both"/>
      </w:pPr>
      <w:r>
        <w:rPr>
          <w:rFonts w:ascii="Times New Roman" w:hAnsi="Times New Roman"/>
          <w:sz w:val="20"/>
        </w:rPr>
        <w:t xml:space="preserve">Despite impressive accuracy gains, attention-heavy models often trade off efficiency: a high </w:t>
      </w:r>
      <m:oMath xmlns:mml="http://www.w3.org/1998/Math/MathML">
        <m:sSub>
          <m:e>
            <m:r>
              <m:t>d</m:t>
            </m:r>
          </m:e>
          <m:sub>
            <m:r>
              <m:rPr>
                <m:nor/>
              </m:rPr>
              <m:t>model</m:t>
            </m:r>
          </m:sub>
        </m:sSub>
      </m:oMath>
      <w:r>
        <w:rPr>
          <w:rFonts w:ascii="Times New Roman" w:hAnsi="Times New Roman"/>
          <w:sz w:val="20"/>
        </w:rPr>
        <w:t xml:space="preserve"> dimension improves cross-region reasoning but increases latency and memory. For AGVs, efficient multi-scale aggregation that retains important obstacle boundaries is essential. To balance these demands, several recent works propose hybrid designs that use local convolutions for low-level processing and selective attention for mid-to-high level fusion </w:t>
      </w:r>
      <w:r>
        <w:rPr>
          <w:rFonts w:ascii="Times New Roman" w:hAnsi="Times New Roman"/>
          <w:sz w:val="20"/>
        </w:rPr>
        <w:t>[10]</w:t>
      </w:r>
      <w:r>
        <w:rPr>
          <w:rFonts w:ascii="Times New Roman" w:hAnsi="Times New Roman"/>
          <w:sz w:val="20"/>
        </w:rPr>
        <w:t>[6]</w:t>
      </w:r>
      <w:r>
        <w:rPr>
          <w:rFonts w:ascii="Times New Roman" w:hAnsi="Times New Roman"/>
          <w:sz w:val="20"/>
        </w:rPr>
        <w:t xml:space="preserve">. The proposed LARS-RL adopts a compact Feature Enhancement Module that uses multi-scale dilated convolutions followed by a lightweight cross-channel attention, with explicit control over </w:t>
      </w:r>
      <m:oMath xmlns:mml="http://www.w3.org/1998/Math/MathML">
        <m:sSub>
          <m:e>
            <m:r>
              <m:t>d</m:t>
            </m:r>
          </m:e>
          <m:sub>
            <m:r>
              <m:t>k</m:t>
            </m:r>
          </m:sub>
        </m:sSub>
      </m:oMath>
      <w:r>
        <w:rPr>
          <w:rFonts w:ascii="Times New Roman" w:hAnsi="Times New Roman"/>
          <w:sz w:val="20"/>
        </w:rPr>
        <w:t xml:space="preserve"> and </w:t>
      </w:r>
      <m:oMath xmlns:mml="http://www.w3.org/1998/Math/MathML">
        <m:r>
          <m:t>h</m:t>
        </m:r>
      </m:oMath>
      <w:r>
        <w:rPr>
          <w:rFonts w:ascii="Times New Roman" w:hAnsi="Times New Roman"/>
          <w:sz w:val="20"/>
        </w:rPr>
        <w:t xml:space="preserve"> parameters to meet real-time constraints. This design is informed by the observation that attention can be applied selectively to the occupancy grid rather than to raw point clouds, significantly reducing computational load while maintaining contextual awareness.</w:t>
      </w:r>
    </w:p>
    <w:p>
      <w:pPr>
        <w:spacing w:before="120" w:after="60"/>
        <w:jc w:val="left"/>
      </w:pPr>
      <w:r>
        <w:rPr>
          <w:rFonts w:ascii="Times New Roman" w:hAnsi="Times New Roman"/>
          <w:b/>
          <w:i/>
          <w:sz w:val="20"/>
        </w:rPr>
        <w:t>C. Related Category C (e.g., Reinforcement Learning for Real-Time Planning)</w:t>
      </w:r>
    </w:p>
    <w:p>
      <w:pPr>
        <w:spacing w:before="0" w:after="40"/>
        <w:ind w:firstLine="360"/>
        <w:jc w:val="both"/>
      </w:pPr>
      <w:r>
        <w:rPr>
          <w:rFonts w:ascii="Times New Roman" w:hAnsi="Times New Roman"/>
          <w:sz w:val="20"/>
        </w:rPr>
        <w:t xml:space="preserve">Reinforcement learning has demonstrated strong reactive navigation capabilities in simulation and controlled experiments. Classical RL algorithms such as DQN and PPO enable agents to learn collision-avoidant behaviors, while continuous-control approaches like SAC provide sample-efficient policy learning for smooth control </w:t>
      </w:r>
      <w:r>
        <w:rPr>
          <w:rFonts w:ascii="Times New Roman" w:hAnsi="Times New Roman"/>
          <w:sz w:val="20"/>
        </w:rPr>
        <w:t>[11]</w:t>
      </w:r>
      <w:r>
        <w:rPr>
          <w:rFonts w:ascii="Times New Roman" w:hAnsi="Times New Roman"/>
          <w:sz w:val="20"/>
        </w:rPr>
        <w:t>[13]</w:t>
      </w:r>
      <w:r>
        <w:rPr>
          <w:rFonts w:ascii="Times New Roman" w:hAnsi="Times New Roman"/>
          <w:sz w:val="20"/>
        </w:rPr>
        <w:t xml:space="preserve">. Recent work on learning-based navigation often assumes perfect pose or dense maps; when deployed with real SLAM front-ends, performance degrades due to localization drift and incomplete observations </w:t>
      </w:r>
      <w:r>
        <w:rPr>
          <w:rFonts w:ascii="Times New Roman" w:hAnsi="Times New Roman"/>
          <w:sz w:val="20"/>
        </w:rPr>
        <w:t>[14]</w:t>
      </w:r>
      <w:r>
        <w:rPr>
          <w:rFonts w:ascii="Times New Roman" w:hAnsi="Times New Roman"/>
          <w:sz w:val="20"/>
        </w:rPr>
        <w:t>[15]</w:t>
      </w:r>
      <w:r>
        <w:rPr>
          <w:rFonts w:ascii="Times New Roman" w:hAnsi="Times New Roman"/>
          <w:sz w:val="20"/>
        </w:rPr>
        <w:t>.</w:t>
      </w:r>
    </w:p>
    <w:p>
      <w:pPr>
        <w:spacing w:before="0" w:after="40"/>
        <w:ind w:firstLine="360"/>
        <w:jc w:val="both"/>
      </w:pPr>
      <w:r>
        <w:rPr>
          <w:rFonts w:ascii="Times New Roman" w:hAnsi="Times New Roman"/>
          <w:sz w:val="20"/>
        </w:rPr>
        <w:t xml:space="preserve">To mitigate this, domain randomization and sim-to-real transfer techniques have been proposed: adding sensor noise, map perturbations, and randomized dynamics during training increases robustness to real-world variation </w:t>
      </w:r>
      <w:r>
        <w:rPr>
          <w:rFonts w:ascii="Times New Roman" w:hAnsi="Times New Roman"/>
          <w:sz w:val="20"/>
        </w:rPr>
        <w:t>[16]</w:t>
      </w:r>
      <w:r>
        <w:rPr>
          <w:rFonts w:ascii="Times New Roman" w:hAnsi="Times New Roman"/>
          <w:sz w:val="20"/>
        </w:rPr>
        <w:t xml:space="preserve">. Some hybrid systems combine classical planners with learned reactive controllers to reap the benefits of both strategies </w:t>
      </w:r>
      <w:r>
        <w:rPr>
          <w:rFonts w:ascii="Times New Roman" w:hAnsi="Times New Roman"/>
          <w:sz w:val="20"/>
        </w:rPr>
        <w:t>[17]</w:t>
      </w:r>
      <w:r>
        <w:rPr>
          <w:rFonts w:ascii="Times New Roman" w:hAnsi="Times New Roman"/>
          <w:sz w:val="20"/>
        </w:rPr>
        <w:t>. While such systems improve safety, they still treat SLAM as a black box and do not exploit map uncertainty explicitly. Our method trains the RL planner with stochastic SLAM outputs and augments the RL state with uncertainty features derived from the mapping module. This integration reduces collisions in practice and improves path success rates compared to RL policies trained with idealized localization.</w:t>
      </w:r>
    </w:p>
    <w:p>
      <w:pPr>
        <w:spacing w:before="240" w:after="120"/>
        <w:jc w:val="center"/>
      </w:pPr>
      <w:r>
        <w:rPr>
          <w:rFonts w:ascii="Times New Roman" w:hAnsi="Times New Roman"/>
          <w:b/>
          <w:sz w:val="20"/>
        </w:rPr>
        <w:t>III. PROPOSED METHOD</w:t>
      </w:r>
    </w:p>
    <w:p>
      <w:pPr>
        <w:spacing w:before="0" w:after="40"/>
        <w:ind w:firstLine="360"/>
        <w:jc w:val="both"/>
      </w:pPr>
      <w:r>
        <w:rPr>
          <w:rFonts w:ascii="Times New Roman" w:hAnsi="Times New Roman"/>
          <w:sz w:val="20"/>
        </w:rPr>
        <w:t>In this section, we present the proposed LARS-RL framework. As illustrated in Fig. 1, the overall architecture consists of a LiDAR encoder and fast mapping front-end, a compact occupancy-semantic Feature Enhancement Module (FEM), and a reinforcement learning-based planner that consumes the occupancy-semantic grid and pose uncertainty to output low-latency control commands. We first define the problem formulation in Section III-A, then describe the SLAM and network architecture in Section III-B and III-C, and detail the training objective and losses in Section III-D.</w:t>
      </w:r>
    </w:p>
    <w:p>
      <w:pPr>
        <w:spacing w:before="120" w:after="60"/>
        <w:jc w:val="left"/>
      </w:pPr>
      <w:r>
        <w:rPr>
          <w:rFonts w:ascii="Times New Roman" w:hAnsi="Times New Roman"/>
          <w:b/>
          <w:i/>
          <w:sz w:val="20"/>
        </w:rPr>
        <w:t>A. Problem Formulation</w:t>
      </w:r>
    </w:p>
    <w:p>
      <w:pPr>
        <w:spacing w:before="0" w:after="40"/>
        <w:ind w:firstLine="360"/>
        <w:jc w:val="both"/>
      </w:pPr>
      <w:r>
        <w:rPr>
          <w:rFonts w:ascii="Times New Roman" w:hAnsi="Times New Roman"/>
          <w:sz w:val="20"/>
        </w:rPr>
        <w:t xml:space="preserve">Given a continuous stream of LiDAR scans </w:t>
      </w:r>
      <m:oMath xmlns:mml="http://www.w3.org/1998/Math/MathML">
        <m:r>
          <m:t>𝒮={</m:t>
        </m:r>
        <m:sSub>
          <m:e>
            <m:r>
              <m:t>s</m:t>
            </m:r>
          </m:e>
          <m:sub>
            <m:r>
              <m:t>t</m:t>
            </m:r>
          </m:sub>
        </m:sSub>
        <m:sSubSup>
          <m:e>
            <m:r>
              <m:t>}</m:t>
            </m:r>
          </m:e>
          <m:sub>
            <m:r>
              <m:t>t=1</m:t>
            </m:r>
          </m:sub>
          <m:sup>
            <m:r>
              <m:t>T</m:t>
            </m:r>
          </m:sup>
        </m:sSubSup>
      </m:oMath>
      <w:r>
        <w:rPr>
          <w:rFonts w:ascii="Times New Roman" w:hAnsi="Times New Roman"/>
          <w:sz w:val="20"/>
        </w:rPr>
        <w:t xml:space="preserve"> and optional IMU readings </w:t>
      </w:r>
      <m:oMath xmlns:mml="http://www.w3.org/1998/Math/MathML">
        <m:r>
          <m:t>ℐ={</m:t>
        </m:r>
        <m:sSub>
          <m:e>
            <m:r>
              <m:t>i</m:t>
            </m:r>
          </m:e>
          <m:sub>
            <m:r>
              <m:t>t</m:t>
            </m:r>
          </m:sub>
        </m:sSub>
        <m:sSubSup>
          <m:e>
            <m:r>
              <m:t>}</m:t>
            </m:r>
          </m:e>
          <m:sub>
            <m:r>
              <m:t>t=1</m:t>
            </m:r>
          </m:sub>
          <m:sup>
            <m:r>
              <m:t>T</m:t>
            </m:r>
          </m:sup>
        </m:sSubSup>
      </m:oMath>
      <w:r>
        <w:rPr>
          <w:rFonts w:ascii="Times New Roman" w:hAnsi="Times New Roman"/>
          <w:sz w:val="20"/>
        </w:rPr>
        <w:t xml:space="preserve">, the goal is twofold: (1) estimate real-time pose </w:t>
      </w:r>
      <m:oMath xmlns:mml="http://www.w3.org/1998/Math/MathML">
        <m:sSub>
          <m:e>
            <m:r>
              <m:t>𝐏</m:t>
            </m:r>
          </m:e>
          <m:sub>
            <m:r>
              <m:t>t</m:t>
            </m:r>
          </m:sub>
        </m:sSub>
      </m:oMath>
      <w:r>
        <w:rPr>
          <w:rFonts w:ascii="Times New Roman" w:hAnsi="Times New Roman"/>
          <w:sz w:val="20"/>
        </w:rPr>
        <w:t xml:space="preserve"> and an incrementally updated occupancy-semantic map </w:t>
      </w:r>
      <m:oMath xmlns:mml="http://www.w3.org/1998/Math/MathML">
        <m:sSub>
          <m:e>
            <m:r>
              <m:t>𝐌</m:t>
            </m:r>
          </m:e>
          <m:sub>
            <m:r>
              <m:t>t</m:t>
            </m:r>
          </m:sub>
        </m:sSub>
      </m:oMath>
      <w:r>
        <w:rPr>
          <w:rFonts w:ascii="Times New Roman" w:hAnsi="Times New Roman"/>
          <w:sz w:val="20"/>
        </w:rPr>
        <w:t xml:space="preserve">, and (2) compute control commands </w:t>
      </w:r>
      <m:oMath xmlns:mml="http://www.w3.org/1998/Math/MathML">
        <m:sSub>
          <m:e>
            <m:r>
              <m:t>𝐮</m:t>
            </m:r>
          </m:e>
          <m:sub>
            <m:r>
              <m:t>t</m:t>
            </m:r>
          </m:sub>
        </m:sSub>
      </m:oMath>
      <w:r>
        <w:rPr>
          <w:rFonts w:ascii="Times New Roman" w:hAnsi="Times New Roman"/>
          <w:sz w:val="20"/>
        </w:rPr>
        <w:t xml:space="preserve"> that drive the AGV from a start to a goal while avoiding dynamic obstacles and optimizing a task cost (e.g., travel time). Formally, we seek a joint mapping and planning policy parameterized by </w:t>
      </w:r>
      <m:oMath xmlns:mml="http://www.w3.org/1998/Math/MathML">
        <m:r>
          <m:t>θ</m:t>
        </m:r>
      </m:oMath>
      <w:r>
        <w:rPr>
          <w:rFonts w:ascii="Times New Roman" w:hAnsi="Times New Roman"/>
          <w:sz w:val="20"/>
        </w:rPr>
        <w:t>:</w:t>
      </w:r>
    </w:p>
    <w:p>
      <w:pPr>
        <w:spacing w:before="120" w:after="120"/>
        <w:jc w:val="center"/>
      </w:pPr>
      <m:oMathPara>
        <m:oMathParaPr>
          <m:jc m:val="center"/>
        </m:oMathParaPr>
        <m:oMath xmlns:mml="http://www.w3.org/1998/Math/MathML">
          <m:sSub>
            <m:e>
              <m:limUpp>
                <m:e>
                  <m:r>
                    <m:t>𝐏</m:t>
                  </m:r>
                </m:e>
                <m:lim>
                  <m:r>
                    <m:t>^</m:t>
                  </m:r>
                </m:lim>
              </m:limUpp>
            </m:e>
            <m:sub>
              <m:r>
                <m:t>t</m:t>
              </m:r>
            </m:sub>
          </m:sSub>
          <m:r>
            <m:t>,</m:t>
          </m:r>
          <m:sSub>
            <m:e>
              <m:r>
                <m:t>𝐌</m:t>
              </m:r>
            </m:e>
            <m:sub>
              <m:r>
                <m:t>t</m:t>
              </m:r>
            </m:sub>
          </m:sSub>
          <m:r>
            <m:t>,</m:t>
          </m:r>
          <m:sSub>
            <m:e>
              <m:r>
                <m:t>𝐮</m:t>
              </m:r>
            </m:e>
            <m:sub>
              <m:r>
                <m:t>t</m:t>
              </m:r>
            </m:sub>
          </m:sSub>
          <m:r>
            <m:t>=</m:t>
          </m:r>
          <m:sSub>
            <m:e>
              <m:r>
                <m:t>π</m:t>
              </m:r>
            </m:e>
            <m:sub>
              <m:r>
                <m:t>θ</m:t>
              </m:r>
            </m:sub>
          </m:sSub>
          <m:r>
            <m:t>(</m:t>
          </m:r>
          <m:sSub>
            <m:e>
              <m:r>
                <m:t>s</m:t>
              </m:r>
            </m:e>
            <m:sub>
              <m:r>
                <m:t>1:t</m:t>
              </m:r>
            </m:sub>
          </m:sSub>
          <m:r>
            <m:t>,</m:t>
          </m:r>
          <m:sSub>
            <m:e>
              <m:r>
                <m:t>i</m:t>
              </m:r>
            </m:e>
            <m:sub>
              <m:r>
                <m:t>1:t</m:t>
              </m:r>
            </m:sub>
          </m:sSub>
          <m:r>
            <m:t>,g),</m:t>
          </m:r>
        </m:oMath>
      </m:oMathPara>
    </w:p>
    <w:p>
      <w:pPr>
        <w:spacing w:before="0" w:after="40"/>
        <w:ind w:firstLine="360"/>
        <w:jc w:val="both"/>
      </w:pPr>
      <w:r>
        <w:rPr>
          <w:rFonts w:ascii="Times New Roman" w:hAnsi="Times New Roman"/>
          <w:sz w:val="20"/>
        </w:rPr>
        <w:t xml:space="preserve">where </w:t>
      </w:r>
      <m:oMath xmlns:mml="http://www.w3.org/1998/Math/MathML">
        <m:r>
          <m:t>g</m:t>
        </m:r>
      </m:oMath>
      <w:r>
        <w:rPr>
          <w:rFonts w:ascii="Times New Roman" w:hAnsi="Times New Roman"/>
          <w:sz w:val="20"/>
        </w:rPr>
        <w:t xml:space="preserve"> is the goal location in map coordinates.</w:t>
      </w:r>
    </w:p>
    <w:p>
      <w:pPr>
        <w:spacing w:before="120" w:after="120"/>
        <w:jc w:val="center"/>
      </w:pPr>
      <w:r>
        <w:rPr>
          <w:rFonts w:ascii="Times New Roman" w:hAnsi="Times New Roman"/>
          <w:i/>
          <w:sz w:val="20"/>
        </w:rPr>
      </w:r>
    </w:p>
    <w:p>
      <w:pPr>
        <w:spacing w:before="0" w:after="40"/>
        <w:ind w:firstLine="360"/>
        <w:jc w:val="both"/>
      </w:pPr>
      <w:r>
        <w:rPr>
          <w:rFonts w:ascii="Times New Roman" w:hAnsi="Times New Roman"/>
          <w:sz w:val="20"/>
        </w:rPr>
        <w:t xml:space="preserve">The LiDAR front-end produces a compact BEV occupancy-semantic grid </w:t>
      </w:r>
      <m:oMath xmlns:mml="http://www.w3.org/1998/Math/MathML">
        <m:sSub>
          <m:e>
            <m:r>
              <m:t>𝐌</m:t>
            </m:r>
          </m:e>
          <m:sub>
            <m:r>
              <m:t>t</m:t>
            </m:r>
          </m:sub>
        </m:sSub>
        <m:r>
          <m:t>∈</m:t>
        </m:r>
        <m:sSup>
          <m:e>
            <m:r>
              <m:t>ℝ</m:t>
            </m:r>
          </m:e>
          <m:sup>
            <m:sSub>
              <m:e>
                <m:r>
                  <m:t>H</m:t>
                </m:r>
              </m:e>
              <m:sub>
                <m:r>
                  <m:t>m</m:t>
                </m:r>
              </m:sub>
            </m:sSub>
            <m:r>
              <m:t>×</m:t>
            </m:r>
            <m:sSub>
              <m:e>
                <m:r>
                  <m:t>W</m:t>
                </m:r>
              </m:e>
              <m:sub>
                <m:r>
                  <m:t>m</m:t>
                </m:r>
              </m:sub>
            </m:sSub>
            <m:r>
              <m:t>×</m:t>
            </m:r>
            <m:sSub>
              <m:e>
                <m:r>
                  <m:t>C</m:t>
                </m:r>
              </m:e>
              <m:sub>
                <m:r>
                  <m:t>m</m:t>
                </m:r>
              </m:sub>
            </m:sSub>
          </m:sup>
        </m:sSup>
      </m:oMath>
      <w:r>
        <w:rPr>
          <w:rFonts w:ascii="Times New Roman" w:hAnsi="Times New Roman"/>
          <w:sz w:val="20"/>
        </w:rPr>
        <w:t xml:space="preserve">, where </w:t>
      </w:r>
      <m:oMath xmlns:mml="http://www.w3.org/1998/Math/MathML">
        <m:sSub>
          <m:e>
            <m:r>
              <m:t>H</m:t>
            </m:r>
          </m:e>
          <m:sub>
            <m:r>
              <m:t>m</m:t>
            </m:r>
          </m:sub>
        </m:sSub>
      </m:oMath>
      <w:r>
        <w:rPr>
          <w:rFonts w:ascii="Times New Roman" w:hAnsi="Times New Roman"/>
          <w:sz w:val="20"/>
        </w:rPr>
        <w:t xml:space="preserve"> and </w:t>
      </w:r>
      <m:oMath xmlns:mml="http://www.w3.org/1998/Math/MathML">
        <m:sSub>
          <m:e>
            <m:r>
              <m:t>W</m:t>
            </m:r>
          </m:e>
          <m:sub>
            <m:r>
              <m:t>m</m:t>
            </m:r>
          </m:sub>
        </m:sSub>
      </m:oMath>
      <w:r>
        <w:rPr>
          <w:rFonts w:ascii="Times New Roman" w:hAnsi="Times New Roman"/>
          <w:sz w:val="20"/>
        </w:rPr>
        <w:t xml:space="preserve"> denote grid height and width and </w:t>
      </w:r>
      <m:oMath xmlns:mml="http://www.w3.org/1998/Math/MathML">
        <m:sSub>
          <m:e>
            <m:r>
              <m:t>C</m:t>
            </m:r>
          </m:e>
          <m:sub>
            <m:r>
              <m:t>m</m:t>
            </m:r>
          </m:sub>
        </m:sSub>
      </m:oMath>
      <w:r>
        <w:rPr>
          <w:rFonts w:ascii="Times New Roman" w:hAnsi="Times New Roman"/>
          <w:sz w:val="20"/>
        </w:rPr>
        <w:t xml:space="preserve"> denotes channels (occupancy, semantic class logits, and uncertainty). The SLAM front-end outputs a pose estimate </w:t>
      </w:r>
      <m:oMath xmlns:mml="http://www.w3.org/1998/Math/MathML">
        <m:sSub>
          <m:e>
            <m:limUpp>
              <m:e>
                <m:r>
                  <m:t>𝐏</m:t>
                </m:r>
              </m:e>
              <m:lim>
                <m:r>
                  <m:t>^</m:t>
                </m:r>
              </m:lim>
            </m:limUpp>
          </m:e>
          <m:sub>
            <m:r>
              <m:t>t</m:t>
            </m:r>
          </m:sub>
        </m:sSub>
        <m:r>
          <m:t>∈SE(2)</m:t>
        </m:r>
      </m:oMath>
      <w:r>
        <w:rPr>
          <w:rFonts w:ascii="Times New Roman" w:hAnsi="Times New Roman"/>
          <w:sz w:val="20"/>
        </w:rPr>
        <w:t xml:space="preserve"> for planar AGV motion, and an uncertainty covariance </w:t>
      </w:r>
      <m:oMath xmlns:mml="http://www.w3.org/1998/Math/MathML">
        <m:sSub>
          <m:e>
            <m:r>
              <m:t>Σ</m:t>
            </m:r>
          </m:e>
          <m:sub>
            <m:r>
              <m:t>t</m:t>
            </m:r>
          </m:sub>
        </m:sSub>
        <m:r>
          <m:t>∈</m:t>
        </m:r>
        <m:sSup>
          <m:e>
            <m:r>
              <m:t>ℝ</m:t>
            </m:r>
          </m:e>
          <m:sup>
            <m:r>
              <m:t>3×3</m:t>
            </m:r>
          </m:sup>
        </m:sSup>
      </m:oMath>
      <w:r>
        <w:rPr>
          <w:rFonts w:ascii="Times New Roman" w:hAnsi="Times New Roman"/>
          <w:sz w:val="20"/>
        </w:rPr>
        <w:t>.</w:t>
      </w:r>
    </w:p>
    <w:p>
      <w:pPr>
        <w:spacing w:before="0" w:after="40"/>
        <w:ind w:firstLine="360"/>
        <w:jc w:val="both"/>
      </w:pPr>
      <w:r>
        <w:rPr>
          <w:rFonts w:ascii="Times New Roman" w:hAnsi="Times New Roman"/>
          <w:sz w:val="20"/>
        </w:rPr>
        <w:t xml:space="preserve">We formalize the planner as a Markov decision process (MDP) with state </w:t>
      </w:r>
      <m:oMath xmlns:mml="http://www.w3.org/1998/Math/MathML">
        <m:sSub>
          <m:e>
            <m:r>
              <m:t>𝐬</m:t>
            </m:r>
          </m:e>
          <m:sub>
            <m:r>
              <m:t>t</m:t>
            </m:r>
          </m:sub>
        </m:sSub>
        <m:r>
          <m:t>={</m:t>
        </m:r>
        <m:sSub>
          <m:e>
            <m:r>
              <m:t>𝐌</m:t>
            </m:r>
          </m:e>
          <m:sub>
            <m:r>
              <m:t>t</m:t>
            </m:r>
          </m:sub>
        </m:sSub>
        <m:r>
          <m:t>,</m:t>
        </m:r>
        <m:sSub>
          <m:e>
            <m:limUpp>
              <m:e>
                <m:r>
                  <m:t>𝐏</m:t>
                </m:r>
              </m:e>
              <m:lim>
                <m:r>
                  <m:t>^</m:t>
                </m:r>
              </m:lim>
            </m:limUpp>
          </m:e>
          <m:sub>
            <m:r>
              <m:t>t</m:t>
            </m:r>
          </m:sub>
        </m:sSub>
        <m:r>
          <m:t>,</m:t>
        </m:r>
        <m:sSub>
          <m:e>
            <m:r>
              <m:t>Σ</m:t>
            </m:r>
          </m:e>
          <m:sub>
            <m:r>
              <m:t>t</m:t>
            </m:r>
          </m:sub>
        </m:sSub>
        <m:r>
          <m:t>,g}</m:t>
        </m:r>
      </m:oMath>
      <w:r>
        <w:rPr>
          <w:rFonts w:ascii="Times New Roman" w:hAnsi="Times New Roman"/>
          <w:sz w:val="20"/>
        </w:rPr>
        <w:t xml:space="preserve">, continuous action space </w:t>
      </w:r>
      <m:oMath xmlns:mml="http://www.w3.org/1998/Math/MathML">
        <m:sSub>
          <m:e>
            <m:r>
              <m:t>𝐚</m:t>
            </m:r>
          </m:e>
          <m:sub>
            <m:r>
              <m:t>t</m:t>
            </m:r>
          </m:sub>
        </m:sSub>
        <m:r>
          <m:t>=</m:t>
        </m:r>
        <m:sSub>
          <m:e>
            <m:r>
              <m:t>𝐮</m:t>
            </m:r>
          </m:e>
          <m:sub>
            <m:r>
              <m:t>t</m:t>
            </m:r>
          </m:sub>
        </m:sSub>
        <m:r>
          <m:t>=(</m:t>
        </m:r>
        <m:sSub>
          <m:e>
            <m:r>
              <m:t>v</m:t>
            </m:r>
          </m:e>
          <m:sub>
            <m:r>
              <m:t>t</m:t>
            </m:r>
          </m:sub>
        </m:sSub>
        <m:r>
          <m:t>,</m:t>
        </m:r>
        <m:sSub>
          <m:e>
            <m:r>
              <m:t>ω</m:t>
            </m:r>
          </m:e>
          <m:sub>
            <m:r>
              <m:t>t</m:t>
            </m:r>
          </m:sub>
        </m:sSub>
        <m:r>
          <m:t>)</m:t>
        </m:r>
      </m:oMath>
      <w:r>
        <w:rPr>
          <w:rFonts w:ascii="Times New Roman" w:hAnsi="Times New Roman"/>
          <w:sz w:val="20"/>
        </w:rPr>
        <w:t xml:space="preserve"> (linear and angular velocities), and reward </w:t>
      </w:r>
      <m:oMath xmlns:mml="http://www.w3.org/1998/Math/MathML">
        <m:sSub>
          <m:e>
            <m:r>
              <m:t>r</m:t>
            </m:r>
          </m:e>
          <m:sub>
            <m:r>
              <m:t>t</m:t>
            </m:r>
          </m:sub>
        </m:sSub>
      </m:oMath>
      <w:r>
        <w:rPr>
          <w:rFonts w:ascii="Times New Roman" w:hAnsi="Times New Roman"/>
          <w:sz w:val="20"/>
        </w:rPr>
        <w:t xml:space="preserve"> encoding progress to the goal and safety. The RL objective maximizes expected discounted return:</w:t>
      </w:r>
    </w:p>
    <w:p>
      <w:pPr>
        <w:spacing w:before="120" w:after="120"/>
        <w:jc w:val="center"/>
      </w:pPr>
      <m:oMathPara>
        <m:oMathParaPr>
          <m:jc m:val="center"/>
        </m:oMathParaPr>
        <m:oMath xmlns:mml="http://www.w3.org/1998/Math/MathML">
          <m:r>
            <m:t>J(θ)=</m:t>
          </m:r>
          <m:sSub>
            <m:e>
              <m:r>
                <m:t>𝔼</m:t>
              </m:r>
            </m:e>
            <m:sub>
              <m:r>
                <m:t>τ~</m:t>
              </m:r>
              <m:sSub>
                <m:e>
                  <m:r>
                    <m:t>π</m:t>
                  </m:r>
                </m:e>
                <m:sub>
                  <m:r>
                    <m:t>θ</m:t>
                  </m:r>
                </m:sub>
              </m:sSub>
            </m:sub>
          </m:sSub>
          <m:r>
            <m:t>[</m:t>
          </m:r>
          <m:nary>
            <m:naryPr>
              <m:chr m:val="∑"/>
              <m:limLoc m:val="subSup"/>
              <m:grow m:val="1"/>
              <m:subHide m:val="off"/>
              <m:supHide m:val="off"/>
            </m:naryPr>
            <m:sub>
              <m:r>
                <m:t>t=0</m:t>
              </m:r>
            </m:sub>
            <m:sup>
              <m:r>
                <m:t>T</m:t>
              </m:r>
            </m:sup>
            <m:e/>
          </m:nary>
          <m:sSup>
            <m:e>
              <m:r>
                <m:t>γ</m:t>
              </m:r>
            </m:e>
            <m:sup>
              <m:r>
                <m:t>t</m:t>
              </m:r>
            </m:sup>
          </m:sSup>
          <m:sSub>
            <m:e>
              <m:r>
                <m:t>r</m:t>
              </m:r>
            </m:e>
            <m:sub>
              <m:r>
                <m:t>t</m:t>
              </m:r>
            </m:sub>
          </m:sSub>
          <m:r>
            <m:t>]</m:t>
          </m:r>
          <m:r>
            <m:t>,</m:t>
          </m:r>
        </m:oMath>
      </m:oMathPara>
    </w:p>
    <w:p>
      <w:pPr>
        <w:spacing w:before="0" w:after="40"/>
        <w:ind w:firstLine="360"/>
        <w:jc w:val="both"/>
      </w:pPr>
      <w:r>
        <w:rPr>
          <w:rFonts w:ascii="Times New Roman" w:hAnsi="Times New Roman"/>
          <w:sz w:val="20"/>
        </w:rPr>
        <w:t xml:space="preserve">where </w:t>
      </w:r>
      <m:oMath xmlns:mml="http://www.w3.org/1998/Math/MathML">
        <m:r>
          <m:t>γ</m:t>
        </m:r>
      </m:oMath>
      <w:r>
        <w:rPr>
          <w:rFonts w:ascii="Times New Roman" w:hAnsi="Times New Roman"/>
          <w:sz w:val="20"/>
        </w:rPr>
        <w:t xml:space="preserve"> is the discount factor. Here </w:t>
      </w:r>
      <m:oMath xmlns:mml="http://www.w3.org/1998/Math/MathML">
        <m:r>
          <m:t>τ</m:t>
        </m:r>
      </m:oMath>
      <w:r>
        <w:rPr>
          <w:rFonts w:ascii="Times New Roman" w:hAnsi="Times New Roman"/>
          <w:sz w:val="20"/>
        </w:rPr>
        <w:t xml:space="preserve"> denotes a trajectory induced by policy </w:t>
      </w:r>
      <m:oMath xmlns:mml="http://www.w3.org/1998/Math/MathML">
        <m:sSub>
          <m:e>
            <m:r>
              <m:t>π</m:t>
            </m:r>
          </m:e>
          <m:sub>
            <m:r>
              <m:t>θ</m:t>
            </m:r>
          </m:sub>
        </m:sSub>
      </m:oMath>
      <w:r>
        <w:rPr>
          <w:rFonts w:ascii="Times New Roman" w:hAnsi="Times New Roman"/>
          <w:sz w:val="20"/>
        </w:rPr>
        <w:t xml:space="preserve"> under stochastic SLAM outputs and environment dynamics. The mapping task is evaluated by standard metrics such as Absolute Trajectory Error (ATE) and map intersection-over-union (mIoU) for semantic occupancy, enabling joint optimization of mapping fidelity and planning robustness.</w:t>
      </w:r>
    </w:p>
    <w:p>
      <w:pPr>
        <w:spacing w:before="120" w:after="60"/>
        <w:jc w:val="left"/>
      </w:pPr>
      <w:r>
        <w:rPr>
          <w:rFonts w:ascii="Times New Roman" w:hAnsi="Times New Roman"/>
          <w:b/>
          <w:i/>
          <w:sz w:val="20"/>
        </w:rPr>
        <w:t>B. Network Architecture</w:t>
      </w:r>
    </w:p>
    <w:p>
      <w:pPr>
        <w:spacing w:before="0" w:after="40"/>
        <w:ind w:firstLine="360"/>
        <w:jc w:val="both"/>
      </w:pPr>
      <w:r>
        <w:rPr>
          <w:rFonts w:ascii="Times New Roman" w:hAnsi="Times New Roman"/>
          <w:sz w:val="20"/>
        </w:rPr>
        <w:t xml:space="preserve">The proposed system contains two tightly integrated modules: a lightweight LiDAR SLAM front-end (L-SLAM) and an RL planner network (P-Net). As shown in Fig. 1 and Fig. 2, the encoder </w:t>
      </w:r>
      <m:oMath xmlns:mml="http://www.w3.org/1998/Math/MathML">
        <m:r>
          <m:t>ℰ</m:t>
        </m:r>
      </m:oMath>
      <w:r>
        <w:rPr>
          <w:rFonts w:ascii="Times New Roman" w:hAnsi="Times New Roman"/>
          <w:sz w:val="20"/>
        </w:rPr>
        <w:t xml:space="preserve"> processes incoming point-cloud projections into multi-scale BEV feature maps. At stage </w:t>
      </w:r>
      <m:oMath xmlns:mml="http://www.w3.org/1998/Math/MathML">
        <m:r>
          <m:t>s</m:t>
        </m:r>
      </m:oMath>
      <w:r>
        <w:rPr>
          <w:rFonts w:ascii="Times New Roman" w:hAnsi="Times New Roman"/>
          <w:sz w:val="20"/>
        </w:rPr>
        <w:t xml:space="preserve">, the feature map </w:t>
      </w:r>
      <m:oMath xmlns:mml="http://www.w3.org/1998/Math/MathML">
        <m:sSup>
          <m:e>
            <m:r>
              <m:t>𝐅</m:t>
            </m:r>
          </m:e>
          <m:sup>
            <m:r>
              <m:t>(s)</m:t>
            </m:r>
          </m:sup>
        </m:sSup>
        <m:r>
          <m:t>∈</m:t>
        </m:r>
        <m:sSup>
          <m:e>
            <m:r>
              <m:t>ℝ</m:t>
            </m:r>
          </m:e>
          <m:sup>
            <m:sSub>
              <m:e>
                <m:r>
                  <m:t>C</m:t>
                </m:r>
              </m:e>
              <m:sub>
                <m:r>
                  <m:t>s</m:t>
                </m:r>
              </m:sub>
            </m:sSub>
            <m:r>
              <m:t>×</m:t>
            </m:r>
            <m:sSub>
              <m:e>
                <m:r>
                  <m:t>H</m:t>
                </m:r>
              </m:e>
              <m:sub>
                <m:r>
                  <m:t>s</m:t>
                </m:r>
              </m:sub>
            </m:sSub>
            <m:r>
              <m:t>×</m:t>
            </m:r>
            <m:sSub>
              <m:e>
                <m:r>
                  <m:t>W</m:t>
                </m:r>
              </m:e>
              <m:sub>
                <m:r>
                  <m:t>s</m:t>
                </m:r>
              </m:sub>
            </m:sSub>
          </m:sup>
        </m:sSup>
      </m:oMath>
      <w:r>
        <w:rPr>
          <w:rFonts w:ascii="Times New Roman" w:hAnsi="Times New Roman"/>
          <w:sz w:val="20"/>
        </w:rPr>
        <w:t xml:space="preserve"> is downsampled by a factor of </w:t>
      </w:r>
      <m:oMath xmlns:mml="http://www.w3.org/1998/Math/MathML">
        <m:sSup>
          <m:e>
            <m:r>
              <m:t>2</m:t>
            </m:r>
          </m:e>
          <m:sup>
            <m:r>
              <m:t>s</m:t>
            </m:r>
          </m:sup>
        </m:sSup>
      </m:oMath>
      <w:r>
        <w:rPr>
          <w:rFonts w:ascii="Times New Roman" w:hAnsi="Times New Roman"/>
          <w:sz w:val="20"/>
        </w:rPr>
        <w:t xml:space="preserve">, with </w:t>
      </w:r>
      <m:oMath xmlns:mml="http://www.w3.org/1998/Math/MathML">
        <m:r>
          <m:t>s∈{0,1,2}</m:t>
        </m:r>
      </m:oMath>
      <w:r>
        <w:rPr>
          <w:rFonts w:ascii="Times New Roman" w:hAnsi="Times New Roman"/>
          <w:sz w:val="20"/>
        </w:rPr>
        <w:t>. The encoder uses two residual depthwise separable blocks per stage to minimize parameters while preserving representational capacity, yielding efficient operations suitable for AGV CPUs and embedded GPUs. The feature transformation between stages is expressed as:</w:t>
      </w:r>
    </w:p>
    <w:p>
      <w:pPr>
        <w:spacing w:before="120" w:after="120"/>
        <w:jc w:val="center"/>
      </w:pPr>
      <m:oMathPara>
        <m:oMathParaPr>
          <m:jc m:val="center"/>
        </m:oMathParaPr>
        <m:oMath xmlns:mml="http://www.w3.org/1998/Math/MathML">
          <m:sSup>
            <m:e>
              <m:r>
                <m:t>𝐅</m:t>
              </m:r>
            </m:e>
            <m:sup>
              <m:r>
                <m:t>(s+1)</m:t>
              </m:r>
            </m:sup>
          </m:sSup>
          <m:r>
            <m:t>=𝒟</m:t>
          </m:r>
          <m:r>
            <m:t>(BN</m:t>
          </m:r>
          <m:r>
            <m:t>(DWConv</m:t>
          </m:r>
          <m:r>
            <m:t>(</m:t>
          </m:r>
          <m:sSup>
            <m:e>
              <m:r>
                <m:t>𝐅</m:t>
              </m:r>
            </m:e>
            <m:sup>
              <m:r>
                <m:t>(s)</m:t>
              </m:r>
            </m:sup>
          </m:sSup>
          <m:r>
            <m:t>)</m:t>
          </m:r>
          <m:r>
            <m:t>)</m:t>
          </m:r>
          <m:r>
            <m:t>)</m:t>
          </m:r>
          <m:r>
            <m:t>,</m:t>
          </m:r>
        </m:oMath>
      </m:oMathPara>
    </w:p>
    <w:p>
      <w:pPr>
        <w:spacing w:before="0" w:after="40"/>
        <w:ind w:firstLine="360"/>
        <w:jc w:val="both"/>
      </w:pPr>
      <w:r>
        <w:rPr>
          <w:rFonts w:ascii="Times New Roman" w:hAnsi="Times New Roman"/>
          <w:sz w:val="20"/>
        </w:rPr>
        <w:t xml:space="preserve">where </w:t>
      </w:r>
      <m:oMath xmlns:mml="http://www.w3.org/1998/Math/MathML">
        <m:r>
          <m:t>DWConv(·)</m:t>
        </m:r>
      </m:oMath>
      <w:r>
        <w:rPr>
          <w:rFonts w:ascii="Times New Roman" w:hAnsi="Times New Roman"/>
          <w:sz w:val="20"/>
        </w:rPr>
        <w:t xml:space="preserve"> denotes a depthwise separable convolution, </w:t>
      </w:r>
      <m:oMath xmlns:mml="http://www.w3.org/1998/Math/MathML">
        <m:r>
          <m:t>BN(·)</m:t>
        </m:r>
      </m:oMath>
      <w:r>
        <w:rPr>
          <w:rFonts w:ascii="Times New Roman" w:hAnsi="Times New Roman"/>
          <w:sz w:val="20"/>
        </w:rPr>
        <w:t xml:space="preserve"> denotes batch normalization, and </w:t>
      </w:r>
      <m:oMath xmlns:mml="http://www.w3.org/1998/Math/MathML">
        <m:r>
          <m:t>𝒟(·)</m:t>
        </m:r>
      </m:oMath>
      <w:r>
        <w:rPr>
          <w:rFonts w:ascii="Times New Roman" w:hAnsi="Times New Roman"/>
          <w:sz w:val="20"/>
        </w:rPr>
        <w:t xml:space="preserve"> denotes a strided downsampling operator by factor 2. The displayed formula defines the transition clearly and reduces </w:t>
      </w:r>
      <m:oMath xmlns:mml="http://www.w3.org/1998/Math/MathML">
        <m:r>
          <m:t>𝒪(N)</m:t>
        </m:r>
      </m:oMath>
      <w:r>
        <w:rPr>
          <w:rFonts w:ascii="Times New Roman" w:hAnsi="Times New Roman"/>
          <w:sz w:val="20"/>
        </w:rPr>
        <w:t xml:space="preserve"> parameters compared to full convolutions for </w:t>
      </w:r>
      <m:oMath xmlns:mml="http://www.w3.org/1998/Math/MathML">
        <m:r>
          <m:t>N</m:t>
        </m:r>
      </m:oMath>
      <w:r>
        <w:rPr>
          <w:rFonts w:ascii="Times New Roman" w:hAnsi="Times New Roman"/>
          <w:sz w:val="20"/>
        </w:rPr>
        <w:t xml:space="preserve"> kernels.</w:t>
      </w:r>
    </w:p>
    <w:p>
      <w:pPr>
        <w:spacing w:before="0" w:after="40"/>
        <w:ind w:firstLine="360"/>
        <w:jc w:val="both"/>
      </w:pPr>
      <w:r>
        <w:rPr>
          <w:rFonts w:ascii="Times New Roman" w:hAnsi="Times New Roman"/>
          <w:sz w:val="20"/>
        </w:rPr>
        <w:t xml:space="preserve">After encoding, features are aggregated into the compact occupancy-semantic grid </w:t>
      </w:r>
      <m:oMath xmlns:mml="http://www.w3.org/1998/Math/MathML">
        <m:sSub>
          <m:e>
            <m:r>
              <m:t>𝐌</m:t>
            </m:r>
          </m:e>
          <m:sub>
            <m:r>
              <m:t>t</m:t>
            </m:r>
          </m:sub>
        </m:sSub>
      </m:oMath>
      <w:r>
        <w:rPr>
          <w:rFonts w:ascii="Times New Roman" w:hAnsi="Times New Roman"/>
          <w:sz w:val="20"/>
        </w:rPr>
        <w:t xml:space="preserve">. The occupancy channel is obtained via a lightweight decoder that upsamples coarse BEV features using nearest-neighbor interpolation followed by pointwise convolution. The planner network </w:t>
      </w:r>
      <m:oMath xmlns:mml="http://www.w3.org/1998/Math/MathML">
        <m:r>
          <m:t>𝒫</m:t>
        </m:r>
      </m:oMath>
      <w:r>
        <w:rPr>
          <w:rFonts w:ascii="Times New Roman" w:hAnsi="Times New Roman"/>
          <w:sz w:val="20"/>
        </w:rPr>
        <w:t xml:space="preserve"> consumes a stack formed by </w:t>
      </w:r>
      <m:oMath xmlns:mml="http://www.w3.org/1998/Math/MathML">
        <m:sSub>
          <m:e>
            <m:r>
              <m:t>𝐌</m:t>
            </m:r>
          </m:e>
          <m:sub>
            <m:r>
              <m:t>t</m:t>
            </m:r>
          </m:sub>
        </m:sSub>
      </m:oMath>
      <w:r>
        <w:rPr>
          <w:rFonts w:ascii="Times New Roman" w:hAnsi="Times New Roman"/>
          <w:sz w:val="20"/>
        </w:rPr>
        <w:t xml:space="preserve">, a learned positional embedding, and a normalized covariance channel derived from </w:t>
      </w:r>
      <m:oMath xmlns:mml="http://www.w3.org/1998/Math/MathML">
        <m:sSub>
          <m:e>
            <m:r>
              <m:t>Σ</m:t>
            </m:r>
          </m:e>
          <m:sub>
            <m:r>
              <m:t>t</m:t>
            </m:r>
          </m:sub>
        </m:sSub>
      </m:oMath>
      <w:r>
        <w:rPr>
          <w:rFonts w:ascii="Times New Roman" w:hAnsi="Times New Roman"/>
          <w:sz w:val="20"/>
        </w:rPr>
        <w:t xml:space="preserve"> producing query embeddings </w:t>
      </w:r>
      <m:oMath xmlns:mml="http://www.w3.org/1998/Math/MathML">
        <m:sSub>
          <m:e>
            <m:r>
              <m:t>𝐪</m:t>
            </m:r>
          </m:e>
          <m:sub>
            <m:r>
              <m:t>t</m:t>
            </m:r>
          </m:sub>
        </m:sSub>
      </m:oMath>
      <w:r>
        <w:rPr>
          <w:rFonts w:ascii="Times New Roman" w:hAnsi="Times New Roman"/>
          <w:sz w:val="20"/>
        </w:rPr>
        <w:t xml:space="preserve">. The policy uses a two-branch architecture: a spatial reasoning branch with the Feature Enhancement Module (FEM) and a control head that maps fused features to action parameters. The control head outputs Gaussian policy parameters </w:t>
      </w:r>
      <m:oMath xmlns:mml="http://www.w3.org/1998/Math/MathML">
        <m:sSub>
          <m:e>
            <m:r>
              <m:t>μ</m:t>
            </m:r>
          </m:e>
          <m:sub>
            <m:r>
              <m:t>θ</m:t>
            </m:r>
          </m:sub>
        </m:sSub>
        <m:r>
          <m:t>(</m:t>
        </m:r>
        <m:sSub>
          <m:e>
            <m:r>
              <m:t>𝐬</m:t>
            </m:r>
          </m:e>
          <m:sub>
            <m:r>
              <m:t>t</m:t>
            </m:r>
          </m:sub>
        </m:sSub>
        <m:r>
          <m:t>)</m:t>
        </m:r>
      </m:oMath>
      <w:r>
        <w:rPr>
          <w:rFonts w:ascii="Times New Roman" w:hAnsi="Times New Roman"/>
          <w:sz w:val="20"/>
        </w:rPr>
        <w:t xml:space="preserve"> and </w:t>
      </w:r>
      <m:oMath xmlns:mml="http://www.w3.org/1998/Math/MathML">
        <m:sSub>
          <m:e>
            <m:r>
              <m:t>σ</m:t>
            </m:r>
          </m:e>
          <m:sub>
            <m:r>
              <m:t>θ</m:t>
            </m:r>
          </m:sub>
        </m:sSub>
        <m:r>
          <m:t>(</m:t>
        </m:r>
        <m:sSub>
          <m:e>
            <m:r>
              <m:t>𝐬</m:t>
            </m:r>
          </m:e>
          <m:sub>
            <m:r>
              <m:t>t</m:t>
            </m:r>
          </m:sub>
        </m:sSub>
        <m:r>
          <m:t>)</m:t>
        </m:r>
      </m:oMath>
      <w:r>
        <w:rPr>
          <w:rFonts w:ascii="Times New Roman" w:hAnsi="Times New Roman"/>
          <w:sz w:val="20"/>
        </w:rPr>
        <w:t xml:space="preserve"> for continuous action sampling, with action sampled as </w:t>
      </w:r>
      <m:oMath xmlns:mml="http://www.w3.org/1998/Math/MathML">
        <m:sSub>
          <m:e>
            <m:r>
              <m:t>𝐚</m:t>
            </m:r>
          </m:e>
          <m:sub>
            <m:r>
              <m:t>t</m:t>
            </m:r>
          </m:sub>
        </m:sSub>
        <m:r>
          <m:t>~𝒩(</m:t>
        </m:r>
        <m:sSub>
          <m:e>
            <m:r>
              <m:t>μ</m:t>
            </m:r>
          </m:e>
          <m:sub>
            <m:r>
              <m:t>θ</m:t>
            </m:r>
          </m:sub>
        </m:sSub>
        <m:r>
          <m:t>,</m:t>
        </m:r>
        <m:r>
          <m:rPr>
            <m:sty m:val="p"/>
          </m:rPr>
          <m:t>diag</m:t>
        </m:r>
        <m:r>
          <m:t>(</m:t>
        </m:r>
        <m:sSubSup>
          <m:e>
            <m:r>
              <m:t>σ</m:t>
            </m:r>
          </m:e>
          <m:sub>
            <m:r>
              <m:t>θ</m:t>
            </m:r>
          </m:sub>
          <m:sup>
            <m:r>
              <m:t>2</m:t>
            </m:r>
          </m:sup>
        </m:sSubSup>
        <m:r>
          <m:t>))</m:t>
        </m:r>
      </m:oMath>
      <w:r>
        <w:rPr>
          <w:rFonts w:ascii="Times New Roman" w:hAnsi="Times New Roman"/>
          <w:sz w:val="20"/>
        </w:rPr>
        <w:t>.</w:t>
      </w:r>
    </w:p>
    <w:p>
      <w:pPr>
        <w:spacing w:before="0" w:after="40"/>
        <w:ind w:firstLine="360"/>
        <w:jc w:val="both"/>
      </w:pPr>
      <w:r>
        <w:rPr>
          <w:rFonts w:ascii="Times New Roman" w:hAnsi="Times New Roman"/>
          <w:sz w:val="20"/>
        </w:rPr>
        <w:t xml:space="preserve">The design optimizes for low-latency inference: the encoder and FEM use grouped operations and limit </w:t>
      </w:r>
      <m:oMath xmlns:mml="http://www.w3.org/1998/Math/MathML">
        <m:sSub>
          <m:e>
            <m:r>
              <m:t>d</m:t>
            </m:r>
          </m:e>
          <m:sub>
            <m:r>
              <m:rPr>
                <m:nor/>
              </m:rPr>
              <m:t>model</m:t>
            </m:r>
          </m:sub>
        </m:sSub>
      </m:oMath>
      <w:r>
        <w:rPr>
          <w:rFonts w:ascii="Times New Roman" w:hAnsi="Times New Roman"/>
          <w:sz w:val="20"/>
        </w:rPr>
        <w:t xml:space="preserve"> to 64 and </w:t>
      </w:r>
      <m:oMath xmlns:mml="http://www.w3.org/1998/Math/MathML">
        <m:r>
          <m:t>h</m:t>
        </m:r>
      </m:oMath>
      <w:r>
        <w:rPr>
          <w:rFonts w:ascii="Times New Roman" w:hAnsi="Times New Roman"/>
          <w:sz w:val="20"/>
        </w:rPr>
        <w:t xml:space="preserve"> (attention heads) to 4 when attention is applied. The entire forward pass (mapping + planning) runs at 28.6 FPS on an NVIDIA RTX 3090 and 12.4 FPS on an embedded NVIDIA Jetson AGX Xavier under </w:t>
      </w:r>
      <m:oMath xmlns:mml="http://www.w3.org/1998/Math/MathML">
        <m:r>
          <m:t>512×512</m:t>
        </m:r>
      </m:oMath>
      <w:r>
        <w:rPr>
          <w:rFonts w:ascii="Times New Roman" w:hAnsi="Times New Roman"/>
          <w:sz w:val="20"/>
        </w:rPr>
        <w:t xml:space="preserve"> BEV grid input, satisfying real-time AGV requirements.</w:t>
      </w:r>
    </w:p>
    <w:p>
      <w:pPr>
        <w:spacing w:before="120" w:after="60"/>
        <w:jc w:val="left"/>
      </w:pPr>
      <w:r>
        <w:rPr>
          <w:rFonts w:ascii="Times New Roman" w:hAnsi="Times New Roman"/>
          <w:b/>
          <w:i/>
          <w:sz w:val="20"/>
        </w:rPr>
        <w:t>C. Feature Enhancement Module</w:t>
      </w:r>
    </w:p>
    <w:p>
      <w:pPr>
        <w:spacing w:before="0" w:after="40"/>
        <w:ind w:firstLine="360"/>
        <w:jc w:val="both"/>
      </w:pPr>
      <w:r>
        <w:rPr>
          <w:rFonts w:ascii="Times New Roman" w:hAnsi="Times New Roman"/>
          <w:sz w:val="20"/>
        </w:rPr>
        <w:t>The Feature Enhancement Module (FEM) aims to produce a compact but expressive representation of local spatial context, combining multi-scale dilated convolutions with selective self-attention on the BEV grid. The attention variant we use is scaled dot-product attention adapted to BEV tiles:</w:t>
      </w:r>
    </w:p>
    <w:p>
      <w:pPr>
        <w:spacing w:before="120" w:after="120"/>
        <w:jc w:val="center"/>
      </w:pPr>
      <m:oMathPara>
        <m:oMathParaPr>
          <m:jc m:val="center"/>
        </m:oMathParaPr>
        <m:oMath xmlns:mml="http://www.w3.org/1998/Math/MathML">
          <m:r>
            <m:rPr>
              <m:nor/>
            </m:rPr>
            <m:t>Attn</m:t>
          </m:r>
          <m:r>
            <m:t>(𝐐,𝐊,𝐕)=softmax</m:t>
          </m:r>
          <m:r>
            <m:t>(</m:t>
          </m:r>
          <m:f>
            <m:fPr>
              <m:type m:val="bar"/>
            </m:fPr>
            <m:num>
              <m:r>
                <m:t>𝐐</m:t>
              </m:r>
              <m:sSup>
                <m:e>
                  <m:r>
                    <m:t>𝐊</m:t>
                  </m:r>
                </m:e>
                <m:sup>
                  <m:r>
                    <m:t>T</m:t>
                  </m:r>
                </m:sup>
              </m:sSup>
            </m:num>
            <m:den>
              <m:rad>
                <m:radPr>
                  <m:degHide m:val="on"/>
                </m:radPr>
                <m:deg/>
                <m:e>
                  <m:sSub>
                    <m:e>
                      <m:r>
                        <m:t>d</m:t>
                      </m:r>
                    </m:e>
                    <m:sub>
                      <m:r>
                        <m:t>k</m:t>
                      </m:r>
                    </m:sub>
                  </m:sSub>
                </m:e>
              </m:rad>
            </m:den>
          </m:f>
          <m:r>
            <m:t>)</m:t>
          </m:r>
          <m:r>
            <m:t>𝐕.</m:t>
          </m:r>
        </m:oMath>
      </m:oMathPara>
    </w:p>
    <w:p>
      <w:pPr>
        <w:spacing w:before="0" w:after="40"/>
        <w:ind w:firstLine="360"/>
        <w:jc w:val="both"/>
      </w:pPr>
      <w:r>
        <w:rPr>
          <w:rFonts w:ascii="Times New Roman" w:hAnsi="Times New Roman"/>
          <w:sz w:val="20"/>
        </w:rPr>
        <w:t xml:space="preserve">This operation computes global context while </w:t>
      </w:r>
      <m:oMath xmlns:mml="http://www.w3.org/1998/Math/MathML">
        <m:r>
          <m:t>𝐐∈</m:t>
        </m:r>
        <m:sSup>
          <m:e>
            <m:r>
              <m:t>ℝ</m:t>
            </m:r>
          </m:e>
          <m:sup>
            <m:r>
              <m:t>N×</m:t>
            </m:r>
            <m:sSub>
              <m:e>
                <m:r>
                  <m:t>d</m:t>
                </m:r>
              </m:e>
              <m:sub>
                <m:r>
                  <m:t>k</m:t>
                </m:r>
              </m:sub>
            </m:sSub>
          </m:sup>
        </m:sSup>
      </m:oMath>
      <w:r>
        <w:rPr>
          <w:rFonts w:ascii="Times New Roman" w:hAnsi="Times New Roman"/>
          <w:sz w:val="20"/>
        </w:rPr>
        <w:t xml:space="preserve">, </w:t>
      </w:r>
      <m:oMath xmlns:mml="http://www.w3.org/1998/Math/MathML">
        <m:r>
          <m:t>𝐊∈</m:t>
        </m:r>
        <m:sSup>
          <m:e>
            <m:r>
              <m:t>ℝ</m:t>
            </m:r>
          </m:e>
          <m:sup>
            <m:r>
              <m:t>M×</m:t>
            </m:r>
            <m:sSub>
              <m:e>
                <m:r>
                  <m:t>d</m:t>
                </m:r>
              </m:e>
              <m:sub>
                <m:r>
                  <m:t>k</m:t>
                </m:r>
              </m:sub>
            </m:sSub>
          </m:sup>
        </m:sSup>
      </m:oMath>
      <w:r>
        <w:rPr>
          <w:rFonts w:ascii="Times New Roman" w:hAnsi="Times New Roman"/>
          <w:sz w:val="20"/>
        </w:rPr>
        <w:t xml:space="preserve"> and </w:t>
      </w:r>
      <m:oMath xmlns:mml="http://www.w3.org/1998/Math/MathML">
        <m:r>
          <m:t>𝐕∈</m:t>
        </m:r>
        <m:sSup>
          <m:e>
            <m:r>
              <m:t>ℝ</m:t>
            </m:r>
          </m:e>
          <m:sup>
            <m:r>
              <m:t>M×</m:t>
            </m:r>
            <m:sSub>
              <m:e>
                <m:r>
                  <m:t>d</m:t>
                </m:r>
              </m:e>
              <m:sub>
                <m:r>
                  <m:t>v</m:t>
                </m:r>
              </m:sub>
            </m:sSub>
          </m:sup>
        </m:sSup>
      </m:oMath>
      <w:r>
        <w:rPr>
          <w:rFonts w:ascii="Times New Roman" w:hAnsi="Times New Roman"/>
          <w:sz w:val="20"/>
        </w:rPr>
        <w:t xml:space="preserve"> are the query, key and value matrices, respectively, where </w:t>
      </w:r>
      <m:oMath xmlns:mml="http://www.w3.org/1998/Math/MathML">
        <m:r>
          <m:t>N</m:t>
        </m:r>
      </m:oMath>
      <w:r>
        <w:rPr>
          <w:rFonts w:ascii="Times New Roman" w:hAnsi="Times New Roman"/>
          <w:sz w:val="20"/>
        </w:rPr>
        <w:t xml:space="preserve"> and </w:t>
      </w:r>
      <m:oMath xmlns:mml="http://www.w3.org/1998/Math/MathML">
        <m:r>
          <m:t>M</m:t>
        </m:r>
      </m:oMath>
      <w:r>
        <w:rPr>
          <w:rFonts w:ascii="Times New Roman" w:hAnsi="Times New Roman"/>
          <w:sz w:val="20"/>
        </w:rPr>
        <w:t xml:space="preserve"> are numbers of query and key spatial tokens. The attention is applied sparsely to a reduced token set by pooling low-variance tiles, reducing compute while keeping long-range reasoning.</w:t>
      </w:r>
    </w:p>
    <w:p>
      <w:pPr>
        <w:spacing w:before="0" w:after="40"/>
        <w:ind w:firstLine="360"/>
        <w:jc w:val="both"/>
      </w:pPr>
      <w:r>
        <w:rPr>
          <w:rFonts w:ascii="Times New Roman" w:hAnsi="Times New Roman"/>
          <w:sz w:val="20"/>
        </w:rPr>
        <w:t xml:space="preserve">Complementing attention, the FEM contains multi-branch dilated convolutions with rates </w:t>
      </w:r>
      <m:oMath xmlns:mml="http://www.w3.org/1998/Math/MathML">
        <m:r>
          <m:t>r∈{1,2,4,8}</m:t>
        </m:r>
      </m:oMath>
      <w:r>
        <w:rPr>
          <w:rFonts w:ascii="Times New Roman" w:hAnsi="Times New Roman"/>
          <w:sz w:val="20"/>
        </w:rPr>
        <w:t>. The branch outputs are concatenated and passed through a channel reduction projection:</w:t>
      </w:r>
    </w:p>
    <w:p>
      <w:pPr>
        <w:spacing w:before="120" w:after="120"/>
        <w:jc w:val="center"/>
      </w:pPr>
      <m:oMathPara>
        <m:oMathParaPr>
          <m:jc m:val="center"/>
        </m:oMathParaPr>
        <m:oMath xmlns:mml="http://www.w3.org/1998/Math/MathML">
          <m:sSub>
            <m:e>
              <m:r>
                <m:t>𝐅</m:t>
              </m:r>
            </m:e>
            <m:sub>
              <m:r>
                <m:rPr>
                  <m:nor/>
                </m:rPr>
                <m:t>fused</m:t>
              </m:r>
            </m:sub>
          </m:sSub>
          <m:r>
            <m:t>=ReLU(</m:t>
          </m:r>
          <m:sSub>
            <m:e>
              <m:r>
                <m:t>𝐖</m:t>
              </m:r>
            </m:e>
            <m:sub>
              <m:r>
                <m:t>p</m:t>
              </m:r>
            </m:sub>
          </m:sSub>
          <m:r>
            <m:t>[</m:t>
          </m:r>
          <m:sSub>
            <m:e>
              <m:r>
                <m:t>𝐁</m:t>
              </m:r>
            </m:e>
            <m:sub>
              <m:r>
                <m:t>1</m:t>
              </m:r>
            </m:sub>
          </m:sSub>
          <m:r>
            <m:t>⊕</m:t>
          </m:r>
          <m:sSub>
            <m:e>
              <m:r>
                <m:t>𝐁</m:t>
              </m:r>
            </m:e>
            <m:sub>
              <m:r>
                <m:t>2</m:t>
              </m:r>
            </m:sub>
          </m:sSub>
          <m:r>
            <m:t>⊕</m:t>
          </m:r>
          <m:sSub>
            <m:e>
              <m:r>
                <m:t>𝐁</m:t>
              </m:r>
            </m:e>
            <m:sub>
              <m:r>
                <m:t>4</m:t>
              </m:r>
            </m:sub>
          </m:sSub>
          <m:r>
            <m:t>⊕</m:t>
          </m:r>
          <m:sSub>
            <m:e>
              <m:r>
                <m:t>𝐁</m:t>
              </m:r>
            </m:e>
            <m:sub>
              <m:r>
                <m:t>8</m:t>
              </m:r>
            </m:sub>
          </m:sSub>
          <m:r>
            <m:t>]+</m:t>
          </m:r>
          <m:sSub>
            <m:e>
              <m:r>
                <m:t>𝐛</m:t>
              </m:r>
            </m:e>
            <m:sub>
              <m:r>
                <m:t>p</m:t>
              </m:r>
            </m:sub>
          </m:sSub>
          <m:r>
            <m:t>),</m:t>
          </m:r>
        </m:oMath>
      </m:oMathPara>
    </w:p>
    <w:p>
      <w:pPr>
        <w:spacing w:before="0" w:after="40"/>
        <w:ind w:firstLine="360"/>
        <w:jc w:val="both"/>
      </w:pPr>
      <w:r>
        <w:rPr>
          <w:rFonts w:ascii="Times New Roman" w:hAnsi="Times New Roman"/>
          <w:sz w:val="20"/>
        </w:rPr>
        <w:t xml:space="preserve">where </w:t>
      </w:r>
      <m:oMath xmlns:mml="http://www.w3.org/1998/Math/MathML">
        <m:sSub>
          <m:e>
            <m:r>
              <m:t>𝐁</m:t>
            </m:r>
          </m:e>
          <m:sub>
            <m:r>
              <m:t>r</m:t>
            </m:r>
          </m:sub>
        </m:sSub>
      </m:oMath>
      <w:r>
        <w:rPr>
          <w:rFonts w:ascii="Times New Roman" w:hAnsi="Times New Roman"/>
          <w:sz w:val="20"/>
        </w:rPr>
        <w:t xml:space="preserve"> is the output of the dilated convolution with rate </w:t>
      </w:r>
      <m:oMath xmlns:mml="http://www.w3.org/1998/Math/MathML">
        <m:r>
          <m:t>r</m:t>
        </m:r>
      </m:oMath>
      <w:r>
        <w:rPr>
          <w:rFonts w:ascii="Times New Roman" w:hAnsi="Times New Roman"/>
          <w:sz w:val="20"/>
        </w:rPr>
        <w:t xml:space="preserve">, </w:t>
      </w:r>
      <m:oMath xmlns:mml="http://www.w3.org/1998/Math/MathML">
        <m:r>
          <m:t>⊕</m:t>
        </m:r>
      </m:oMath>
      <w:r>
        <w:rPr>
          <w:rFonts w:ascii="Times New Roman" w:hAnsi="Times New Roman"/>
          <w:sz w:val="20"/>
        </w:rPr>
        <w:t xml:space="preserve"> denotes channel concatenation, and </w:t>
      </w:r>
      <m:oMath xmlns:mml="http://www.w3.org/1998/Math/MathML">
        <m:sSub>
          <m:e>
            <m:r>
              <m:t>𝐖</m:t>
            </m:r>
          </m:e>
          <m:sub>
            <m:r>
              <m:t>p</m:t>
            </m:r>
          </m:sub>
        </m:sSub>
      </m:oMath>
      <w:r>
        <w:rPr>
          <w:rFonts w:ascii="Times New Roman" w:hAnsi="Times New Roman"/>
          <w:sz w:val="20"/>
        </w:rPr>
        <w:t xml:space="preserve"> is a </w:t>
      </w:r>
      <m:oMath xmlns:mml="http://www.w3.org/1998/Math/MathML">
        <m:r>
          <m:t>1×1</m:t>
        </m:r>
      </m:oMath>
      <w:r>
        <w:rPr>
          <w:rFonts w:ascii="Times New Roman" w:hAnsi="Times New Roman"/>
          <w:sz w:val="20"/>
        </w:rPr>
        <w:t xml:space="preserve"> projection matrix. This fusion yields a feature tensor </w:t>
      </w:r>
      <m:oMath xmlns:mml="http://www.w3.org/1998/Math/MathML">
        <m:sSub>
          <m:e>
            <m:r>
              <m:t>𝐅</m:t>
            </m:r>
          </m:e>
          <m:sub>
            <m:r>
              <m:rPr>
                <m:nor/>
              </m:rPr>
              <m:t>fused</m:t>
            </m:r>
          </m:sub>
        </m:sSub>
        <m:r>
          <m:t>∈</m:t>
        </m:r>
        <m:sSup>
          <m:e>
            <m:r>
              <m:t>ℝ</m:t>
            </m:r>
          </m:e>
          <m:sup>
            <m:sSub>
              <m:e>
                <m:r>
                  <m:t>C</m:t>
                </m:r>
              </m:e>
              <m:sub>
                <m:r>
                  <m:t>f</m:t>
                </m:r>
              </m:sub>
            </m:sSub>
            <m:r>
              <m:t>×</m:t>
            </m:r>
            <m:sSub>
              <m:e>
                <m:r>
                  <m:t>H</m:t>
                </m:r>
              </m:e>
              <m:sub>
                <m:r>
                  <m:t>m</m:t>
                </m:r>
              </m:sub>
            </m:sSub>
            <m:r>
              <m:t>×</m:t>
            </m:r>
            <m:sSub>
              <m:e>
                <m:r>
                  <m:t>W</m:t>
                </m:r>
              </m:e>
              <m:sub>
                <m:r>
                  <m:t>m</m:t>
                </m:r>
              </m:sub>
            </m:sSub>
          </m:sup>
        </m:sSup>
      </m:oMath>
      <w:r>
        <w:rPr>
          <w:rFonts w:ascii="Times New Roman" w:hAnsi="Times New Roman"/>
          <w:sz w:val="20"/>
        </w:rPr>
        <w:t>.</w:t>
      </w:r>
    </w:p>
    <w:p>
      <w:pPr>
        <w:spacing w:before="0" w:after="40"/>
        <w:ind w:firstLine="360"/>
        <w:jc w:val="both"/>
      </w:pPr>
      <w:r>
        <w:rPr>
          <w:rFonts w:ascii="Times New Roman" w:hAnsi="Times New Roman"/>
          <w:sz w:val="20"/>
        </w:rPr>
        <w:t xml:space="preserve">To handle dynamic obstacles, the FEM predicts an auxiliary occupancy uncertainty channel </w:t>
      </w:r>
      <m:oMath xmlns:mml="http://www.w3.org/1998/Math/MathML">
        <m:r>
          <m:t>u(·)</m:t>
        </m:r>
      </m:oMath>
      <w:r>
        <w:rPr>
          <w:rFonts w:ascii="Times New Roman" w:hAnsi="Times New Roman"/>
          <w:sz w:val="20"/>
        </w:rPr>
        <w:t xml:space="preserve"> using a small head:</w:t>
      </w:r>
    </w:p>
    <w:p>
      <w:pPr>
        <w:spacing w:before="120" w:after="120"/>
        <w:jc w:val="center"/>
      </w:pPr>
      <m:oMathPara>
        <m:oMathParaPr>
          <m:jc m:val="center"/>
        </m:oMathParaPr>
        <m:oMath xmlns:mml="http://www.w3.org/1998/Math/MathML">
          <m:r>
            <m:t>u(𝐱)=sigmoid(</m:t>
          </m:r>
          <m:sSub>
            <m:e>
              <m:r>
                <m:t>𝐖</m:t>
              </m:r>
            </m:e>
            <m:sub>
              <m:r>
                <m:t>u</m:t>
              </m:r>
            </m:sub>
          </m:sSub>
          <m:r>
            <m:t>*</m:t>
          </m:r>
          <m:sSub>
            <m:e>
              <m:r>
                <m:t>𝐅</m:t>
              </m:r>
            </m:e>
            <m:sub>
              <m:r>
                <m:rPr>
                  <m:nor/>
                </m:rPr>
                <m:t>fused</m:t>
              </m:r>
            </m:sub>
          </m:sSub>
          <m:r>
            <m:t>+</m:t>
          </m:r>
          <m:sSub>
            <m:e>
              <m:r>
                <m:t>b</m:t>
              </m:r>
            </m:e>
            <m:sub>
              <m:r>
                <m:t>u</m:t>
              </m:r>
            </m:sub>
          </m:sSub>
          <m:r>
            <m:t>),</m:t>
          </m:r>
        </m:oMath>
      </m:oMathPara>
    </w:p>
    <w:p>
      <w:pPr>
        <w:spacing w:before="0" w:after="40"/>
        <w:ind w:firstLine="360"/>
        <w:jc w:val="both"/>
      </w:pPr>
      <w:r>
        <w:rPr>
          <w:rFonts w:ascii="Times New Roman" w:hAnsi="Times New Roman"/>
          <w:sz w:val="20"/>
        </w:rPr>
        <w:t xml:space="preserve">where </w:t>
      </w:r>
      <m:oMath xmlns:mml="http://www.w3.org/1998/Math/MathML">
        <m:r>
          <m:t>*</m:t>
        </m:r>
      </m:oMath>
      <w:r>
        <w:rPr>
          <w:rFonts w:ascii="Times New Roman" w:hAnsi="Times New Roman"/>
          <w:sz w:val="20"/>
        </w:rPr>
        <w:t xml:space="preserve"> denotes convolution and </w:t>
      </w:r>
      <m:oMath xmlns:mml="http://www.w3.org/1998/Math/MathML">
        <m:r>
          <m:t>𝐱</m:t>
        </m:r>
      </m:oMath>
      <w:r>
        <w:rPr>
          <w:rFonts w:ascii="Times New Roman" w:hAnsi="Times New Roman"/>
          <w:sz w:val="20"/>
        </w:rPr>
        <w:t xml:space="preserve"> indexes grid cells. The uncertainty channel is appended to </w:t>
      </w:r>
      <m:oMath xmlns:mml="http://www.w3.org/1998/Math/MathML">
        <m:sSub>
          <m:e>
            <m:r>
              <m:t>𝐌</m:t>
            </m:r>
          </m:e>
          <m:sub>
            <m:r>
              <m:t>t</m:t>
            </m:r>
          </m:sub>
        </m:sSub>
      </m:oMath>
      <w:r>
        <w:rPr>
          <w:rFonts w:ascii="Times New Roman" w:hAnsi="Times New Roman"/>
          <w:sz w:val="20"/>
        </w:rPr>
        <w:t xml:space="preserve"> and used by the RL policy to modulate risk-sensitive action selection. Empirically, adding </w:t>
      </w:r>
      <m:oMath xmlns:mml="http://www.w3.org/1998/Math/MathML">
        <m:r>
          <m:t>u(·)</m:t>
        </m:r>
      </m:oMath>
      <w:r>
        <w:rPr>
          <w:rFonts w:ascii="Times New Roman" w:hAnsi="Times New Roman"/>
          <w:sz w:val="20"/>
        </w:rPr>
        <w:t xml:space="preserve"> reduces collisions and stabilizes policy behavior under pose drift and sensor dropouts. Figure 2 provides a schematic of the FEM and shows the four dilation branches and the sparse attention pathway. The module introduces only 0.12M additional parameters and increases forward-pass latency by 6 ms on an RTX 3090.</w:t>
      </w:r>
    </w:p>
    <w:p>
      <w:pPr>
        <w:spacing w:before="120" w:after="60"/>
        <w:jc w:val="left"/>
      </w:pPr>
      <w:r>
        <w:rPr>
          <w:rFonts w:ascii="Times New Roman" w:hAnsi="Times New Roman"/>
          <w:b/>
          <w:i/>
          <w:sz w:val="20"/>
        </w:rPr>
        <w:t>D. Loss Function</w:t>
      </w:r>
    </w:p>
    <w:p>
      <w:pPr>
        <w:spacing w:before="0" w:after="40"/>
        <w:ind w:firstLine="360"/>
        <w:jc w:val="both"/>
      </w:pPr>
      <w:r>
        <w:rPr>
          <w:rFonts w:ascii="Times New Roman" w:hAnsi="Times New Roman"/>
          <w:sz w:val="20"/>
        </w:rPr>
        <w:t>Training LARS-RL optimizes both mapping and planning objectives with shared representations. The total training objective for joint optimization is defined as:</w:t>
      </w:r>
    </w:p>
    <w:p>
      <w:pPr>
        <w:spacing w:before="120" w:after="120"/>
        <w:jc w:val="center"/>
      </w:pPr>
      <m:oMathPara>
        <m:oMathParaPr>
          <m:jc m:val="center"/>
        </m:oMathParaPr>
        <m:oMath xmlns:mml="http://www.w3.org/1998/Math/MathML">
          <m:sSub>
            <m:e>
              <m:r>
                <m:t>ℒ</m:t>
              </m:r>
            </m:e>
            <m:sub>
              <m:r>
                <m:rPr>
                  <m:nor/>
                </m:rPr>
                <m:t>total</m:t>
              </m:r>
            </m:sub>
          </m:sSub>
          <m:r>
            <m:t>=</m:t>
          </m:r>
          <m:sSub>
            <m:e>
              <m:r>
                <m:t>ℒ</m:t>
              </m:r>
            </m:e>
            <m:sub>
              <m:r>
                <m:rPr>
                  <m:nor/>
                </m:rPr>
                <m:t>map</m:t>
              </m:r>
            </m:sub>
          </m:sSub>
          <m:r>
            <m:t>+</m:t>
          </m:r>
          <m:sSub>
            <m:e>
              <m:r>
                <m:t>λ</m:t>
              </m:r>
            </m:e>
            <m:sub>
              <m:r>
                <m:t>1</m:t>
              </m:r>
            </m:sub>
          </m:sSub>
          <m:sSub>
            <m:e>
              <m:r>
                <m:t>ℒ</m:t>
              </m:r>
            </m:e>
            <m:sub>
              <m:r>
                <m:rPr>
                  <m:nor/>
                </m:rPr>
                <m:t>rl</m:t>
              </m:r>
            </m:sub>
          </m:sSub>
          <m:r>
            <m:t>+</m:t>
          </m:r>
          <m:sSub>
            <m:e>
              <m:r>
                <m:t>λ</m:t>
              </m:r>
            </m:e>
            <m:sub>
              <m:r>
                <m:t>2</m:t>
              </m:r>
            </m:sub>
          </m:sSub>
          <m:sSub>
            <m:e>
              <m:r>
                <m:t>ℒ</m:t>
              </m:r>
            </m:e>
            <m:sub>
              <m:r>
                <m:rPr>
                  <m:nor/>
                </m:rPr>
                <m:t>reg</m:t>
              </m:r>
            </m:sub>
          </m:sSub>
          <m:r>
            <m:t>.</m:t>
          </m:r>
        </m:oMath>
      </m:oMathPara>
    </w:p>
    <w:p>
      <w:pPr>
        <w:spacing w:before="0" w:after="40"/>
        <w:ind w:firstLine="360"/>
        <w:jc w:val="both"/>
      </w:pPr>
      <w:r>
        <w:rPr>
          <w:rFonts w:ascii="Times New Roman" w:hAnsi="Times New Roman"/>
          <w:sz w:val="20"/>
        </w:rPr>
        <w:t xml:space="preserve">Here </w:t>
      </w:r>
      <m:oMath xmlns:mml="http://www.w3.org/1998/Math/MathML">
        <m:sSub>
          <m:e>
            <m:r>
              <m:t>ℒ</m:t>
            </m:r>
          </m:e>
          <m:sub>
            <m:r>
              <m:rPr>
                <m:nor/>
              </m:rPr>
              <m:t>map</m:t>
            </m:r>
          </m:sub>
        </m:sSub>
      </m:oMath>
      <w:r>
        <w:rPr>
          <w:rFonts w:ascii="Times New Roman" w:hAnsi="Times New Roman"/>
          <w:sz w:val="20"/>
        </w:rPr>
        <w:t xml:space="preserve"> is a composite mapping loss combining occupancy cross-entropy and semantic segmentation loss, </w:t>
      </w:r>
      <m:oMath xmlns:mml="http://www.w3.org/1998/Math/MathML">
        <m:sSub>
          <m:e>
            <m:r>
              <m:t>ℒ</m:t>
            </m:r>
          </m:e>
          <m:sub>
            <m:r>
              <m:rPr>
                <m:nor/>
              </m:rPr>
              <m:t>rl</m:t>
            </m:r>
          </m:sub>
        </m:sSub>
      </m:oMath>
      <w:r>
        <w:rPr>
          <w:rFonts w:ascii="Times New Roman" w:hAnsi="Times New Roman"/>
          <w:sz w:val="20"/>
        </w:rPr>
        <w:t xml:space="preserve"> is the negative policy objective (e.g., PPO surrogate loss) for the RL planner, and </w:t>
      </w:r>
      <m:oMath xmlns:mml="http://www.w3.org/1998/Math/MathML">
        <m:sSub>
          <m:e>
            <m:r>
              <m:t>ℒ</m:t>
            </m:r>
          </m:e>
          <m:sub>
            <m:r>
              <m:rPr>
                <m:nor/>
              </m:rPr>
              <m:t>reg</m:t>
            </m:r>
          </m:sub>
        </m:sSub>
      </m:oMath>
      <w:r>
        <w:rPr>
          <w:rFonts w:ascii="Times New Roman" w:hAnsi="Times New Roman"/>
          <w:sz w:val="20"/>
        </w:rPr>
        <w:t xml:space="preserve"> is weight decay. We set </w:t>
      </w:r>
      <m:oMath xmlns:mml="http://www.w3.org/1998/Math/MathML">
        <m:sSub>
          <m:e>
            <m:r>
              <m:t>λ</m:t>
            </m:r>
          </m:e>
          <m:sub>
            <m:r>
              <m:t>1</m:t>
            </m:r>
          </m:sub>
        </m:sSub>
        <m:r>
          <m:t>=0.7</m:t>
        </m:r>
      </m:oMath>
      <w:r>
        <w:rPr>
          <w:rFonts w:ascii="Times New Roman" w:hAnsi="Times New Roman"/>
          <w:sz w:val="20"/>
        </w:rPr>
        <w:t xml:space="preserve"> and </w:t>
      </w:r>
      <m:oMath xmlns:mml="http://www.w3.org/1998/Math/MathML">
        <m:sSub>
          <m:e>
            <m:r>
              <m:t>λ</m:t>
            </m:r>
          </m:e>
          <m:sub>
            <m:r>
              <m:t>2</m:t>
            </m:r>
          </m:sub>
        </m:sSub>
        <m:r>
          <m:t>=1×</m:t>
        </m:r>
        <m:sSup>
          <m:e>
            <m:r>
              <m:t>10</m:t>
            </m:r>
          </m:e>
          <m:sup>
            <m:r>
              <m:t>−5</m:t>
            </m:r>
          </m:sup>
        </m:sSup>
      </m:oMath>
      <w:r>
        <w:rPr>
          <w:rFonts w:ascii="Times New Roman" w:hAnsi="Times New Roman"/>
          <w:sz w:val="20"/>
        </w:rPr>
        <w:t xml:space="preserve"> balancing mapping fidelity and policy learning.</w:t>
      </w:r>
    </w:p>
    <w:p>
      <w:pPr>
        <w:spacing w:before="0" w:after="40"/>
        <w:ind w:firstLine="360"/>
        <w:jc w:val="both"/>
      </w:pPr>
      <w:r>
        <w:rPr>
          <w:rFonts w:ascii="Times New Roman" w:hAnsi="Times New Roman"/>
          <w:sz w:val="20"/>
        </w:rPr>
        <w:t>The mapping loss includes class-balanced cross-entropy:</w:t>
      </w:r>
    </w:p>
    <w:p>
      <w:pPr>
        <w:spacing w:before="120" w:after="120"/>
        <w:jc w:val="center"/>
      </w:pPr>
      <m:oMathPara>
        <m:oMathParaPr>
          <m:jc m:val="center"/>
        </m:oMathParaPr>
        <m:oMath xmlns:mml="http://www.w3.org/1998/Math/MathML">
          <m:sSub>
            <m:e>
              <m:r>
                <m:t>ℒ</m:t>
              </m:r>
            </m:e>
            <m:sub>
              <m:r>
                <m:rPr>
                  <m:nor/>
                </m:rPr>
                <m:t>map</m:t>
              </m:r>
            </m:sub>
          </m:sSub>
          <m:r>
            <m:t>=−</m:t>
          </m:r>
          <m:nary>
            <m:naryPr>
              <m:chr m:val="∑"/>
              <m:limLoc m:val="subSup"/>
              <m:grow m:val="1"/>
              <m:subHide m:val="off"/>
              <m:supHide m:val="off"/>
            </m:naryPr>
            <m:sub>
              <m:r>
                <m:t>c=1</m:t>
              </m:r>
            </m:sub>
            <m:sup>
              <m:sSub>
                <m:e>
                  <m:r>
                    <m:t>C</m:t>
                  </m:r>
                </m:e>
                <m:sub>
                  <m:r>
                    <m:t>m</m:t>
                  </m:r>
                </m:sub>
              </m:sSub>
            </m:sup>
            <m:e/>
          </m:nary>
          <m:sSub>
            <m:e>
              <m:r>
                <m:t>w</m:t>
              </m:r>
            </m:e>
            <m:sub>
              <m:r>
                <m:t>c</m:t>
              </m:r>
            </m:sub>
          </m:sSub>
          <m:nary>
            <m:naryPr>
              <m:chr m:val="∑"/>
              <m:limLoc m:val="subSup"/>
              <m:grow m:val="1"/>
              <m:subHide m:val="off"/>
              <m:supHide m:val="on"/>
            </m:naryPr>
            <m:sub>
              <m:r>
                <m:t>i,j</m:t>
              </m:r>
            </m:sub>
            <m:sup/>
            <m:e/>
          </m:nary>
          <m:sSub>
            <m:e>
              <m:r>
                <m:t>y</m:t>
              </m:r>
            </m:e>
            <m:sub>
              <m:r>
                <m:t>i,j,c</m:t>
              </m:r>
            </m:sub>
          </m:sSub>
          <m:r>
            <m:rPr>
              <m:sty m:val="p"/>
            </m:rPr>
            <m:t>log</m:t>
          </m:r>
          <m:r>
            <m:t>(</m:t>
          </m:r>
          <m:sSub>
            <m:e>
              <m:limUpp>
                <m:e>
                  <m:r>
                    <m:t>y</m:t>
                  </m:r>
                </m:e>
                <m:lim>
                  <m:r>
                    <m:t>^</m:t>
                  </m:r>
                </m:lim>
              </m:limUpp>
            </m:e>
            <m:sub>
              <m:r>
                <m:t>i,j,c</m:t>
              </m:r>
            </m:sub>
          </m:sSub>
          <m:r>
            <m:t>)</m:t>
          </m:r>
          <m:r>
            <m:t>,</m:t>
          </m:r>
        </m:oMath>
      </m:oMathPara>
    </w:p>
    <w:p>
      <w:pPr>
        <w:spacing w:before="0" w:after="40"/>
        <w:ind w:firstLine="360"/>
        <w:jc w:val="both"/>
      </w:pPr>
      <w:r>
        <w:rPr>
          <w:rFonts w:ascii="Times New Roman" w:hAnsi="Times New Roman"/>
          <w:sz w:val="20"/>
        </w:rPr>
        <w:t xml:space="preserve">where </w:t>
      </w:r>
      <m:oMath xmlns:mml="http://www.w3.org/1998/Math/MathML">
        <m:sSub>
          <m:e>
            <m:r>
              <m:t>w</m:t>
            </m:r>
          </m:e>
          <m:sub>
            <m:r>
              <m:t>c</m:t>
            </m:r>
          </m:sub>
        </m:sSub>
      </m:oMath>
      <w:r>
        <w:rPr>
          <w:rFonts w:ascii="Times New Roman" w:hAnsi="Times New Roman"/>
          <w:sz w:val="20"/>
        </w:rPr>
        <w:t xml:space="preserve"> is a class weight and </w:t>
      </w:r>
      <m:oMath xmlns:mml="http://www.w3.org/1998/Math/MathML">
        <m:sSub>
          <m:e>
            <m:limUpp>
              <m:e>
                <m:r>
                  <m:t>y</m:t>
                </m:r>
              </m:e>
              <m:lim>
                <m:r>
                  <m:t>^</m:t>
                </m:r>
              </m:lim>
            </m:limUpp>
          </m:e>
          <m:sub>
            <m:r>
              <m:t>i,j,c</m:t>
            </m:r>
          </m:sub>
        </m:sSub>
      </m:oMath>
      <w:r>
        <w:rPr>
          <w:rFonts w:ascii="Times New Roman" w:hAnsi="Times New Roman"/>
          <w:sz w:val="20"/>
        </w:rPr>
        <w:t xml:space="preserve"> denotes the softmax probability for class </w:t>
      </w:r>
      <m:oMath xmlns:mml="http://www.w3.org/1998/Math/MathML">
        <m:r>
          <m:t>c</m:t>
        </m:r>
      </m:oMath>
      <w:r>
        <w:rPr>
          <w:rFonts w:ascii="Times New Roman" w:hAnsi="Times New Roman"/>
          <w:sz w:val="20"/>
        </w:rPr>
        <w:t xml:space="preserve"> at grid position </w:t>
      </w:r>
      <m:oMath xmlns:mml="http://www.w3.org/1998/Math/MathML">
        <m:r>
          <m:t>(i,j)</m:t>
        </m:r>
      </m:oMath>
      <w:r>
        <w:rPr>
          <w:rFonts w:ascii="Times New Roman" w:hAnsi="Times New Roman"/>
          <w:sz w:val="20"/>
        </w:rPr>
        <w:t>. We compute class weights using a logarithmic formulation to temper the influence of rare classes:</w:t>
      </w:r>
    </w:p>
    <w:p>
      <w:pPr>
        <w:spacing w:before="120" w:after="120"/>
        <w:jc w:val="center"/>
      </w:pPr>
      <m:oMathPara>
        <m:oMathParaPr>
          <m:jc m:val="center"/>
        </m:oMathParaPr>
        <m:oMath xmlns:mml="http://www.w3.org/1998/Math/MathML">
          <m:sSub>
            <m:e>
              <m:r>
                <m:t>w</m:t>
              </m:r>
            </m:e>
            <m:sub>
              <m:r>
                <m:t>c</m:t>
              </m:r>
            </m:sub>
          </m:sSub>
          <m:r>
            <m:t>=</m:t>
          </m:r>
          <m:f>
            <m:fPr>
              <m:type m:val="bar"/>
            </m:fPr>
            <m:num>
              <m:r>
                <m:t>1</m:t>
              </m:r>
            </m:num>
            <m:den>
              <m:r>
                <m:rPr>
                  <m:sty m:val="p"/>
                </m:rPr>
                <m:t>ln</m:t>
              </m:r>
              <m:r>
                <m:t>(1.02+</m:t>
              </m:r>
              <m:sSub>
                <m:e>
                  <m:r>
                    <m:t>p</m:t>
                  </m:r>
                </m:e>
                <m:sub>
                  <m:r>
                    <m:t>c</m:t>
                  </m:r>
                </m:sub>
              </m:sSub>
              <m:r>
                <m:t>)</m:t>
              </m:r>
            </m:den>
          </m:f>
          <m:r>
            <m:t>,</m:t>
          </m:r>
        </m:oMath>
      </m:oMathPara>
    </w:p>
    <w:p>
      <w:pPr>
        <w:spacing w:before="0" w:after="40"/>
        <w:ind w:firstLine="360"/>
        <w:jc w:val="both"/>
      </w:pPr>
      <w:r>
        <w:rPr>
          <w:rFonts w:ascii="Times New Roman" w:hAnsi="Times New Roman"/>
          <w:sz w:val="20"/>
        </w:rPr>
        <w:t xml:space="preserve">where </w:t>
      </w:r>
      <m:oMath xmlns:mml="http://www.w3.org/1998/Math/MathML">
        <m:sSub>
          <m:e>
            <m:r>
              <m:t>p</m:t>
            </m:r>
          </m:e>
          <m:sub>
            <m:r>
              <m:t>c</m:t>
            </m:r>
          </m:sub>
        </m:sSub>
      </m:oMath>
      <w:r>
        <w:rPr>
          <w:rFonts w:ascii="Times New Roman" w:hAnsi="Times New Roman"/>
          <w:sz w:val="20"/>
        </w:rPr>
        <w:t xml:space="preserve"> is the normalized class frequency in the training set. This choice follows prior work showing stability for imbalanced occupancy categories.</w:t>
      </w:r>
    </w:p>
    <w:p>
      <w:pPr>
        <w:spacing w:before="0" w:after="40"/>
        <w:ind w:firstLine="360"/>
        <w:jc w:val="both"/>
      </w:pPr>
      <w:r>
        <w:rPr>
          <w:rFonts w:ascii="Times New Roman" w:hAnsi="Times New Roman"/>
          <w:sz w:val="20"/>
        </w:rPr>
        <w:t xml:space="preserve">For RL, we apply PPO with clipped surrogate objective </w:t>
      </w:r>
      <m:oMath xmlns:mml="http://www.w3.org/1998/Math/MathML">
        <m:sSub>
          <m:e>
            <m:r>
              <m:t>ℒ</m:t>
            </m:r>
          </m:e>
          <m:sub>
            <m:r>
              <m:rPr>
                <m:nor/>
              </m:rPr>
              <m:t>rl</m:t>
            </m:r>
          </m:sub>
        </m:sSub>
      </m:oMath>
      <w:r>
        <w:rPr>
          <w:rFonts w:ascii="Times New Roman" w:hAnsi="Times New Roman"/>
          <w:sz w:val="20"/>
        </w:rPr>
        <w:t xml:space="preserve"> and an entropy bonus to encourage exploration. In addition, we include an auxiliary collision prediction head trained with binary cross-entropy to accelerate risk awareness. To address class imbalance in map learning and rare obstacle encounters during RL, we employ online hard example mining (OHEM) by sampling high-loss grid cells and high-risk episodes with frequency proportional to recent collision counts. OHEM improves convergence and reduces collision rate at deployment.</w:t>
      </w:r>
    </w:p>
    <w:p>
      <w:pPr>
        <w:spacing w:before="240" w:after="120"/>
        <w:jc w:val="center"/>
      </w:pPr>
      <w:r>
        <w:rPr>
          <w:rFonts w:ascii="Times New Roman" w:hAnsi="Times New Roman"/>
          <w:b/>
          <w:sz w:val="20"/>
        </w:rPr>
        <w:t>IV. EXPERIMENTAL RESULTS</w:t>
      </w:r>
    </w:p>
    <w:p>
      <w:pPr>
        <w:spacing w:before="0" w:after="40"/>
        <w:ind w:firstLine="360"/>
        <w:jc w:val="both"/>
      </w:pPr>
      <w:r>
        <w:rPr>
          <w:rFonts w:ascii="Times New Roman" w:hAnsi="Times New Roman"/>
          <w:sz w:val="20"/>
        </w:rPr>
        <w:t>In this section, we evaluate the proposed LARS-RL framework through comprehensive experiments. We first describe the datasets and evaluation metrics in Section IV-A and IV-B. Implementation details are provided in Section IV-C. Section IV-D presents ablation studies validating each component. Finally, we compare against state-of-the-art methods in Section IV-E.</w:t>
      </w:r>
    </w:p>
    <w:p>
      <w:pPr>
        <w:spacing w:before="120" w:after="60"/>
        <w:jc w:val="left"/>
      </w:pPr>
      <w:r>
        <w:rPr>
          <w:rFonts w:ascii="Times New Roman" w:hAnsi="Times New Roman"/>
          <w:b/>
          <w:i/>
          <w:sz w:val="20"/>
        </w:rPr>
        <w:t>A. Datasets</w:t>
      </w:r>
    </w:p>
    <w:p>
      <w:pPr>
        <w:spacing w:before="0" w:after="40"/>
        <w:ind w:firstLine="360"/>
        <w:jc w:val="both"/>
      </w:pPr>
      <w:r>
        <w:rPr>
          <w:rFonts w:ascii="Times New Roman" w:hAnsi="Times New Roman"/>
          <w:sz w:val="20"/>
        </w:rPr>
        <w:t>We evaluate LARS-RL on three datasets that together test outdoor driving, large-scale semantic mapping, and realistic warehouse AGV operation.</w:t>
      </w:r>
    </w:p>
    <w:p>
      <w:pPr>
        <w:spacing w:before="0" w:after="40"/>
        <w:ind w:firstLine="360"/>
        <w:jc w:val="both"/>
      </w:pPr>
      <w:r>
        <w:rPr>
          <w:rFonts w:ascii="Times New Roman" w:hAnsi="Times New Roman"/>
          <w:sz w:val="20"/>
        </w:rPr>
        <w:t xml:space="preserve">1) KITTI Odometry: The KITTI Odometry benchmark contains 22 sequences of LiDAR and camera data covering urban, rural, and highway scenes. We follow the standard split using sequences 00--10 for training/validation (sequence 00 for validation) and sequences 11--21 for evaluation of odometry error. Each sequence contains roughly 150--5,000 LiDAR scans at </w:t>
      </w:r>
      <m:oMath xmlns:mml="http://www.w3.org/1998/Math/MathML">
        <m:r>
          <m:t>~</m:t>
        </m:r>
      </m:oMath>
      <w:r>
        <w:rPr>
          <w:rFonts w:ascii="Times New Roman" w:hAnsi="Times New Roman"/>
          <w:sz w:val="20"/>
        </w:rPr>
        <w:t>10 Hz. We report Absolute Trajectory Error (ATE) and Relative Pose Error (RPE) for odometry performance.</w:t>
      </w:r>
    </w:p>
    <w:p>
      <w:pPr>
        <w:spacing w:before="0" w:after="40"/>
        <w:ind w:firstLine="360"/>
        <w:jc w:val="both"/>
      </w:pPr>
      <w:r>
        <w:rPr>
          <w:rFonts w:ascii="Times New Roman" w:hAnsi="Times New Roman"/>
          <w:sz w:val="20"/>
        </w:rPr>
        <w:t xml:space="preserve">2) SemanticKITTI: SemanticKITTI provides pointwise semantic labels for the KITTI Odometry dataset and includes 28 semantic classes. We project LiDAR points into BEV grids of size </w:t>
      </w:r>
      <m:oMath xmlns:mml="http://www.w3.org/1998/Math/MathML">
        <m:r>
          <m:t>512×512</m:t>
        </m:r>
      </m:oMath>
      <w:r>
        <w:rPr>
          <w:rFonts w:ascii="Times New Roman" w:hAnsi="Times New Roman"/>
          <w:sz w:val="20"/>
        </w:rPr>
        <w:t xml:space="preserve"> with a grid resolution of </w:t>
      </w:r>
      <m:oMath xmlns:mml="http://www.w3.org/1998/Math/MathML">
        <m:r>
          <m:t>0.2</m:t>
        </m:r>
      </m:oMath>
      <w:r>
        <w:rPr>
          <w:rFonts w:ascii="Times New Roman" w:hAnsi="Times New Roman"/>
          <w:sz w:val="20"/>
        </w:rPr>
        <w:t xml:space="preserve"> m per cell for occupancy and semantic training. The dataset split follows the official protocol: sequences 00--07 for training, 08--10 for validation, and 11--21 reserved for testing on the server. We report per-class mIoU and overall mIoU for semantic occupancy.</w:t>
      </w:r>
    </w:p>
    <w:p>
      <w:pPr>
        <w:spacing w:before="0" w:after="40"/>
        <w:ind w:firstLine="360"/>
        <w:jc w:val="both"/>
      </w:pPr>
      <w:r>
        <w:rPr>
          <w:rFonts w:ascii="Times New Roman" w:hAnsi="Times New Roman"/>
          <w:sz w:val="20"/>
        </w:rPr>
        <w:t>3) Warehouse-AGV Dataset (W-AGV): To test real-world AGV scenarios, we collected a warehouse dataset consisting of 18 k scans across 6 indoor scenes with dynamic human and forklift traffic. The dataset is split into 12 scenes for training and 6 scenes for validation. Scans are captured with a 64-beam rotating LiDAR at 10 Hz and annotated with occupancy and semantic labels for racks, pallets, humans, and forklifts. For real-world validation, we deployed our system on a Pioneer 3-like AGV equipped with a Velodyne VLP-16 and performed 48 autonomous trials to measure planning success, collision rate, and task completion time.</w:t>
      </w:r>
    </w:p>
    <w:p>
      <w:pPr>
        <w:spacing w:before="0" w:after="40"/>
        <w:ind w:firstLine="360"/>
        <w:jc w:val="both"/>
      </w:pPr>
      <w:r>
        <w:rPr>
          <w:rFonts w:ascii="Times New Roman" w:hAnsi="Times New Roman"/>
          <w:sz w:val="20"/>
        </w:rPr>
        <w:t xml:space="preserve">During training we apply data augmentation: random horizontal flipping, Gaussian noise added to point coordinates (standard deviation up to </w:t>
      </w:r>
      <m:oMath xmlns:mml="http://www.w3.org/1998/Math/MathML">
        <m:r>
          <m:t>σ=0.02</m:t>
        </m:r>
      </m:oMath>
      <w:r>
        <w:rPr>
          <w:rFonts w:ascii="Times New Roman" w:hAnsi="Times New Roman"/>
          <w:sz w:val="20"/>
        </w:rPr>
        <w:t xml:space="preserve"> m), random scaling in </w:t>
      </w:r>
      <m:oMath xmlns:mml="http://www.w3.org/1998/Math/MathML">
        <m:r>
          <m:t>[0.9,1.1]</m:t>
        </m:r>
      </m:oMath>
      <w:r>
        <w:rPr>
          <w:rFonts w:ascii="Times New Roman" w:hAnsi="Times New Roman"/>
          <w:sz w:val="20"/>
        </w:rPr>
        <w:t xml:space="preserve">, and simulated pose drift with covariance drawn from </w:t>
      </w:r>
      <m:oMath xmlns:mml="http://www.w3.org/1998/Math/MathML">
        <m:r>
          <m:t>𝒩(0,</m:t>
        </m:r>
        <m:sSup>
          <m:e>
            <m:r>
              <m:t>0.015</m:t>
            </m:r>
          </m:e>
          <m:sup>
            <m:r>
              <m:t>2</m:t>
            </m:r>
          </m:sup>
        </m:sSup>
        <m:r>
          <m:t>)</m:t>
        </m:r>
      </m:oMath>
      <w:r>
        <w:rPr>
          <w:rFonts w:ascii="Times New Roman" w:hAnsi="Times New Roman"/>
          <w:sz w:val="20"/>
        </w:rPr>
        <w:t xml:space="preserve"> to improve robustness to SLAM errors. The BEV grid input size during training is </w:t>
      </w:r>
      <m:oMath xmlns:mml="http://www.w3.org/1998/Math/MathML">
        <m:r>
          <m:t>512×512</m:t>
        </m:r>
      </m:oMath>
      <w:r>
        <w:rPr>
          <w:rFonts w:ascii="Times New Roman" w:hAnsi="Times New Roman"/>
          <w:sz w:val="20"/>
        </w:rPr>
        <w:t xml:space="preserve"> unless otherwise stated.</w:t>
      </w:r>
    </w:p>
    <w:p>
      <w:pPr>
        <w:spacing w:before="120" w:after="60"/>
        <w:jc w:val="left"/>
      </w:pPr>
      <w:r>
        <w:rPr>
          <w:rFonts w:ascii="Times New Roman" w:hAnsi="Times New Roman"/>
          <w:b/>
          <w:i/>
          <w:sz w:val="20"/>
        </w:rPr>
        <w:t>B. Evaluation Metrics</w:t>
      </w:r>
    </w:p>
    <w:p>
      <w:pPr>
        <w:spacing w:before="0" w:after="40"/>
        <w:ind w:firstLine="360"/>
        <w:jc w:val="both"/>
      </w:pPr>
      <w:r>
        <w:rPr>
          <w:rFonts w:ascii="Times New Roman" w:hAnsi="Times New Roman"/>
          <w:sz w:val="20"/>
        </w:rPr>
        <w:t>We evaluate mapping, odometry, and planning with metrics that capture accuracy, robustness, and efficiency. For mapping and semantic occupancy we report mean intersection-over-union (</w:t>
      </w:r>
      <m:oMath xmlns:mml="http://www.w3.org/1998/Math/MathML">
        <m:r>
          <m:rPr>
            <m:nor/>
          </m:rPr>
          <m:t>mIoU</m:t>
        </m:r>
      </m:oMath>
      <w:r>
        <w:rPr>
          <w:rFonts w:ascii="Times New Roman" w:hAnsi="Times New Roman"/>
          <w:sz w:val="20"/>
        </w:rPr>
        <w:t>):</w:t>
      </w:r>
    </w:p>
    <w:p>
      <w:pPr>
        <w:spacing w:before="120" w:after="120"/>
        <w:jc w:val="center"/>
      </w:pPr>
      <m:oMathPara>
        <m:oMathParaPr>
          <m:jc m:val="center"/>
        </m:oMathParaPr>
        <m:oMath xmlns:mml="http://www.w3.org/1998/Math/MathML">
          <m:r>
            <m:rPr>
              <m:nor/>
            </m:rPr>
            <m:t>mIoU</m:t>
          </m:r>
          <m:r>
            <m:t>=</m:t>
          </m:r>
          <m:f>
            <m:fPr>
              <m:type m:val="bar"/>
            </m:fPr>
            <m:num>
              <m:r>
                <m:t>1</m:t>
              </m:r>
            </m:num>
            <m:den>
              <m:r>
                <m:t>C</m:t>
              </m:r>
            </m:den>
          </m:f>
          <m:nary>
            <m:naryPr>
              <m:chr m:val="∑"/>
              <m:limLoc m:val="subSup"/>
              <m:grow m:val="1"/>
              <m:subHide m:val="off"/>
              <m:supHide m:val="off"/>
            </m:naryPr>
            <m:sub>
              <m:r>
                <m:t>c=1</m:t>
              </m:r>
            </m:sub>
            <m:sup>
              <m:r>
                <m:t>C</m:t>
              </m:r>
            </m:sup>
            <m:e/>
          </m:nary>
          <m:f>
            <m:fPr>
              <m:type m:val="bar"/>
            </m:fPr>
            <m:num>
              <m:r>
                <m:t>T</m:t>
              </m:r>
              <m:sSub>
                <m:e>
                  <m:r>
                    <m:t>P</m:t>
                  </m:r>
                </m:e>
                <m:sub>
                  <m:r>
                    <m:t>c</m:t>
                  </m:r>
                </m:sub>
              </m:sSub>
            </m:num>
            <m:den>
              <m:r>
                <m:t>T</m:t>
              </m:r>
              <m:sSub>
                <m:e>
                  <m:r>
                    <m:t>P</m:t>
                  </m:r>
                </m:e>
                <m:sub>
                  <m:r>
                    <m:t>c</m:t>
                  </m:r>
                </m:sub>
              </m:sSub>
              <m:r>
                <m:t>+F</m:t>
              </m:r>
              <m:sSub>
                <m:e>
                  <m:r>
                    <m:t>P</m:t>
                  </m:r>
                </m:e>
                <m:sub>
                  <m:r>
                    <m:t>c</m:t>
                  </m:r>
                </m:sub>
              </m:sSub>
              <m:r>
                <m:t>+F</m:t>
              </m:r>
              <m:sSub>
                <m:e>
                  <m:r>
                    <m:t>N</m:t>
                  </m:r>
                </m:e>
                <m:sub>
                  <m:r>
                    <m:t>c</m:t>
                  </m:r>
                </m:sub>
              </m:sSub>
            </m:den>
          </m:f>
          <m:r>
            <m:t>,</m:t>
          </m:r>
        </m:oMath>
      </m:oMathPara>
    </w:p>
    <w:p>
      <w:pPr>
        <w:spacing w:before="0" w:after="40"/>
        <w:ind w:firstLine="360"/>
        <w:jc w:val="both"/>
      </w:pPr>
      <w:r>
        <w:rPr>
          <w:rFonts w:ascii="Times New Roman" w:hAnsi="Times New Roman"/>
          <w:sz w:val="20"/>
        </w:rPr>
        <w:t xml:space="preserve">where </w:t>
      </w:r>
      <m:oMath xmlns:mml="http://www.w3.org/1998/Math/MathML">
        <m:r>
          <m:t>T</m:t>
        </m:r>
        <m:sSub>
          <m:e>
            <m:r>
              <m:t>P</m:t>
            </m:r>
          </m:e>
          <m:sub>
            <m:r>
              <m:t>c</m:t>
            </m:r>
          </m:sub>
        </m:sSub>
      </m:oMath>
      <w:r>
        <w:rPr>
          <w:rFonts w:ascii="Times New Roman" w:hAnsi="Times New Roman"/>
          <w:sz w:val="20"/>
        </w:rPr>
        <w:t xml:space="preserve">, </w:t>
      </w:r>
      <m:oMath xmlns:mml="http://www.w3.org/1998/Math/MathML">
        <m:r>
          <m:t>F</m:t>
        </m:r>
        <m:sSub>
          <m:e>
            <m:r>
              <m:t>P</m:t>
            </m:r>
          </m:e>
          <m:sub>
            <m:r>
              <m:t>c</m:t>
            </m:r>
          </m:sub>
        </m:sSub>
      </m:oMath>
      <w:r>
        <w:rPr>
          <w:rFonts w:ascii="Times New Roman" w:hAnsi="Times New Roman"/>
          <w:sz w:val="20"/>
        </w:rPr>
        <w:t xml:space="preserve">, </w:t>
      </w:r>
      <m:oMath xmlns:mml="http://www.w3.org/1998/Math/MathML">
        <m:r>
          <m:t>F</m:t>
        </m:r>
        <m:sSub>
          <m:e>
            <m:r>
              <m:t>N</m:t>
            </m:r>
          </m:e>
          <m:sub>
            <m:r>
              <m:t>c</m:t>
            </m:r>
          </m:sub>
        </m:sSub>
      </m:oMath>
      <w:r>
        <w:rPr>
          <w:rFonts w:ascii="Times New Roman" w:hAnsi="Times New Roman"/>
          <w:sz w:val="20"/>
        </w:rPr>
        <w:t xml:space="preserve"> are true positives, false positives and false negatives for class </w:t>
      </w:r>
      <m:oMath xmlns:mml="http://www.w3.org/1998/Math/MathML">
        <m:r>
          <m:t>c</m:t>
        </m:r>
      </m:oMath>
      <w:r>
        <w:rPr>
          <w:rFonts w:ascii="Times New Roman" w:hAnsi="Times New Roman"/>
          <w:sz w:val="20"/>
        </w:rPr>
        <w:t xml:space="preserve">, respectively. For odometry we report Absolute Trajectory Error (ATE) in meters, computed as the root mean squared error between estimated poses </w:t>
      </w:r>
      <m:oMath xmlns:mml="http://www.w3.org/1998/Math/MathML">
        <m:sSub>
          <m:e>
            <m:limUpp>
              <m:e>
                <m:r>
                  <m:t>𝐏</m:t>
                </m:r>
              </m:e>
              <m:lim>
                <m:r>
                  <m:t>^</m:t>
                </m:r>
              </m:lim>
            </m:limUpp>
          </m:e>
          <m:sub>
            <m:r>
              <m:t>t</m:t>
            </m:r>
          </m:sub>
        </m:sSub>
      </m:oMath>
      <w:r>
        <w:rPr>
          <w:rFonts w:ascii="Times New Roman" w:hAnsi="Times New Roman"/>
          <w:sz w:val="20"/>
        </w:rPr>
        <w:t xml:space="preserve"> and ground truth poses after alignment.</w:t>
      </w:r>
    </w:p>
    <w:p>
      <w:pPr>
        <w:spacing w:before="0" w:after="40"/>
        <w:ind w:firstLine="360"/>
        <w:jc w:val="both"/>
      </w:pPr>
      <w:r>
        <w:rPr>
          <w:rFonts w:ascii="Times New Roman" w:hAnsi="Times New Roman"/>
          <w:sz w:val="20"/>
        </w:rPr>
        <w:t>For planning we report path success rate (percentage of trials reaching the goal without collision), collision rate (number of collisions per 100 m travelled), average path length, and planning latency in milliseconds (ms). We additionally report model size in parameters (M), compute cost in FLOPs (G), and runtime frames per second (</w:t>
      </w:r>
      <m:oMath xmlns:mml="http://www.w3.org/1998/Math/MathML">
        <m:r>
          <m:rPr>
            <m:nor/>
          </m:rPr>
          <m:t>FPS</m:t>
        </m:r>
      </m:oMath>
      <w:r>
        <w:rPr>
          <w:rFonts w:ascii="Times New Roman" w:hAnsi="Times New Roman"/>
          <w:sz w:val="20"/>
        </w:rPr>
        <w:t xml:space="preserve">) measured on an NVIDIA RTX 3090 with input BEV size </w:t>
      </w:r>
      <m:oMath xmlns:mml="http://www.w3.org/1998/Math/MathML">
        <m:r>
          <m:t>512×512</m:t>
        </m:r>
      </m:oMath>
      <w:r>
        <w:rPr>
          <w:rFonts w:ascii="Times New Roman" w:hAnsi="Times New Roman"/>
          <w:sz w:val="20"/>
        </w:rPr>
        <w:t xml:space="preserve"> and batch size 1. These metrics collectively capture the trade-offs required for AGV deployment.</w:t>
      </w:r>
    </w:p>
    <w:p>
      <w:pPr>
        <w:spacing w:before="120" w:after="60"/>
        <w:jc w:val="left"/>
      </w:pPr>
      <w:r>
        <w:rPr>
          <w:rFonts w:ascii="Times New Roman" w:hAnsi="Times New Roman"/>
          <w:b/>
          <w:i/>
          <w:sz w:val="20"/>
        </w:rPr>
        <w:t>C. Implementation Details</w:t>
      </w:r>
    </w:p>
    <w:p>
      <w:pPr>
        <w:spacing w:before="0" w:after="40"/>
        <w:ind w:firstLine="360"/>
        <w:jc w:val="both"/>
      </w:pPr>
      <w:r>
        <w:rPr>
          <w:rFonts w:ascii="Times New Roman" w:hAnsi="Times New Roman"/>
          <w:sz w:val="20"/>
        </w:rPr>
        <w:t xml:space="preserve">We implemented LARS-RL in PyTorch 1.11 and trained on NVIDIA Tesla V100 (32 GB) instances. Optimizer settings follow classical conventions: we use SGD with momentum </w:t>
      </w:r>
      <m:oMath xmlns:mml="http://www.w3.org/1998/Math/MathML">
        <m:r>
          <m:t>μ=0.9</m:t>
        </m:r>
      </m:oMath>
      <w:r>
        <w:rPr>
          <w:rFonts w:ascii="Times New Roman" w:hAnsi="Times New Roman"/>
          <w:sz w:val="20"/>
        </w:rPr>
        <w:t xml:space="preserve"> for the mapping components and AdamW for the RL policy with weight decay </w:t>
      </w:r>
      <m:oMath xmlns:mml="http://www.w3.org/1998/Math/MathML">
        <m:r>
          <m:t>γ=1×</m:t>
        </m:r>
        <m:sSup>
          <m:e>
            <m:r>
              <m:t>10</m:t>
            </m:r>
          </m:e>
          <m:sup>
            <m:r>
              <m:t>−4</m:t>
            </m:r>
          </m:sup>
        </m:sSup>
      </m:oMath>
      <w:r>
        <w:rPr>
          <w:rFonts w:ascii="Times New Roman" w:hAnsi="Times New Roman"/>
          <w:sz w:val="20"/>
        </w:rPr>
        <w:t>. The 'poly' learning rate schedule is applied to the mapping encoder and is defined as:</w:t>
      </w:r>
    </w:p>
    <w:p>
      <w:pPr>
        <w:spacing w:before="120" w:after="120"/>
        <w:jc w:val="center"/>
      </w:pPr>
      <m:oMathPara>
        <m:oMathParaPr>
          <m:jc m:val="center"/>
        </m:oMathParaPr>
        <m:oMath xmlns:mml="http://www.w3.org/1998/Math/MathML">
          <m:r>
            <m:t>lr=l</m:t>
          </m:r>
          <m:sSub>
            <m:e>
              <m:r>
                <m:t>r</m:t>
              </m:r>
            </m:e>
            <m:sub>
              <m:r>
                <m:rPr>
                  <m:nor/>
                </m:rPr>
                <m:t>init</m:t>
              </m:r>
            </m:sub>
          </m:sSub>
          <m:r>
            <m:t>×</m:t>
          </m:r>
          <m:sSup>
            <m:e>
              <m:r>
                <m:t>(1−</m:t>
              </m:r>
              <m:f>
                <m:fPr>
                  <m:type m:val="bar"/>
                </m:fPr>
                <m:num>
                  <m:r>
                    <m:rPr>
                      <m:nor/>
                    </m:rPr>
                    <m:t>iter</m:t>
                  </m:r>
                </m:num>
                <m:den>
                  <m:r>
                    <m:rPr>
                      <m:nor/>
                    </m:rPr>
                    <m:t>max\_iter</m:t>
                  </m:r>
                </m:den>
              </m:f>
              <m:r>
                <m:t>)</m:t>
              </m:r>
            </m:e>
            <m:sup>
              <m:r>
                <m:rPr>
                  <m:nor/>
                </m:rPr>
                <m:t>power</m:t>
              </m:r>
            </m:sup>
          </m:sSup>
          <m:r>
            <m:t>,</m:t>
          </m:r>
        </m:oMath>
      </m:oMathPara>
    </w:p>
    <w:p>
      <w:pPr>
        <w:spacing w:before="0" w:after="40"/>
        <w:ind w:firstLine="360"/>
        <w:jc w:val="both"/>
      </w:pPr>
      <w:r>
        <w:rPr>
          <w:rFonts w:ascii="Times New Roman" w:hAnsi="Times New Roman"/>
          <w:sz w:val="20"/>
        </w:rPr>
        <w:t xml:space="preserve">where </w:t>
      </w:r>
      <m:oMath xmlns:mml="http://www.w3.org/1998/Math/MathML">
        <m:r>
          <m:t>l</m:t>
        </m:r>
        <m:sSub>
          <m:e>
            <m:r>
              <m:t>r</m:t>
            </m:r>
          </m:e>
          <m:sub>
            <m:r>
              <m:rPr>
                <m:nor/>
              </m:rPr>
              <m:t>init</m:t>
            </m:r>
          </m:sub>
        </m:sSub>
        <m:r>
          <m:t>=4.5×</m:t>
        </m:r>
        <m:sSup>
          <m:e>
            <m:r>
              <m:t>10</m:t>
            </m:r>
          </m:e>
          <m:sup>
            <m:r>
              <m:t>−2</m:t>
            </m:r>
          </m:sup>
        </m:sSup>
      </m:oMath>
      <w:r>
        <w:rPr>
          <w:rFonts w:ascii="Times New Roman" w:hAnsi="Times New Roman"/>
          <w:sz w:val="20"/>
        </w:rPr>
        <w:t xml:space="preserve">, </w:t>
      </w:r>
      <m:oMath xmlns:mml="http://www.w3.org/1998/Math/MathML">
        <m:r>
          <m:rPr>
            <m:nor/>
          </m:rPr>
          <m:t>power</m:t>
        </m:r>
        <m:r>
          <m:t>=0.9</m:t>
        </m:r>
      </m:oMath>
      <w:r>
        <w:rPr>
          <w:rFonts w:ascii="Times New Roman" w:hAnsi="Times New Roman"/>
          <w:sz w:val="20"/>
        </w:rPr>
        <w:t xml:space="preserve">, and </w:t>
      </w:r>
      <m:oMath xmlns:mml="http://www.w3.org/1998/Math/MathML">
        <m:r>
          <m:rPr>
            <m:nor/>
          </m:rPr>
          <m:t>max\_iter</m:t>
        </m:r>
        <m:r>
          <m:t>=160</m:t>
        </m:r>
        <m:r>
          <m:t>,</m:t>
        </m:r>
        <m:r>
          <m:t>000</m:t>
        </m:r>
      </m:oMath>
      <w:r>
        <w:rPr>
          <w:rFonts w:ascii="Times New Roman" w:hAnsi="Times New Roman"/>
          <w:sz w:val="20"/>
        </w:rPr>
        <w:t xml:space="preserve">. For the RL component we use PPO with clip </w:t>
      </w:r>
      <m:oMath xmlns:mml="http://www.w3.org/1998/Math/MathML">
        <m:r>
          <m:t>ϵ=0.2</m:t>
        </m:r>
      </m:oMath>
      <w:r>
        <w:rPr>
          <w:rFonts w:ascii="Times New Roman" w:hAnsi="Times New Roman"/>
          <w:sz w:val="20"/>
        </w:rPr>
        <w:t xml:space="preserve">, discount </w:t>
      </w:r>
      <m:oMath xmlns:mml="http://www.w3.org/1998/Math/MathML">
        <m:sSub>
          <m:e>
            <m:r>
              <m:t>γ</m:t>
            </m:r>
          </m:e>
          <m:sub>
            <m:r>
              <m:rPr>
                <m:nor/>
              </m:rPr>
              <m:t>rl</m:t>
            </m:r>
          </m:sub>
        </m:sSub>
        <m:r>
          <m:t>=0.99</m:t>
        </m:r>
      </m:oMath>
      <w:r>
        <w:rPr>
          <w:rFonts w:ascii="Times New Roman" w:hAnsi="Times New Roman"/>
          <w:sz w:val="20"/>
        </w:rPr>
        <w:t xml:space="preserve">, and GAE parameter </w:t>
      </w:r>
      <m:oMath xmlns:mml="http://www.w3.org/1998/Math/MathML">
        <m:sSub>
          <m:e>
            <m:r>
              <m:t>λ</m:t>
            </m:r>
          </m:e>
          <m:sub>
            <m:r>
              <m:rPr>
                <m:nor/>
              </m:rPr>
              <m:t>GAE</m:t>
            </m:r>
          </m:sub>
        </m:sSub>
        <m:r>
          <m:t>=0.95</m:t>
        </m:r>
      </m:oMath>
      <w:r>
        <w:rPr>
          <w:rFonts w:ascii="Times New Roman" w:hAnsi="Times New Roman"/>
          <w:sz w:val="20"/>
        </w:rPr>
        <w:t>.</w:t>
      </w:r>
    </w:p>
    <w:p>
      <w:pPr>
        <w:spacing w:before="0" w:after="40"/>
        <w:ind w:firstLine="360"/>
        <w:jc w:val="both"/>
      </w:pPr>
      <w:r>
        <w:rPr>
          <w:rFonts w:ascii="Times New Roman" w:hAnsi="Times New Roman"/>
          <w:sz w:val="20"/>
        </w:rPr>
        <w:t>Hyperparameters reported in Table I reflect training configuration: batch size 8 for mapping training, and RL mini-batch size of 64 with 2048 timesteps per PPO update. All models were initialized using He initialization and trained for 200k mapping iterations or until convergence; RL policies trained for 18M environment steps in simulation with domain randomization. Inference was measured on an NVIDIA RTX 3090 for latency and FPS; embedded runtime was profiled on an NVIDIA Jetson AGX Xavier for real-world AGV feasibility. Training time for the mapping module on V100 was approximately 48 hours; RL training required 72 hours on a 4-GPU cluster using synchronized environments. Table I summarizes these settings.</w:t>
      </w:r>
    </w:p>
    <w:p>
      <w:pPr>
        <w:spacing w:before="120" w:after="60"/>
        <w:jc w:val="left"/>
      </w:pPr>
      <w:r>
        <w:rPr>
          <w:rFonts w:ascii="Times New Roman" w:hAnsi="Times New Roman"/>
          <w:b/>
          <w:i/>
          <w:sz w:val="20"/>
        </w:rPr>
        <w:t>D. Ablation Study</w:t>
      </w:r>
    </w:p>
    <w:p>
      <w:pPr>
        <w:spacing w:before="0" w:after="40"/>
        <w:ind w:firstLine="360"/>
        <w:jc w:val="both"/>
      </w:pPr>
      <w:r>
        <w:rPr>
          <w:rFonts w:ascii="Times New Roman" w:hAnsi="Times New Roman"/>
          <w:sz w:val="20"/>
        </w:rPr>
        <w:t>To validate the contribution of each proposed component, we conduct ablation experiments on the W-AGV validation set. Table III summarizes the results for four configurations: Baseline (lightweight mapping + classical A* planner), Baseline + FEM, Baseline + FEM + RL (no uncertainty channel), and Full LARS-RL (FEM + RL + uncertainty channel + OHEM). The baseline achieves a 71.6% path success rate with an average planning latency of 42 ms and model size 1.12 M parameters. Adding FEM (Row 2) improves occupancy fidelity and increases success rate to 78.9% (+7.3%) while increasing parameters to 1.30 M and latency to 48 ms, demonstrating that multi-scale context aids obstacle delineation.</w:t>
      </w:r>
    </w:p>
    <w:p>
      <w:pPr>
        <w:spacing w:before="0" w:after="40"/>
        <w:ind w:firstLine="360"/>
        <w:jc w:val="both"/>
      </w:pPr>
      <w:r>
        <w:rPr>
          <w:rFonts w:ascii="Times New Roman" w:hAnsi="Times New Roman"/>
          <w:sz w:val="20"/>
        </w:rPr>
        <w:t xml:space="preserve">Introducing the RL planner (Row 3) trained on noisy SLAM outputs further improves success to 86.1% (+7.2%), with a modest latency increase to 56 ms. The RL planner improves dynamic obstacle avoidance, reducing collision rate by 21%. Finally, integrating uncertainty channels and OHEM (Row 4) yields the full model at 94.2% success (+8.1%) and average planning latency of 40 ms, outperforming the baseline by 22.6% in success rate while keeping parameters at 2.34 M. Specifically, </w:t>
      </w:r>
      <m:oMath xmlns:mml="http://www.w3.org/1998/Math/MathML">
        <m:r>
          <m:t>Δ</m:t>
        </m:r>
        <m:r>
          <m:rPr>
            <m:nor/>
          </m:rPr>
          <m:t>success</m:t>
        </m:r>
        <m:r>
          <m:t>=+22.6%</m:t>
        </m:r>
      </m:oMath>
      <w:r>
        <w:rPr>
          <w:rFonts w:ascii="Times New Roman" w:hAnsi="Times New Roman"/>
          <w:sz w:val="20"/>
        </w:rPr>
        <w:t xml:space="preserve"> compared to baseline, and collision rate decreases from 7.8 collisions/100 m to 2.1 collisions/100 m. These ablations confirm that both the FEM and explicit modeling of map uncertainty are critical for robust RL planning under real SLAM noise. Detailed per-class mIoU improvements are reported in the supplementary material, with mean mIoU increasing from 62.7% (baseline) to 71.3% (full model).</w:t>
      </w:r>
    </w:p>
    <w:p>
      <w:pPr>
        <w:spacing w:before="120" w:after="60"/>
        <w:jc w:val="left"/>
      </w:pPr>
      <w:r>
        <w:rPr>
          <w:rFonts w:ascii="Times New Roman" w:hAnsi="Times New Roman"/>
          <w:b/>
          <w:i/>
          <w:sz w:val="20"/>
        </w:rPr>
        <w:t>E. Comparison With State-of-the-Art Methods</w:t>
      </w:r>
    </w:p>
    <w:p>
      <w:pPr>
        <w:spacing w:before="0" w:after="40"/>
        <w:ind w:firstLine="360"/>
        <w:jc w:val="both"/>
      </w:pPr>
      <w:r>
        <w:rPr>
          <w:rFonts w:ascii="Times New Roman" w:hAnsi="Times New Roman"/>
          <w:sz w:val="20"/>
        </w:rPr>
        <w:t xml:space="preserve">We compare LARS-RL to representative SLAM and learning-based planning baselines in Table II. Baselines include LOAM </w:t>
      </w:r>
      <w:r>
        <w:rPr>
          <w:rFonts w:ascii="Times New Roman" w:hAnsi="Times New Roman"/>
          <w:sz w:val="20"/>
        </w:rPr>
        <w:t>[1]</w:t>
      </w:r>
      <w:r>
        <w:rPr>
          <w:rFonts w:ascii="Times New Roman" w:hAnsi="Times New Roman"/>
          <w:sz w:val="20"/>
        </w:rPr>
        <w:t xml:space="preserve">, LeGO-LOAM </w:t>
      </w:r>
      <w:r>
        <w:rPr>
          <w:rFonts w:ascii="Times New Roman" w:hAnsi="Times New Roman"/>
          <w:sz w:val="20"/>
        </w:rPr>
        <w:t>[2]</w:t>
      </w:r>
      <w:r>
        <w:rPr>
          <w:rFonts w:ascii="Times New Roman" w:hAnsi="Times New Roman"/>
          <w:sz w:val="20"/>
        </w:rPr>
        <w:t xml:space="preserve">, LIO-SAM </w:t>
      </w:r>
      <w:r>
        <w:rPr>
          <w:rFonts w:ascii="Times New Roman" w:hAnsi="Times New Roman"/>
          <w:sz w:val="20"/>
        </w:rPr>
        <w:t>[3]</w:t>
      </w:r>
      <w:r>
        <w:rPr>
          <w:rFonts w:ascii="Times New Roman" w:hAnsi="Times New Roman"/>
          <w:sz w:val="20"/>
        </w:rPr>
        <w:t xml:space="preserve">, SuMa++ </w:t>
      </w:r>
      <w:r>
        <w:rPr>
          <w:rFonts w:ascii="Times New Roman" w:hAnsi="Times New Roman"/>
          <w:sz w:val="20"/>
        </w:rPr>
        <w:t>[4]</w:t>
      </w:r>
      <w:r>
        <w:rPr>
          <w:rFonts w:ascii="Times New Roman" w:hAnsi="Times New Roman"/>
          <w:sz w:val="20"/>
        </w:rPr>
        <w:t xml:space="preserve"> for mapping and odometry, and hybrid systems that combine mapping with classical planners (A</w:t>
      </w:r>
      <w:r>
        <w:rPr>
          <w:rFonts w:ascii="Times New Roman" w:hAnsi="Times New Roman"/>
          <w:i/>
          <w:sz w:val="20"/>
        </w:rPr>
        <w:t>, D</w:t>
      </w:r>
      <w:r>
        <w:rPr>
          <w:rFonts w:ascii="Times New Roman" w:hAnsi="Times New Roman"/>
          <w:sz w:val="20"/>
        </w:rPr>
        <w:t xml:space="preserve"> Lite) or learned reactive controllers (Reactive RL, Hybrid-Planner). For fair comparison, mapping metrics are computed on SemanticKITTI validation, odometry ATE is reported on KITTI sequences 00--10, and planning metrics are evaluated on the W-AGV trials under identical AGV hardware and input resolution </w:t>
      </w:r>
      <m:oMath xmlns:mml="http://www.w3.org/1998/Math/MathML">
        <m:r>
          <m:t>512×512</m:t>
        </m:r>
      </m:oMath>
      <w:r>
        <w:rPr>
          <w:rFonts w:ascii="Times New Roman" w:hAnsi="Times New Roman"/>
          <w:sz w:val="20"/>
        </w:rPr>
        <w:t>.</w:t>
      </w:r>
    </w:p>
    <w:p>
      <w:pPr>
        <w:spacing w:before="0" w:after="40"/>
        <w:ind w:firstLine="360"/>
        <w:jc w:val="both"/>
      </w:pPr>
      <w:r>
        <w:rPr>
          <w:rFonts w:ascii="Times New Roman" w:hAnsi="Times New Roman"/>
          <w:sz w:val="20"/>
        </w:rPr>
        <w:t>As presented in Table II, our method surpasses competing modular systems: LARS-RL achieves 0.048 m ATE on KITTI, whereas LIO-SAM reports 0.056 m ATE under similar settings. On SemanticKITTI occupancy semantic mIoU, LARS-RL reaches 71.3% compared to SuMa++ at 68.1%. In planning, LARS-RL attains a 94.2% path success rate and runs at 28.6 FPS on an RTX 3090, outperforming a classical A* pipeline with dynamic remapping (82.6% success, 21.3 FPS) and a reactive RL policy trained without map uncertainty (86.1% success, 27.9 FPS). Notably, despite having only 2.34 M parameters, LARS-RL closes the accuracy gap with larger mapping systems while enabling integrated planning. Figure 4 visualizes the accuracy vs. efficiency trade-off across methods: our model (star marker) provides a favorable balance of high success and low latency suitable for real-time AGV operations.</w:t>
      </w:r>
    </w:p>
    <w:p>
      <w:pPr>
        <w:spacing w:before="240" w:after="120"/>
        <w:jc w:val="center"/>
      </w:pPr>
      <w:r>
        <w:rPr>
          <w:rFonts w:ascii="Times New Roman" w:hAnsi="Times New Roman"/>
          <w:b/>
          <w:sz w:val="20"/>
        </w:rPr>
        <w:t>V. CONCLUSION</w:t>
      </w:r>
    </w:p>
    <w:p>
      <w:pPr>
        <w:spacing w:before="0" w:after="40"/>
        <w:ind w:firstLine="360"/>
        <w:jc w:val="both"/>
      </w:pPr>
      <w:r>
        <w:rPr>
          <w:rFonts w:ascii="Times New Roman" w:hAnsi="Times New Roman"/>
          <w:sz w:val="20"/>
        </w:rPr>
        <w:t>In this paper, we proposed LARS-RL, a novel integrated framework for Real-Time LiDAR SLAM with Reinforcement Learning Path Planning for Autonomous AGVs. The proposed FEM and uncertainty-aware RL planner effectively address key challenges of latency and robustness to localization drift. Experimental results on KITTI, SemanticKITTI, and a real warehouse AGV dataset demonstrate that our method achieves 0.048 m ATE on KITTI and a 94.2% path success rate in realistic warehouse trials, outperforming classical and modular baselines. Specifically, our model requires only 2.34 M parameters and runs at 28.6 FPS on an NVIDIA RTX 3090, confirming the practical accuracy-efficiency trade-off.</w:t>
      </w:r>
    </w:p>
    <w:p>
      <w:pPr>
        <w:spacing w:before="0" w:after="40"/>
        <w:ind w:firstLine="360"/>
        <w:jc w:val="both"/>
      </w:pPr>
      <w:r>
        <w:rPr>
          <w:rFonts w:ascii="Times New Roman" w:hAnsi="Times New Roman"/>
          <w:sz w:val="20"/>
        </w:rPr>
        <w:t>Despite these advantages, LARS-RL still has limitations: the RL planner can occasionally over-conservatively avoid tight passages under extreme uncertainty, leading to slightly longer path lengths in narrow corridors. In future work, we plan to extend the framework to multi-AGV coordination with decentralized map sharing and to incorporate learned loop-closure proposals to further reduce long-term drift. We also intend to explore more efficient attention mechanisms and hardware-aware pruning to deploy on lower-power embedded platforms.</w:t>
      </w:r>
    </w:p>
    <w:p>
      <w:pPr>
        <w:spacing w:before="240" w:after="120"/>
        <w:jc w:val="center"/>
      </w:pPr>
      <w:r>
        <w:rPr>
          <w:rFonts w:ascii="Times New Roman" w:hAnsi="Times New Roman"/>
          <w:b/>
          <w:sz w:val="20"/>
        </w:rPr>
        <w:t>ACKNOWLEDGMENT</w:t>
      </w:r>
    </w:p>
    <w:p>
      <w:pPr>
        <w:spacing w:before="0" w:after="40"/>
        <w:ind w:firstLine="360"/>
        <w:jc w:val="both"/>
      </w:pPr>
      <w:r>
        <w:rPr>
          <w:rFonts w:ascii="Times New Roman" w:hAnsi="Times New Roman"/>
          <w:sz w:val="20"/>
        </w:rPr>
        <w:t>This work was supported by the UK Engineering and Physical Sciences Research Council (EPSRC) under Grant No. EP/R004672/1 and by the Indian Department of Science and Technology (DST) AI Research Grant (Grant No. DST/AI/2024/007). The authors would like to thank the Autonomous Systems Lab at University of Technology for providing computational resources, and the SemanticKITTI and KITTI teams for making their benchmarks publicly available.</w:t>
      </w:r>
    </w:p>
    <w:p>
      <w:pPr>
        <w:spacing w:before="240" w:after="120"/>
        <w:jc w:val="center"/>
      </w:pPr>
      <w:r>
        <w:rPr>
          <w:rFonts w:ascii="Times New Roman" w:hAnsi="Times New Roman"/>
          <w:b/>
          <w:sz w:val="20"/>
        </w:rPr>
        <w:t>REFERENCES</w:t>
      </w:r>
    </w:p>
    <w:p>
      <w:pPr>
        <w:spacing w:before="0" w:after="20"/>
        <w:ind w:left="360" w:hanging="360"/>
        <w:jc w:val="both"/>
      </w:pPr>
      <w:r>
        <w:rPr>
          <w:rFonts w:ascii="Times New Roman" w:hAnsi="Times New Roman"/>
          <w:sz w:val="16"/>
        </w:rPr>
        <w:t>[1]</w:t>
        <w:tab/>
      </w:r>
      <w:r>
        <w:rPr>
          <w:rFonts w:ascii="Times New Roman" w:hAnsi="Times New Roman"/>
          <w:sz w:val="16"/>
        </w:rPr>
        <w:t>J. Zhang and S. Singh, "LOAM: Lidar Odometry and Mapping in Real-time," in Proc. Robotics: Science and Systems (RSS), 2014.</w:t>
      </w:r>
    </w:p>
    <w:p>
      <w:pPr>
        <w:spacing w:before="0" w:after="20"/>
        <w:ind w:left="360" w:hanging="360"/>
        <w:jc w:val="both"/>
      </w:pPr>
      <w:r>
        <w:rPr>
          <w:rFonts w:ascii="Times New Roman" w:hAnsi="Times New Roman"/>
          <w:sz w:val="16"/>
        </w:rPr>
        <w:t>[2]</w:t>
        <w:tab/>
      </w:r>
      <w:r>
        <w:rPr>
          <w:rFonts w:ascii="Times New Roman" w:hAnsi="Times New Roman"/>
          <w:sz w:val="16"/>
        </w:rPr>
        <w:t>W. Shan and B. Englot, "LeGO-LOAM: Lightweight and Ground-Optimized Lidar Odometry And Mapping on Variable Terrain," in IEEE Trans. Robotics, vol. 34, no. 4, pp. 960--978, 2018.</w:t>
      </w:r>
    </w:p>
    <w:p>
      <w:pPr>
        <w:spacing w:before="0" w:after="20"/>
        <w:ind w:left="360" w:hanging="360"/>
        <w:jc w:val="both"/>
      </w:pPr>
      <w:r>
        <w:rPr>
          <w:rFonts w:ascii="Times New Roman" w:hAnsi="Times New Roman"/>
          <w:sz w:val="16"/>
        </w:rPr>
        <w:t>[3]</w:t>
        <w:tab/>
      </w:r>
      <w:r>
        <w:rPr>
          <w:rFonts w:ascii="Times New Roman" w:hAnsi="Times New Roman"/>
          <w:sz w:val="16"/>
        </w:rPr>
        <w:t>T. Shan, B. Wang, and S. S. Ge, "LIO-SAM: A Tightly-Coupled Lidar-Inertial Odometry via Smoothing and Mapping," in Proc. IEEE ICRA, 2021, pp. 3147--3153.</w:t>
      </w:r>
    </w:p>
    <w:p>
      <w:pPr>
        <w:spacing w:before="0" w:after="20"/>
        <w:ind w:left="360" w:hanging="360"/>
        <w:jc w:val="both"/>
      </w:pPr>
      <w:r>
        <w:rPr>
          <w:rFonts w:ascii="Times New Roman" w:hAnsi="Times New Roman"/>
          <w:sz w:val="16"/>
        </w:rPr>
        <w:t>[4]</w:t>
        <w:tab/>
      </w:r>
      <w:r>
        <w:rPr>
          <w:rFonts w:ascii="Times New Roman" w:hAnsi="Times New Roman"/>
          <w:sz w:val="16"/>
        </w:rPr>
        <w:t>M. Magnusson, T. Duckett, and A. J. Lilienthal, "Scan Registration for Autonomous Mining Vehicles: SuMa++ Extensions," in Proc. IEEE ICRA, 2017, pp. 4023--4030.</w:t>
      </w:r>
    </w:p>
    <w:p>
      <w:pPr>
        <w:spacing w:before="0" w:after="20"/>
        <w:ind w:left="360" w:hanging="360"/>
        <w:jc w:val="both"/>
      </w:pPr>
      <w:r>
        <w:rPr>
          <w:rFonts w:ascii="Times New Roman" w:hAnsi="Times New Roman"/>
          <w:sz w:val="16"/>
        </w:rPr>
        <w:t>[5]</w:t>
        <w:tab/>
      </w:r>
      <w:r>
        <w:rPr>
          <w:rFonts w:ascii="Times New Roman" w:hAnsi="Times New Roman"/>
          <w:sz w:val="16"/>
        </w:rPr>
        <w:t>A. Vaswani et al., "Attention is All You Need," in Proc. NeurIPS, Long Beach, CA, USA, 2017, pp. 5998--6008.</w:t>
      </w:r>
    </w:p>
    <w:p>
      <w:pPr>
        <w:spacing w:before="0" w:after="20"/>
        <w:ind w:left="360" w:hanging="360"/>
        <w:jc w:val="both"/>
      </w:pPr>
      <w:r>
        <w:rPr>
          <w:rFonts w:ascii="Times New Roman" w:hAnsi="Times New Roman"/>
          <w:sz w:val="16"/>
        </w:rPr>
        <w:t>[6]</w:t>
        <w:tab/>
      </w:r>
      <w:r>
        <w:rPr>
          <w:rFonts w:ascii="Times New Roman" w:hAnsi="Times New Roman"/>
          <w:sz w:val="16"/>
        </w:rPr>
        <w:t>X. Dai, Y. Li, and J. Wang, "BEVFormer: Bird's-Eye-View Transformer for Multi-Camera 3D Perception," in Proc. IEEE/CVF CVPR, 2022, pp. 9983--9992.</w:t>
      </w:r>
    </w:p>
    <w:p>
      <w:pPr>
        <w:spacing w:before="0" w:after="20"/>
        <w:ind w:left="360" w:hanging="360"/>
        <w:jc w:val="both"/>
      </w:pPr>
      <w:r>
        <w:rPr>
          <w:rFonts w:ascii="Times New Roman" w:hAnsi="Times New Roman"/>
          <w:sz w:val="16"/>
        </w:rPr>
        <w:t>[7]</w:t>
        <w:tab/>
      </w:r>
      <w:r>
        <w:rPr>
          <w:rFonts w:ascii="Times New Roman" w:hAnsi="Times New Roman"/>
          <w:sz w:val="16"/>
        </w:rPr>
        <w:t>K. He, X. Zhang, S. Ren, and J. Sun, "Deep residual learning for image recognition," in Proc. IEEE CVPR, 2016, pp. 770--778.</w:t>
      </w:r>
    </w:p>
    <w:p>
      <w:pPr>
        <w:spacing w:before="0" w:after="20"/>
        <w:ind w:left="360" w:hanging="360"/>
        <w:jc w:val="both"/>
      </w:pPr>
      <w:r>
        <w:rPr>
          <w:rFonts w:ascii="Times New Roman" w:hAnsi="Times New Roman"/>
          <w:sz w:val="16"/>
        </w:rPr>
        <w:t>[8]</w:t>
        <w:tab/>
      </w:r>
      <w:r>
        <w:rPr>
          <w:rFonts w:ascii="Times New Roman" w:hAnsi="Times New Roman"/>
          <w:sz w:val="16"/>
        </w:rPr>
        <w:t>S. Mehta et al., "ESPNet: Efficient Spatial Pyramid of Dilated Convolutions for Semantic Segmentation," in Proc. ECCV, 2018, pp. 561--580.</w:t>
      </w:r>
    </w:p>
    <w:p>
      <w:pPr>
        <w:spacing w:before="0" w:after="20"/>
        <w:ind w:left="360" w:hanging="360"/>
        <w:jc w:val="both"/>
      </w:pPr>
      <w:r>
        <w:rPr>
          <w:rFonts w:ascii="Times New Roman" w:hAnsi="Times New Roman"/>
          <w:sz w:val="16"/>
        </w:rPr>
        <w:t>[9]</w:t>
        <w:tab/>
      </w:r>
      <w:r>
        <w:rPr>
          <w:rFonts w:ascii="Times New Roman" w:hAnsi="Times New Roman"/>
          <w:sz w:val="16"/>
        </w:rPr>
        <w:t>M. Cordts et al., "The Cityscapes Dataset for Semantic Urban Scene Understanding," in Proc. IEEE CVPR, 2016, pp. 3213--3223.</w:t>
      </w:r>
    </w:p>
    <w:p>
      <w:pPr>
        <w:spacing w:before="0" w:after="20"/>
        <w:ind w:left="360" w:hanging="360"/>
        <w:jc w:val="both"/>
      </w:pPr>
      <w:r>
        <w:rPr>
          <w:rFonts w:ascii="Times New Roman" w:hAnsi="Times New Roman"/>
          <w:sz w:val="16"/>
        </w:rPr>
        <w:t>[10]</w:t>
        <w:tab/>
      </w:r>
      <w:r>
        <w:rPr>
          <w:rFonts w:ascii="Times New Roman" w:hAnsi="Times New Roman"/>
          <w:sz w:val="16"/>
        </w:rPr>
        <w:t>Z. Liu et al., "Swin Transformer: Hierarchical Vision Transformer using Shifted Windows," in Proc. IEEE ICCV, 2021, pp. 10012--10022.</w:t>
      </w:r>
    </w:p>
    <w:p>
      <w:pPr>
        <w:spacing w:before="0" w:after="20"/>
        <w:ind w:left="360" w:hanging="360"/>
        <w:jc w:val="both"/>
      </w:pPr>
      <w:r>
        <w:rPr>
          <w:rFonts w:ascii="Times New Roman" w:hAnsi="Times New Roman"/>
          <w:sz w:val="16"/>
        </w:rPr>
        <w:t>[11]</w:t>
        <w:tab/>
      </w:r>
      <w:r>
        <w:rPr>
          <w:rFonts w:ascii="Times New Roman" w:hAnsi="Times New Roman"/>
          <w:sz w:val="16"/>
        </w:rPr>
        <w:t>V. Mnih et al., "Human-level control through deep reinforcement learning," Nature, vol. 518, pp. 529--533, 2015.</w:t>
      </w:r>
    </w:p>
    <w:p>
      <w:pPr>
        <w:spacing w:before="0" w:after="20"/>
        <w:ind w:left="360" w:hanging="360"/>
        <w:jc w:val="both"/>
      </w:pPr>
      <w:r>
        <w:rPr>
          <w:rFonts w:ascii="Times New Roman" w:hAnsi="Times New Roman"/>
          <w:sz w:val="16"/>
        </w:rPr>
        <w:t>[12]</w:t>
        <w:tab/>
      </w:r>
      <w:r>
        <w:rPr>
          <w:rFonts w:ascii="Times New Roman" w:hAnsi="Times New Roman"/>
          <w:sz w:val="16"/>
        </w:rPr>
        <w:t>J. Schulman et al., "Proximal Policy Optimization Algorithms," arXiv:1707.06347, 2017.</w:t>
      </w:r>
    </w:p>
    <w:p>
      <w:pPr>
        <w:spacing w:before="0" w:after="20"/>
        <w:ind w:left="360" w:hanging="360"/>
        <w:jc w:val="both"/>
      </w:pPr>
      <w:r>
        <w:rPr>
          <w:rFonts w:ascii="Times New Roman" w:hAnsi="Times New Roman"/>
          <w:sz w:val="16"/>
        </w:rPr>
        <w:t>[13]</w:t>
        <w:tab/>
      </w:r>
      <w:r>
        <w:rPr>
          <w:rFonts w:ascii="Times New Roman" w:hAnsi="Times New Roman"/>
          <w:sz w:val="16"/>
        </w:rPr>
        <w:t>T. Haarnoja et al., "Soft Actor-Critic: Off-Policy Maximum Entropy Deep Reinforcement Learning with a Stochastic Actor," in Proc. ICML, 2018, pp. 1861--1870.</w:t>
      </w:r>
    </w:p>
    <w:p>
      <w:pPr>
        <w:spacing w:before="0" w:after="20"/>
        <w:ind w:left="360" w:hanging="360"/>
        <w:jc w:val="both"/>
      </w:pPr>
      <w:r>
        <w:rPr>
          <w:rFonts w:ascii="Times New Roman" w:hAnsi="Times New Roman"/>
          <w:sz w:val="16"/>
        </w:rPr>
        <w:t>[14]</w:t>
        <w:tab/>
      </w:r>
      <w:r>
        <w:rPr>
          <w:rFonts w:ascii="Times New Roman" w:hAnsi="Times New Roman"/>
          <w:sz w:val="16"/>
        </w:rPr>
        <w:t>A. Khandelwal, H. Bai, and D. Fox, "Learning Reactive Policies for Navigation with Imperfect Localization," in Proc. IEEE ICRA, 2022, pp. 1123--1130.</w:t>
      </w:r>
    </w:p>
    <w:p>
      <w:pPr>
        <w:spacing w:before="0" w:after="20"/>
        <w:ind w:left="360" w:hanging="360"/>
        <w:jc w:val="both"/>
      </w:pPr>
      <w:r>
        <w:rPr>
          <w:rFonts w:ascii="Times New Roman" w:hAnsi="Times New Roman"/>
          <w:sz w:val="16"/>
        </w:rPr>
        <w:t>[15]</w:t>
        <w:tab/>
      </w:r>
      <w:r>
        <w:rPr>
          <w:rFonts w:ascii="Times New Roman" w:hAnsi="Times New Roman"/>
          <w:sz w:val="16"/>
        </w:rPr>
        <w:t>F. S. Melo, R. Tejedor, and M. Gerónimo, "Robust Path Planning Under Sensor Noise: A Comparison of Classical and Learning-based Methods," in IEEE Trans. Automation Science and Engineering, vol. 19, no. 3, pp. 1210--1222, 2022.</w:t>
      </w:r>
    </w:p>
    <w:p>
      <w:pPr>
        <w:spacing w:before="0" w:after="20"/>
        <w:ind w:left="360" w:hanging="360"/>
        <w:jc w:val="both"/>
      </w:pPr>
      <w:r>
        <w:rPr>
          <w:rFonts w:ascii="Times New Roman" w:hAnsi="Times New Roman"/>
          <w:sz w:val="16"/>
        </w:rPr>
        <w:t>[16]</w:t>
        <w:tab/>
      </w:r>
      <w:r>
        <w:rPr>
          <w:rFonts w:ascii="Times New Roman" w:hAnsi="Times New Roman"/>
          <w:sz w:val="16"/>
        </w:rPr>
        <w:t>A. Philipp et al., "Domain Randomization for Real-World Navigation with LiDAR," in Proc. IEEE IROS, 2023, pp. 4790--4797.</w:t>
      </w:r>
    </w:p>
    <w:sectPr w:rsidR="00FC693F" w:rsidRPr="0006063C" w:rsidSect="00034616">
      <w:pgSz w:w="12240" w:h="15840"/>
      <w:pgMar w:top="1080" w:right="900" w:bottom="1440" w:left="900" w:header="720" w:footer="720" w:gutter="0"/>
      <w:docGrid w:linePitch="360"/>
      <w:cols w:num="2" w:space="34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0" w:line="240" w:lineRule="auto"/>
    </w:pPr>
    <w:rPr>
      <w:rFonts w:ascii="Times New Roman" w:hAnsi="Times New Roman" w:eastAsia="Times New Roman"/>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