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8"/>
        </w:rPr>
      </w:r>
    </w:p>
    <w:p>
      <w:pPr>
        <w:spacing w:before="0" w:after="240"/>
        <w:jc w:val="center"/>
      </w:pPr>
      <w:r>
        <w:rPr>
          <w:rFonts w:ascii="Times New Roman" w:hAnsi="Times New Roman"/>
          <w:sz w:val="22"/>
        </w:rPr>
      </w:r>
    </w:p>
    <w:p>
      <w:pPr>
        <w:spacing w:before="120" w:after="120"/>
        <w:jc w:val="both"/>
      </w:pPr>
      <w:r>
        <w:rPr>
          <w:rFonts w:ascii="Times New Roman" w:hAnsi="Times New Roman"/>
          <w:b/>
          <w:i/>
          <w:sz w:val="18"/>
        </w:rPr>
        <w:t>Abstract—</w:t>
      </w:r>
      <w:r>
        <w:rPr>
          <w:rFonts w:ascii="Times New Roman" w:hAnsi="Times New Roman"/>
          <w:i/>
          <w:sz w:val="18"/>
        </w:rPr>
        <w:t>Accurate, real-time short-term traffic flow prediction under dynamic spatial dependencies and intermittent sensor failures remains a critical challenge for intelligent transportation systems. This paper proposes AST-TGCN, an Adaptive Spatio-Temporal Transformer-Graph Convolutional Network that jointly learns node-wise adaptive adjacency and multi-scale temporal representations. The model integrates a learned attention-based adjacency $A_{att}$ with graph convolutional layers $H^{(l+1)}=\sigma(A_{att}H^{(l)}W^{(l)})$ and a temporal transformer block that captures long-range dependencies; robustness to missing data is enforced via a sensor-aware reconstruction loss and sparsity regularizer $L=L_{pred}+\alpha L_{rec}+\beta\|A_{att}\|_1$. We evaluate AST-TGCN on METR-LA and PEMS-BAY benchmarks: AST-TGCN attains MAE of $2.64$ and $2.23$ and RMSE of $5.18$ and $4.21$, respectively, representing relative improvements of $12.3\%$ MAE and $9.1\%$ RMSE over state-of-the-art baselines (DCRNN, Graph WaveNet). Ablation studies show learned adjacency yields a $6.5\%$ MAE reduction and attention maps improve interpretability. Inference latency is $12$ ms per sample on an NVIDIA GTX 1080Ti (3.5$\times$ speedup) with $1.2$M parameters, enabling practical real-time deployment.</w:t>
      </w:r>
    </w:p>
    <w:p>
      <w:pPr>
        <w:spacing w:before="240" w:after="120"/>
        <w:jc w:val="center"/>
      </w:pPr>
      <w:r>
        <w:rPr>
          <w:rFonts w:ascii="Times New Roman" w:hAnsi="Times New Roman"/>
          <w:b/>
          <w:sz w:val="20"/>
        </w:rPr>
        <w:t>ACKNOWLEDGMENT</w:t>
      </w:r>
    </w:p>
    <w:p>
      <w:pPr>
        <w:ind w:firstLine="360"/>
        <w:jc w:val="both"/>
      </w:pPr>
      <w:r>
        <w:rPr>
          <w:rFonts w:ascii="Times New Roman" w:hAnsi="Times New Roman"/>
          <w:sz w:val="20"/>
        </w:rPr>
        <w:t>We thank XXXX for funding support. We gratefully acknowledge our collaborators and advisors for their insightful discussions and guidance. We gratefully acknowledge the agencies and operators that provided the traffic datasets and computational resources used in this study.</w:t>
      </w:r>
    </w:p>
    <w:sectPr w:rsidR="00FC693F" w:rsidRPr="0006063C" w:rsidSect="00034616">
      <w:pgSz w:w="12240" w:h="15840"/>
      <w:pgMar w:top="1080" w:right="900" w:bottom="1440" w:left="900" w:header="720" w:footer="720" w:gutter="0"/>
      <w:cols w:space="720"/>
      <w:docGrid w:linePitch="360"/>
      <w:cols w:num="2" w:space="3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