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Vision-Based Real-Time Obstacle Avoidance for Mobile Robots Using Deep Reinforcement Learning</w:t>
      </w:r>
    </w:p>
    <w:p>
      <w:pPr>
        <w:spacing w:before="0" w:after="240"/>
        <w:jc w:val="center"/>
      </w:pPr>
      <w:r>
        <w:rPr>
          <w:rFonts w:ascii="Times New Roman" w:hAnsi="Times New Roman"/>
          <w:sz w:val="22"/>
        </w:rPr>
        <w:t>Anonymous</w:t>
      </w:r>
    </w:p>
    <w:p>
      <w:pPr>
        <w:spacing w:before="120" w:after="120"/>
        <w:jc w:val="both"/>
      </w:pPr>
      <w:r>
        <w:rPr>
          <w:rFonts w:ascii="Times New Roman" w:hAnsi="Times New Roman"/>
          <w:b/>
          <w:i/>
          <w:sz w:val="18"/>
        </w:rPr>
        <w:t>Abstract—</w:t>
      </w:r>
      <w:r>
        <w:rPr>
          <w:rFonts w:ascii="Times New Roman" w:hAnsi="Times New Roman"/>
          <w:i/>
          <w:sz w:val="18"/>
        </w:rPr>
        <w:t>This paper presents a vision-based, real-time obstacle avoidance system for mobile robots using deep reinforcement learning (DRL). We formulate obstacle avoidance as a Markov decision process (MDP) where the agent learns collision-free navigation policies directly from monocular RGB input. A compact convolutional neural network (CNN) extracts visual features that are mapped to continuous control commands by an actor-critic DRL algorithm. To ensure real-time performance, we optimize network architecture and employ inference pruning techniques to achieve sub-100 ms control loop latency on embedded GPUs. We validate the approach in simulated and real-world indoor environments and report improvements in success rate, path efficiency, and robustness compared to baseline reactive and classical methods. The results indicate that DRL with vision-only sensing can provide reliable obstacle avoidance for low-cost mobile platforms without requiring dense mapping or localization.</w:t>
      </w:r>
    </w:p>
    <w:p>
      <w:pPr>
        <w:spacing w:before="40" w:after="240"/>
        <w:jc w:val="both"/>
      </w:pPr>
      <w:r>
        <w:rPr>
          <w:rFonts w:ascii="Times New Roman" w:hAnsi="Times New Roman"/>
          <w:b/>
          <w:i/>
          <w:sz w:val="18"/>
        </w:rPr>
        <w:t>Keywords—</w:t>
      </w:r>
      <w:r>
        <w:rPr>
          <w:rFonts w:ascii="Times New Roman" w:hAnsi="Times New Roman"/>
          <w:i/>
          <w:sz w:val="18"/>
        </w:rPr>
        <w:t>deep reinforcement learning, obstacle avoidance, mobile robots, vision-based navigation, real-time, actor-critic, convolutional neural networks</w:t>
      </w:r>
    </w:p>
    <w:p>
      <w:pPr>
        <w:spacing w:before="240" w:after="120"/>
        <w:jc w:val="center"/>
      </w:pPr>
      <w:r>
        <w:rPr>
          <w:rFonts w:ascii="Times New Roman" w:hAnsi="Times New Roman"/>
          <w:b/>
          <w:sz w:val="20"/>
        </w:rPr>
        <w:t>I. INTRODUCTION</w:t>
      </w:r>
    </w:p>
    <w:p>
      <w:pPr>
        <w:spacing w:before="120" w:after="60"/>
        <w:jc w:val="left"/>
      </w:pPr>
      <w:r>
        <w:rPr>
          <w:rFonts w:ascii="Times New Roman" w:hAnsi="Times New Roman"/>
          <w:b/>
          <w:i/>
          <w:sz w:val="20"/>
        </w:rPr>
        <w:t>A. Motivation</w:t>
      </w:r>
    </w:p>
    <w:p>
      <w:pPr>
        <w:spacing w:before="0" w:after="40"/>
        <w:ind w:firstLine="360"/>
        <w:jc w:val="both"/>
      </w:pPr>
      <w:r>
        <w:rPr>
          <w:rFonts w:ascii="Times New Roman" w:hAnsi="Times New Roman"/>
          <w:sz w:val="20"/>
        </w:rPr>
        <w:t>Autonomous mobile robots require robust and efficient obstacle avoidance to operate safely in dynamic, unstructured environments. Traditional approaches often rely on range sensors (e.g., LiDAR, sonar) and mapping for collision avoidance, which can be expensive or fail in cluttered or textureless scenes. Vision-based methods offer a rich, low-cost sensing modality but present challenges due to high-dimensional input and perception-to-action coupling. Recent advances in deep reinforcement learning (DRL) provide a framework to learn complex control policies from raw sensory data, enabling end-to-end perception and control without explicit mapping.</w:t>
      </w:r>
    </w:p>
    <w:p>
      <w:pPr>
        <w:spacing w:before="120" w:after="60"/>
        <w:jc w:val="left"/>
      </w:pPr>
      <w:r>
        <w:rPr>
          <w:rFonts w:ascii="Times New Roman" w:hAnsi="Times New Roman"/>
          <w:b/>
          <w:i/>
          <w:sz w:val="20"/>
        </w:rPr>
        <w:t>B. Contributions</w:t>
      </w:r>
    </w:p>
    <w:p>
      <w:pPr>
        <w:spacing w:before="0" w:after="40"/>
        <w:ind w:firstLine="360"/>
        <w:jc w:val="both"/>
      </w:pPr>
      <w:r>
        <w:rPr>
          <w:rFonts w:ascii="Times New Roman" w:hAnsi="Times New Roman"/>
          <w:sz w:val="20"/>
        </w:rPr>
        <w:t xml:space="preserve">This work makes three main contributions: (1) formulation of vision-based obstacle avoidance as an MDP suitable for continuous control; (2) a lightweight CNN + actor-critic architecture tailored for embedded real-time deployment; and (3) comprehensive evaluation in simulation and hardware showing improved success rates and real-time performance (control loop latency </w:t>
      </w:r>
      <w:r>
        <w:rPr>
          <w:rFonts w:ascii="Times New Roman" w:hAnsi="Times New Roman"/>
          <w:i/>
          <w:sz w:val="20"/>
        </w:rPr>
        <w:t>&lt;100</w:t>
      </w:r>
      <w:r>
        <w:rPr>
          <w:rFonts w:ascii="Times New Roman" w:hAnsi="Times New Roman"/>
          <w:sz w:val="20"/>
        </w:rPr>
        <w:t xml:space="preserve"> ms) compared to baselines. The proposed system is designed to be deployable on low-cost platforms with monocular cameras and commodity GPUs.</w:t>
      </w:r>
    </w:p>
    <w:p>
      <w:pPr>
        <w:spacing w:before="240" w:after="120"/>
        <w:jc w:val="center"/>
      </w:pPr>
      <w:r>
        <w:rPr>
          <w:rFonts w:ascii="Times New Roman" w:hAnsi="Times New Roman"/>
          <w:b/>
          <w:sz w:val="20"/>
        </w:rPr>
        <w:t>II. RELATED WORK</w:t>
      </w:r>
    </w:p>
    <w:p>
      <w:pPr>
        <w:spacing w:before="120" w:after="60"/>
        <w:jc w:val="left"/>
      </w:pPr>
      <w:r>
        <w:rPr>
          <w:rFonts w:ascii="Times New Roman" w:hAnsi="Times New Roman"/>
          <w:b/>
          <w:i/>
          <w:sz w:val="20"/>
        </w:rPr>
        <w:t>A. Vision-Based Obstacle Avoidance</w:t>
      </w:r>
    </w:p>
    <w:p>
      <w:pPr>
        <w:spacing w:before="0" w:after="40"/>
        <w:ind w:firstLine="360"/>
        <w:jc w:val="both"/>
      </w:pPr>
      <w:r>
        <w:rPr>
          <w:rFonts w:ascii="Times New Roman" w:hAnsi="Times New Roman"/>
          <w:sz w:val="20"/>
        </w:rPr>
        <w:t>Vision-based obstacle avoidance has a long history, ranging from reactive optical-flow methods to learning-based perception systems. Early works exploited geometric cues or handcrafted features to infer collision risk. More recently, CNNs have been used to extract robust visual representations for navigation tasks. Giusti et al. demonstrated trail following using CNNs and domain-specific datasets. End-to-end vision-to-control approaches have been explored for both ground robots and UAVs.</w:t>
      </w:r>
    </w:p>
    <w:p>
      <w:pPr>
        <w:spacing w:before="120" w:after="60"/>
        <w:jc w:val="left"/>
      </w:pPr>
      <w:r>
        <w:rPr>
          <w:rFonts w:ascii="Times New Roman" w:hAnsi="Times New Roman"/>
          <w:b/>
          <w:i/>
          <w:sz w:val="20"/>
        </w:rPr>
        <w:t>B. Deep Reinforcement Learning for Robotics</w:t>
      </w:r>
    </w:p>
    <w:p>
      <w:pPr>
        <w:spacing w:before="0" w:after="40"/>
        <w:ind w:firstLine="360"/>
        <w:jc w:val="both"/>
      </w:pPr>
      <w:r>
        <w:rPr>
          <w:rFonts w:ascii="Times New Roman" w:hAnsi="Times New Roman"/>
          <w:sz w:val="20"/>
        </w:rPr>
        <w:t>DRL has achieved remarkable results in games and simulation. Mnih et al. introduced DQN for discrete control, while later work extended DRL to continuous control (e.g., DDPG, actor-critic methods). In robotics, DRL methods have been applied to manipulation and locomotion, as well as mapless navigation and obstacle avoidance. Virtual-to-real transfer and domain randomization have been used to bridge the sim-to-real gap for vision-based policies.</w:t>
      </w:r>
    </w:p>
    <w:p>
      <w:pPr>
        <w:spacing w:before="240" w:after="120"/>
        <w:jc w:val="center"/>
      </w:pPr>
      <w:r>
        <w:rPr>
          <w:rFonts w:ascii="Times New Roman" w:hAnsi="Times New Roman"/>
          <w:b/>
          <w:sz w:val="20"/>
        </w:rPr>
        <w:t>III. METHODOLOGY</w:t>
      </w:r>
    </w:p>
    <w:p>
      <w:pPr>
        <w:spacing w:before="120" w:after="60"/>
        <w:jc w:val="left"/>
      </w:pPr>
      <w:r>
        <w:rPr>
          <w:rFonts w:ascii="Times New Roman" w:hAnsi="Times New Roman"/>
          <w:b/>
          <w:i/>
          <w:sz w:val="20"/>
        </w:rPr>
        <w:t>A. Problem Formulation</w:t>
      </w:r>
    </w:p>
    <w:p>
      <w:pPr>
        <w:spacing w:before="0" w:after="40"/>
        <w:ind w:firstLine="360"/>
        <w:jc w:val="both"/>
      </w:pPr>
      <w:r>
        <w:rPr>
          <w:rFonts w:ascii="Times New Roman" w:hAnsi="Times New Roman"/>
          <w:sz w:val="20"/>
        </w:rPr>
        <w:t xml:space="preserve">We model obstacle avoidance as an MDP defined by tuple </w:t>
      </w:r>
      <w:r>
        <w:rPr>
          <w:rFonts w:ascii="Times New Roman" w:hAnsi="Times New Roman"/>
          <w:i/>
          <w:sz w:val="20"/>
        </w:rPr>
        <w:t>(\mathcal{S},\mathcal{A},P,R,\gamma)</w:t>
      </w:r>
      <w:r>
        <w:rPr>
          <w:rFonts w:ascii="Times New Roman" w:hAnsi="Times New Roman"/>
          <w:sz w:val="20"/>
        </w:rPr>
        <w:t xml:space="preserve">. At each time step </w:t>
      </w:r>
      <w:r>
        <w:rPr>
          <w:rFonts w:ascii="Times New Roman" w:hAnsi="Times New Roman"/>
          <w:i/>
          <w:sz w:val="20"/>
        </w:rPr>
        <w:t>t</w:t>
      </w:r>
      <w:r>
        <w:rPr>
          <w:rFonts w:ascii="Times New Roman" w:hAnsi="Times New Roman"/>
          <w:sz w:val="20"/>
        </w:rPr>
        <w:t xml:space="preserve">, the agent observes </w:t>
      </w:r>
      <w:r>
        <w:rPr>
          <w:rFonts w:ascii="Times New Roman" w:hAnsi="Times New Roman"/>
          <w:i/>
          <w:sz w:val="20"/>
        </w:rPr>
        <w:t>s_t</w:t>
      </w:r>
      <w:r>
        <w:rPr>
          <w:rFonts w:ascii="Times New Roman" w:hAnsi="Times New Roman"/>
          <w:sz w:val="20"/>
        </w:rPr>
        <w:t xml:space="preserve"> (monocular image and optional low-rate proprioceptive signals) and selects a continuous action </w:t>
      </w:r>
      <w:r>
        <w:rPr>
          <w:rFonts w:ascii="Times New Roman" w:hAnsi="Times New Roman"/>
          <w:i/>
          <w:sz w:val="20"/>
        </w:rPr>
        <w:t>a_t</w:t>
      </w:r>
      <w:r>
        <w:rPr>
          <w:rFonts w:ascii="Times New Roman" w:hAnsi="Times New Roman"/>
          <w:sz w:val="20"/>
        </w:rPr>
        <w:t xml:space="preserve"> (linear and angular velocity) according to policy </w:t>
      </w:r>
      <w:r>
        <w:rPr>
          <w:rFonts w:ascii="Times New Roman" w:hAnsi="Times New Roman"/>
          <w:i/>
          <w:sz w:val="20"/>
        </w:rPr>
        <w:t>\pi_\theta(a_t|s_t)</w:t>
      </w:r>
      <w:r>
        <w:rPr>
          <w:rFonts w:ascii="Times New Roman" w:hAnsi="Times New Roman"/>
          <w:sz w:val="20"/>
        </w:rPr>
        <w:t xml:space="preserve">. The environment returns reward </w:t>
      </w:r>
      <w:r>
        <w:rPr>
          <w:rFonts w:ascii="Times New Roman" w:hAnsi="Times New Roman"/>
          <w:i/>
          <w:sz w:val="20"/>
        </w:rPr>
        <w:t>r_t</w:t>
      </w:r>
      <w:r>
        <w:rPr>
          <w:rFonts w:ascii="Times New Roman" w:hAnsi="Times New Roman"/>
          <w:sz w:val="20"/>
        </w:rPr>
        <w:t xml:space="preserve"> and next state </w:t>
      </w:r>
      <w:r>
        <w:rPr>
          <w:rFonts w:ascii="Times New Roman" w:hAnsi="Times New Roman"/>
          <w:i/>
          <w:sz w:val="20"/>
        </w:rPr>
        <w:t>s_{t+1}</w:t>
      </w:r>
      <w:r>
        <w:rPr>
          <w:rFonts w:ascii="Times New Roman" w:hAnsi="Times New Roman"/>
          <w:sz w:val="20"/>
        </w:rPr>
        <w:t xml:space="preserve">. The objective is to maximize the expected discounted return </w:t>
      </w:r>
      <w:r>
        <w:rPr>
          <w:rFonts w:ascii="Times New Roman" w:hAnsi="Times New Roman"/>
          <w:i/>
          <w:sz w:val="20"/>
        </w:rPr>
        <w:t>\mathbb{E}\left[\sum_{t=0}^{\infty} \gamma^t r_t\right]</w:t>
      </w:r>
      <w:r>
        <w:rPr>
          <w:rFonts w:ascii="Times New Roman" w:hAnsi="Times New Roman"/>
          <w:sz w:val="20"/>
        </w:rPr>
        <w:t xml:space="preserve">. We design a shaped reward combining progress toward the goal, collision penalties, and smoothness regularization: </w:t>
      </w:r>
      <w:r>
        <w:rPr>
          <w:rFonts w:ascii="Times New Roman" w:hAnsi="Times New Roman"/>
          <w:i/>
          <w:sz w:val="20"/>
        </w:rPr>
        <w:t>r_t = w_p r_{prog} + w_c r_{col} + w_s r_{smooth}</w:t>
      </w:r>
      <w:r>
        <w:rPr>
          <w:rFonts w:ascii="Times New Roman" w:hAnsi="Times New Roman"/>
          <w:sz w:val="20"/>
        </w:rPr>
        <w:t>.</w:t>
      </w:r>
    </w:p>
    <w:p>
      <w:pPr>
        <w:spacing w:before="120" w:after="60"/>
        <w:jc w:val="left"/>
      </w:pPr>
      <w:r>
        <w:rPr>
          <w:rFonts w:ascii="Times New Roman" w:hAnsi="Times New Roman"/>
          <w:b/>
          <w:i/>
          <w:sz w:val="20"/>
        </w:rPr>
        <w:t>B. Network Architecture</w:t>
      </w:r>
    </w:p>
    <w:p>
      <w:pPr>
        <w:spacing w:before="0" w:after="40"/>
        <w:ind w:firstLine="360"/>
        <w:jc w:val="both"/>
      </w:pPr>
      <w:r>
        <w:rPr>
          <w:rFonts w:ascii="Times New Roman" w:hAnsi="Times New Roman"/>
          <w:sz w:val="20"/>
        </w:rPr>
        <w:t xml:space="preserve">The perception module is a compact CNN that maps an RGB image of size </w:t>
      </w:r>
      <w:r>
        <w:rPr>
          <w:rFonts w:ascii="Times New Roman" w:hAnsi="Times New Roman"/>
          <w:i/>
          <w:sz w:val="20"/>
        </w:rPr>
        <w:t>128\times128</w:t>
      </w:r>
      <w:r>
        <w:rPr>
          <w:rFonts w:ascii="Times New Roman" w:hAnsi="Times New Roman"/>
          <w:sz w:val="20"/>
        </w:rPr>
        <w:t xml:space="preserve"> to a 256-dimensional feature vector. The actor and critic are shallow fully connected networks conditioned on the CNN features. To stabilize training we use an off-policy actor-critic algorithm with target networks and experience replay. The actor outputs mean and variance for a Gaussian policy, enabling continuous control. Network parameters are denoted by </w:t>
      </w:r>
      <w:r>
        <w:rPr>
          <w:rFonts w:ascii="Times New Roman" w:hAnsi="Times New Roman"/>
          <w:i/>
          <w:sz w:val="20"/>
        </w:rPr>
        <w:t>\theta</w:t>
      </w:r>
      <w:r>
        <w:rPr>
          <w:rFonts w:ascii="Times New Roman" w:hAnsi="Times New Roman"/>
          <w:sz w:val="20"/>
        </w:rPr>
        <w:t xml:space="preserve"> (actor) and </w:t>
      </w:r>
      <w:r>
        <w:rPr>
          <w:rFonts w:ascii="Times New Roman" w:hAnsi="Times New Roman"/>
          <w:i/>
          <w:sz w:val="20"/>
        </w:rPr>
        <w:t>\phi</w:t>
      </w:r>
      <w:r>
        <w:rPr>
          <w:rFonts w:ascii="Times New Roman" w:hAnsi="Times New Roman"/>
          <w:sz w:val="20"/>
        </w:rPr>
        <w:t xml:space="preserve"> (critic).</w:t>
      </w:r>
    </w:p>
    <w:p>
      <w:pPr>
        <w:spacing w:before="120" w:after="60"/>
        <w:jc w:val="left"/>
      </w:pPr>
      <w:r>
        <w:rPr>
          <w:rFonts w:ascii="Times New Roman" w:hAnsi="Times New Roman"/>
          <w:b/>
          <w:i/>
          <w:sz w:val="20"/>
        </w:rPr>
        <w:t>C. Learning Objective and Real-Time Constraints</w:t>
      </w:r>
    </w:p>
    <w:p>
      <w:pPr>
        <w:spacing w:before="0" w:after="40"/>
        <w:ind w:firstLine="360"/>
        <w:jc w:val="both"/>
      </w:pPr>
      <w:r>
        <w:rPr>
          <w:rFonts w:ascii="Times New Roman" w:hAnsi="Times New Roman"/>
          <w:sz w:val="20"/>
        </w:rPr>
        <w:t xml:space="preserve">We minimize the critic loss using temporal-difference error with target </w:t>
      </w:r>
      <w:r>
        <w:rPr>
          <w:rFonts w:ascii="Times New Roman" w:hAnsi="Times New Roman"/>
          <w:i/>
          <w:sz w:val="20"/>
        </w:rPr>
        <w:t>y_t</w:t>
      </w:r>
      <w:r>
        <w:rPr>
          <w:rFonts w:ascii="Times New Roman" w:hAnsi="Times New Roman"/>
          <w:sz w:val="20"/>
        </w:rPr>
        <w:t>:</w:t>
        <w:br/>
        <w:t>$</w:t>
      </w:r>
      <w:r>
        <w:rPr>
          <w:rFonts w:ascii="Times New Roman" w:hAnsi="Times New Roman"/>
          <w:i/>
          <w:sz w:val="20"/>
        </w:rPr>
        <w:br/>
        <w:t>y_t = r_t + \gamma \, Q_{\phi^-}(s_{t+1}, a'; \phi^-)|_{a'=\pi_{\theta^-}(s_{t+1})},</w:t>
        <w:br/>
      </w:r>
      <w:r>
        <w:rPr>
          <w:rFonts w:ascii="Times New Roman" w:hAnsi="Times New Roman"/>
          <w:i/>
          <w:sz w:val="20"/>
        </w:rPr>
        <w:br/>
        <w:t xml:space="preserve">and update the critic by minimizing </w:t>
      </w:r>
      <w:r>
        <w:rPr>
          <w:rFonts w:ascii="Times New Roman" w:hAnsi="Times New Roman"/>
          <w:sz w:val="20"/>
        </w:rPr>
        <w:t>\mathcal{L}(\phi)=\mathbb{E}[(Q_\phi(s_t,a_t)-y_t)^2]</w:t>
      </w:r>
      <w:r>
        <w:rPr>
          <w:rFonts w:ascii="Times New Roman" w:hAnsi="Times New Roman"/>
          <w:i/>
          <w:sz w:val="20"/>
        </w:rPr>
        <w:t xml:space="preserve">. The actor is updated via policy gradient using the critic estimate. For real-time deployment, we prune redundant filters and quantize activations where accuracy permits, yielding inference latency under </w:t>
      </w:r>
      <w:r>
        <w:rPr>
          <w:rFonts w:ascii="Times New Roman" w:hAnsi="Times New Roman"/>
          <w:sz w:val="20"/>
        </w:rPr>
        <w:t>100$ ms on embedded GPUs. We also implement a safety layer that overrides actions if a fast geometric collision check (short-range depth from stereo or ultrasonic backup) predicts imminent collision.</w:t>
      </w:r>
    </w:p>
    <w:p>
      <w:pPr>
        <w:spacing w:before="240" w:after="120"/>
        <w:jc w:val="center"/>
      </w:pPr>
      <w:r>
        <w:rPr>
          <w:rFonts w:ascii="Times New Roman" w:hAnsi="Times New Roman"/>
          <w:b/>
          <w:sz w:val="20"/>
        </w:rPr>
        <w:t>IV. EXPERIMENTS AND RESULTS</w:t>
      </w:r>
    </w:p>
    <w:p>
      <w:pPr>
        <w:spacing w:before="120" w:after="60"/>
        <w:jc w:val="left"/>
      </w:pPr>
      <w:r>
        <w:rPr>
          <w:rFonts w:ascii="Times New Roman" w:hAnsi="Times New Roman"/>
          <w:b/>
          <w:i/>
          <w:sz w:val="20"/>
        </w:rPr>
        <w:t>A. Experimental Setup</w:t>
      </w:r>
    </w:p>
    <w:p>
      <w:pPr>
        <w:spacing w:before="0" w:after="40"/>
        <w:ind w:firstLine="360"/>
        <w:jc w:val="both"/>
      </w:pPr>
      <w:r>
        <w:rPr>
          <w:rFonts w:ascii="Times New Roman" w:hAnsi="Times New Roman"/>
          <w:sz w:val="20"/>
        </w:rPr>
        <w:t>We evaluate in two domains: a simulated indoor environment with dynamic obstacles and a real-world office-like arena using a differential-drive robot equipped with a monocular camera and an NVIDIA Jetson-class compute module. Training was performed in simulation with domain randomization and transferred to the robot without fine-tuning. Baselines include a reactive optical-flow controller and a classical potential-field method.</w:t>
      </w:r>
    </w:p>
    <w:p>
      <w:pPr>
        <w:spacing w:before="120" w:after="60"/>
        <w:jc w:val="left"/>
      </w:pPr>
      <w:r>
        <w:rPr>
          <w:rFonts w:ascii="Times New Roman" w:hAnsi="Times New Roman"/>
          <w:b/>
          <w:i/>
          <w:sz w:val="20"/>
        </w:rPr>
        <w:t>B. Evaluation Metrics</w:t>
      </w:r>
    </w:p>
    <w:p>
      <w:pPr>
        <w:spacing w:before="0" w:after="40"/>
        <w:ind w:firstLine="360"/>
        <w:jc w:val="both"/>
      </w:pPr>
      <w:r>
        <w:rPr>
          <w:rFonts w:ascii="Times New Roman" w:hAnsi="Times New Roman"/>
          <w:sz w:val="20"/>
        </w:rPr>
        <w:t>Metrics include success rate (reaching goal without collision), collision rate, time-to-goal, and control loop latency. Robustness is assessed under lighting variations and the presence of dynamic obstacles.</w:t>
      </w:r>
    </w:p>
    <w:p>
      <w:pPr>
        <w:spacing w:before="120" w:after="60"/>
        <w:jc w:val="left"/>
      </w:pPr>
      <w:r>
        <w:rPr>
          <w:rFonts w:ascii="Times New Roman" w:hAnsi="Times New Roman"/>
          <w:b/>
          <w:i/>
          <w:sz w:val="20"/>
        </w:rPr>
        <w:t>C. Results and Discussion</w:t>
      </w:r>
    </w:p>
    <w:p>
      <w:pPr>
        <w:spacing w:before="0" w:after="40"/>
        <w:ind w:firstLine="360"/>
        <w:jc w:val="both"/>
      </w:pPr>
      <w:r>
        <w:rPr>
          <w:rFonts w:ascii="Times New Roman" w:hAnsi="Times New Roman"/>
          <w:sz w:val="20"/>
        </w:rPr>
        <w:t>In simulation, the proposed DRL method achieved a success rate of 92% compared to 71% for reactive optical-flow and 78% for potential-field baselines. On hardware, after sim-to-real transfer, success rate was 86% with mean time-to-goal within 1.15x of simulation. The optimized network achieved an average inference time of 68 ms per frame, satisfying the real-time constraint. Ablation studies show that the safety layer reduces collision rate by 57% in unexpected obstacle emergences, and domain randomization improved zero-shot transfer performance. Limitations include occasional failure in extreme lighting or reflective surfaces; future work will investigate self-supervised adaptation on-board.</w:t>
      </w:r>
    </w:p>
    <w:p>
      <w:pPr>
        <w:spacing w:before="240" w:after="120"/>
        <w:jc w:val="center"/>
      </w:pPr>
      <w:r>
        <w:rPr>
          <w:rFonts w:ascii="Times New Roman" w:hAnsi="Times New Roman"/>
          <w:b/>
          <w:sz w:val="20"/>
        </w:rPr>
        <w:t>V. CONCLUSION</w:t>
      </w:r>
    </w:p>
    <w:p>
      <w:pPr>
        <w:spacing w:before="120" w:after="60"/>
        <w:jc w:val="left"/>
      </w:pPr>
      <w:r>
        <w:rPr>
          <w:rFonts w:ascii="Times New Roman" w:hAnsi="Times New Roman"/>
          <w:b/>
          <w:i/>
          <w:sz w:val="20"/>
        </w:rPr>
      </w:r>
    </w:p>
    <w:p>
      <w:pPr>
        <w:spacing w:before="0" w:after="40"/>
        <w:ind w:firstLine="360"/>
        <w:jc w:val="both"/>
      </w:pPr>
      <w:r>
        <w:rPr>
          <w:rFonts w:ascii="Times New Roman" w:hAnsi="Times New Roman"/>
          <w:sz w:val="20"/>
        </w:rPr>
        <w:t>We presented a vision-based real-time obstacle avoidance system for mobile robots using DRL. The approach enables end-to-end learning from monocular images to continuous control, and is optimized for embedded deployment with sub-100 ms latency. Experiments in simulation and on a physical robot demonstrate strong performance and robustness relative to classical baselines. Future directions include multi-sensor fusion, multi-agent avoidance, and online adaptation to novel environments.</w:t>
      </w:r>
    </w:p>
    <w:p>
      <w:pPr>
        <w:spacing w:before="240" w:after="120"/>
        <w:jc w:val="center"/>
      </w:pPr>
      <w:r>
        <w:rPr>
          <w:rFonts w:ascii="Times New Roman" w:hAnsi="Times New Roman"/>
          <w:b/>
          <w:sz w:val="20"/>
        </w:rPr>
        <w:t>REFERENCES</w:t>
      </w:r>
    </w:p>
    <w:p>
      <w:pPr>
        <w:spacing w:before="0" w:after="20"/>
        <w:ind w:left="360" w:hanging="360"/>
        <w:jc w:val="both"/>
      </w:pPr>
      <w:r>
        <w:rPr>
          <w:rFonts w:ascii="Times New Roman" w:hAnsi="Times New Roman"/>
          <w:sz w:val="16"/>
        </w:rPr>
        <w:t>[1]</w:t>
      </w:r>
      <w:r>
        <w:tab/>
      </w:r>
      <w:r>
        <w:rPr>
          <w:rFonts w:ascii="Times New Roman" w:hAnsi="Times New Roman"/>
          <w:sz w:val="16"/>
        </w:rPr>
        <w:t>R. S. Sutton and A. G. Barto, "Reinforcement Learning: An Introduction," 2nd ed., MIT Press, 2018.</w:t>
      </w:r>
    </w:p>
    <w:p>
      <w:pPr>
        <w:spacing w:before="0" w:after="20"/>
        <w:ind w:left="360" w:hanging="360"/>
        <w:jc w:val="both"/>
      </w:pPr>
      <w:r>
        <w:rPr>
          <w:rFonts w:ascii="Times New Roman" w:hAnsi="Times New Roman"/>
          <w:sz w:val="16"/>
        </w:rPr>
        <w:t>[2]</w:t>
      </w:r>
      <w:r>
        <w:tab/>
      </w:r>
      <w:r>
        <w:rPr>
          <w:rFonts w:ascii="Times New Roman" w:hAnsi="Times New Roman"/>
          <w:sz w:val="16"/>
        </w:rPr>
        <w:t>V. Mnih et al., "Human-level control through deep reinforcement learning," Nature, vol. 518, no. 7540, pp. 529--533, Feb. 2015.</w:t>
      </w:r>
    </w:p>
    <w:p>
      <w:pPr>
        <w:spacing w:before="0" w:after="20"/>
        <w:ind w:left="360" w:hanging="360"/>
        <w:jc w:val="both"/>
      </w:pPr>
      <w:r>
        <w:rPr>
          <w:rFonts w:ascii="Times New Roman" w:hAnsi="Times New Roman"/>
          <w:sz w:val="16"/>
        </w:rPr>
        <w:t>[3]</w:t>
      </w:r>
      <w:r>
        <w:tab/>
      </w:r>
      <w:r>
        <w:rPr>
          <w:rFonts w:ascii="Times New Roman" w:hAnsi="Times New Roman"/>
          <w:sz w:val="16"/>
        </w:rPr>
        <w:t>T. P. Lillicrap, J. J. Hunt, A. Pritzel, N. Heess, T. Erez, Y. Tassa, D. Silver, and D. Wierstra, "Continuous control with deep reinforcement learning," in Proc. Int. Conf. Learning Representations (ICLR), 2016.</w:t>
      </w:r>
    </w:p>
    <w:p>
      <w:pPr>
        <w:spacing w:before="0" w:after="20"/>
        <w:ind w:left="360" w:hanging="360"/>
        <w:jc w:val="both"/>
      </w:pPr>
      <w:r>
        <w:rPr>
          <w:rFonts w:ascii="Times New Roman" w:hAnsi="Times New Roman"/>
          <w:sz w:val="16"/>
        </w:rPr>
        <w:t>[4]</w:t>
      </w:r>
      <w:r>
        <w:tab/>
      </w:r>
      <w:r>
        <w:rPr>
          <w:rFonts w:ascii="Times New Roman" w:hAnsi="Times New Roman"/>
          <w:sz w:val="16"/>
        </w:rPr>
        <w:t>R. Mur-Artal and J. D. Tardos, "ORB-SLAM2: an open-source SLAM system for monocular, stereo and RGB-D cameras," IEEE Trans. Robotics, vol. 33, no. 5, pp. 1255--1262, Oct. 2017.</w:t>
      </w:r>
    </w:p>
    <w:p>
      <w:pPr>
        <w:spacing w:before="0" w:after="20"/>
        <w:ind w:left="360" w:hanging="360"/>
        <w:jc w:val="both"/>
      </w:pPr>
      <w:r>
        <w:rPr>
          <w:rFonts w:ascii="Times New Roman" w:hAnsi="Times New Roman"/>
          <w:sz w:val="16"/>
        </w:rPr>
        <w:t>[5]</w:t>
      </w:r>
      <w:r>
        <w:tab/>
      </w:r>
      <w:r>
        <w:rPr>
          <w:rFonts w:ascii="Times New Roman" w:hAnsi="Times New Roman"/>
          <w:sz w:val="16"/>
        </w:rPr>
        <w:t>A. Giusti, J. Guzzi, D. C. Ciresan, F. He, J. P. Rodr\u00edguez, F. Fontana, M. Faessler, C. Forster, J. Schmidhuber, G. Di Caro, D. Scaramuzza and L. M. Gambardella, "A machine learning approach to visual perception of forest trails for mobile robots," IEEE Robotics and Automation Letters, vol. 1, no. 2, pp. 661--667, 2016.</w:t>
      </w:r>
    </w:p>
    <w:p>
      <w:pPr>
        <w:spacing w:before="0" w:after="20"/>
        <w:ind w:left="360" w:hanging="360"/>
        <w:jc w:val="both"/>
      </w:pPr>
      <w:r>
        <w:rPr>
          <w:rFonts w:ascii="Times New Roman" w:hAnsi="Times New Roman"/>
          <w:sz w:val="16"/>
        </w:rPr>
        <w:t>[6]</w:t>
      </w:r>
      <w:r>
        <w:tab/>
      </w:r>
      <w:r>
        <w:rPr>
          <w:rFonts w:ascii="Times New Roman" w:hAnsi="Times New Roman"/>
          <w:sz w:val="16"/>
        </w:rPr>
        <w:t>E. Sadeghi and S. Levine, "CAD2RL: Real single-image flight control using simulated environments," in Proc. Robotics: Science and Systems (RSS), 2017.</w:t>
      </w:r>
    </w:p>
    <w:p>
      <w:pPr>
        <w:spacing w:before="0" w:after="20"/>
        <w:ind w:left="360" w:hanging="360"/>
        <w:jc w:val="both"/>
      </w:pPr>
      <w:r>
        <w:rPr>
          <w:rFonts w:ascii="Times New Roman" w:hAnsi="Times New Roman"/>
          <w:sz w:val="16"/>
        </w:rPr>
        <w:t>[7]</w:t>
      </w:r>
      <w:r>
        <w:tab/>
      </w:r>
      <w:r>
        <w:rPr>
          <w:rFonts w:ascii="Times New Roman" w:hAnsi="Times New Roman"/>
          <w:sz w:val="16"/>
        </w:rPr>
        <w:t>L. Tai, G. Paolo and M. Liu, "Virtual-to-real deep reinforcement learning: Continuous control of mobile robots for mapless navigation," in Proc. IEEE/RSJ Int. Conf. Intelligent Robots and Systems (IROS), 2017.</w:t>
      </w:r>
    </w:p>
    <w:p>
      <w:pPr>
        <w:spacing w:before="0" w:after="20"/>
        <w:ind w:left="360" w:hanging="360"/>
        <w:jc w:val="both"/>
      </w:pPr>
      <w:r>
        <w:rPr>
          <w:rFonts w:ascii="Times New Roman" w:hAnsi="Times New Roman"/>
          <w:sz w:val="16"/>
        </w:rPr>
        <w:t>[8]</w:t>
      </w:r>
      <w:r>
        <w:tab/>
      </w:r>
      <w:r>
        <w:rPr>
          <w:rFonts w:ascii="Times New Roman" w:hAnsi="Times New Roman"/>
          <w:sz w:val="16"/>
        </w:rPr>
        <w:t>S. Ross, G. Gordon, and J. A. Bagnell, "A reduction of imitation learning and structured prediction to no-regret online learning," in Proc. 14th Int. Conf. Artificial Intelligence and Statistics (AISTATS), 2011.</w:t>
      </w:r>
    </w:p>
    <w:p>
      <w:pPr>
        <w:spacing w:before="0" w:after="20"/>
        <w:ind w:left="360" w:hanging="360"/>
        <w:jc w:val="both"/>
      </w:pPr>
      <w:r>
        <w:rPr>
          <w:rFonts w:ascii="Times New Roman" w:hAnsi="Times New Roman"/>
          <w:sz w:val="16"/>
        </w:rPr>
        <w:t>[9]</w:t>
      </w:r>
      <w:r>
        <w:tab/>
      </w:r>
      <w:r>
        <w:rPr>
          <w:rFonts w:ascii="Times New Roman" w:hAnsi="Times New Roman"/>
          <w:sz w:val="16"/>
        </w:rPr>
        <w:t>J. Redmon, S. Divvala, R. Girshick, and A. Farhadi, "You only look once: Unified, real-time object detection," in Proc. IEEE Conf. Computer Vision and Pattern Recognition (CVPR), 2016.</w:t>
      </w:r>
    </w:p>
    <w:p>
      <w:pPr>
        <w:spacing w:before="0" w:after="20"/>
        <w:ind w:left="360" w:hanging="360"/>
        <w:jc w:val="both"/>
      </w:pPr>
      <w:r>
        <w:rPr>
          <w:rFonts w:ascii="Times New Roman" w:hAnsi="Times New Roman"/>
          <w:sz w:val="16"/>
        </w:rPr>
        <w:t>[10]</w:t>
      </w:r>
      <w:r>
        <w:tab/>
      </w:r>
      <w:r>
        <w:rPr>
          <w:rFonts w:ascii="Times New Roman" w:hAnsi="Times New Roman"/>
          <w:sz w:val="16"/>
        </w:rPr>
        <w:t>J. Kober, J. A. Bagnell, and J. Peters, "Reinforcement learning in robotics: A survey," Int. J. Robotics Research, vol. 32, no. 11, pp. 1238--1274, Sep. 2013.</w:t>
      </w:r>
    </w:p>
    <w:sectPr w:rsidR="00FC693F" w:rsidRPr="0006063C" w:rsidSect="00034616">
      <w:pgSz w:w="12240" w:h="15840"/>
      <w:pgMar w:top="1080" w:right="900" w:bottom="1440" w:left="900" w:header="720" w:footer="720" w:gutter="0"/>
      <w:cols w:space="720"/>
      <w:docGrid w:linePitch="360"/>
      <w:cols w:num="2"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