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spacing w:after="0" w:before="0" w:line="240" w:lineRule="auto"/>
        <w:jc w:val="both"/>
        <w:rPr>
          <w:rFonts w:ascii="Cambria" w:cs="Cambria" w:eastAsia="Cambria" w:hAnsi="Cambria"/>
          <w:b w:val="1"/>
          <w:sz w:val="32"/>
          <w:szCs w:val="32"/>
        </w:rPr>
      </w:pPr>
      <w:r w:rsidDel="00000000" w:rsidR="00000000" w:rsidRPr="00000000">
        <w:rPr>
          <w:rFonts w:ascii="Cambria" w:cs="Cambria" w:eastAsia="Cambria" w:hAnsi="Cambria"/>
          <w:b w:val="1"/>
          <w:sz w:val="32"/>
          <w:szCs w:val="32"/>
          <w:rtl w:val="0"/>
        </w:rPr>
        <w:t xml:space="preserve">Article Title is written in Cambria Font, 16 pt, and Centered. The title should be no more than 15 words.</w:t>
      </w:r>
    </w:p>
    <w:p w:rsidR="00000000" w:rsidDel="00000000" w:rsidP="00000000" w:rsidRDefault="00000000" w:rsidRPr="00000000" w14:paraId="00000002">
      <w:pPr>
        <w:pStyle w:val="Heading1"/>
        <w:spacing w:after="0" w:lineRule="auto"/>
        <w:jc w:val="center"/>
        <w:rPr>
          <w:rFonts w:ascii="Book Antiqua" w:cs="Book Antiqua" w:eastAsia="Book Antiqua" w:hAnsi="Book Antiqua"/>
          <w:sz w:val="24"/>
          <w:szCs w:val="24"/>
          <w:vertAlign w:val="superscript"/>
        </w:rPr>
      </w:pPr>
      <w:r w:rsidDel="00000000" w:rsidR="00000000" w:rsidRPr="00000000">
        <w:rPr>
          <w:rFonts w:ascii="Book Antiqua" w:cs="Book Antiqua" w:eastAsia="Book Antiqua" w:hAnsi="Book Antiqua"/>
          <w:sz w:val="24"/>
          <w:szCs w:val="24"/>
          <w:rtl w:val="0"/>
        </w:rPr>
        <w:t xml:space="preserve">Muh Ali Masnun</w:t>
      </w:r>
      <w:r w:rsidDel="00000000" w:rsidR="00000000" w:rsidRPr="00000000">
        <w:rPr>
          <w:rFonts w:ascii="Book Antiqua" w:cs="Book Antiqua" w:eastAsia="Book Antiqua" w:hAnsi="Book Antiqua"/>
          <w:sz w:val="24"/>
          <w:szCs w:val="24"/>
          <w:vertAlign w:val="superscript"/>
          <w:rtl w:val="0"/>
        </w:rPr>
        <w:t xml:space="preserve">1</w:t>
      </w:r>
      <w:r w:rsidDel="00000000" w:rsidR="00000000" w:rsidRPr="00000000">
        <w:rPr>
          <w:rFonts w:ascii="Book Antiqua" w:cs="Book Antiqua" w:eastAsia="Book Antiqua" w:hAnsi="Book Antiqua"/>
          <w:sz w:val="24"/>
          <w:szCs w:val="24"/>
          <w:rtl w:val="0"/>
        </w:rPr>
        <w:t xml:space="preserve"> dan Elisabeth Septin Puspoayu</w:t>
      </w:r>
      <w:r w:rsidDel="00000000" w:rsidR="00000000" w:rsidRPr="00000000">
        <w:rPr>
          <w:rFonts w:ascii="Book Antiqua" w:cs="Book Antiqua" w:eastAsia="Book Antiqua" w:hAnsi="Book Antiqua"/>
          <w:sz w:val="24"/>
          <w:szCs w:val="24"/>
          <w:vertAlign w:val="superscript"/>
          <w:rtl w:val="0"/>
        </w:rPr>
        <w:t xml:space="preserve">2 </w:t>
      </w:r>
    </w:p>
    <w:p w:rsidR="00000000" w:rsidDel="00000000" w:rsidP="00000000" w:rsidRDefault="00000000" w:rsidRPr="00000000" w14:paraId="00000003">
      <w:pPr>
        <w:spacing w:after="0" w:lin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author's name is written in Book Antiqua Font, 12 pt, and not accompanied by an academic degree </w:t>
      </w:r>
    </w:p>
    <w:p w:rsidR="00000000" w:rsidDel="00000000" w:rsidP="00000000" w:rsidRDefault="00000000" w:rsidRPr="00000000" w14:paraId="00000004">
      <w:pPr>
        <w:spacing w:after="0" w:line="240" w:lineRule="auto"/>
        <w:rPr>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vertAlign w:val="superscript"/>
          <w:rtl w:val="0"/>
        </w:rPr>
        <w:t xml:space="preserve">1</w:t>
      </w:r>
      <w:r w:rsidDel="00000000" w:rsidR="00000000" w:rsidRPr="00000000">
        <w:rPr>
          <w:rFonts w:ascii="Book Antiqua" w:cs="Book Antiqua" w:eastAsia="Book Antiqua" w:hAnsi="Book Antiqua"/>
          <w:sz w:val="24"/>
          <w:szCs w:val="24"/>
          <w:rtl w:val="0"/>
        </w:rPr>
        <w:t xml:space="preserve">Faculty of Law, Universitas Negeri Surabaya, Surabaya,  Indonesia, </w:t>
      </w:r>
      <w:hyperlink r:id="rId7">
        <w:r w:rsidDel="00000000" w:rsidR="00000000" w:rsidRPr="00000000">
          <w:rPr>
            <w:rFonts w:ascii="Book Antiqua" w:cs="Book Antiqua" w:eastAsia="Book Antiqua" w:hAnsi="Book Antiqua"/>
            <w:color w:val="000000"/>
            <w:sz w:val="24"/>
            <w:szCs w:val="24"/>
            <w:rtl w:val="0"/>
          </w:rPr>
          <w:t xml:space="preserve">alimasnun@unesa.ac.id</w:t>
        </w:r>
      </w:hyperlink>
      <w:r w:rsidDel="00000000" w:rsidR="00000000" w:rsidRPr="00000000">
        <w:rPr>
          <w:rFonts w:ascii="Book Antiqua" w:cs="Book Antiqua" w:eastAsia="Book Antiqua" w:hAnsi="Book Antiqua"/>
          <w:sz w:val="24"/>
          <w:szCs w:val="24"/>
          <w:rtl w:val="0"/>
        </w:rPr>
        <w:t xml:space="preserve">, https://orcid.org/0000-0001-9744-588X</w:t>
      </w:r>
    </w:p>
    <w:p w:rsidR="00000000" w:rsidDel="00000000" w:rsidP="00000000" w:rsidRDefault="00000000" w:rsidRPr="00000000" w14:paraId="00000006">
      <w:pPr>
        <w:spacing w:after="0" w:line="240" w:lineRule="auto"/>
        <w:rPr>
          <w:rFonts w:ascii="Book Antiqua" w:cs="Book Antiqua" w:eastAsia="Book Antiqua" w:hAnsi="Book Antiqua"/>
          <w:color w:val="000000"/>
          <w:sz w:val="24"/>
          <w:szCs w:val="24"/>
        </w:rPr>
      </w:pPr>
      <w:r w:rsidDel="00000000" w:rsidR="00000000" w:rsidRPr="00000000">
        <w:rPr>
          <w:rFonts w:ascii="Book Antiqua" w:cs="Book Antiqua" w:eastAsia="Book Antiqua" w:hAnsi="Book Antiqua"/>
          <w:sz w:val="24"/>
          <w:szCs w:val="24"/>
          <w:vertAlign w:val="superscript"/>
          <w:rtl w:val="0"/>
        </w:rPr>
        <w:t xml:space="preserve">2</w:t>
      </w:r>
      <w:r w:rsidDel="00000000" w:rsidR="00000000" w:rsidRPr="00000000">
        <w:rPr>
          <w:rFonts w:ascii="Book Antiqua" w:cs="Book Antiqua" w:eastAsia="Book Antiqua" w:hAnsi="Book Antiqua"/>
          <w:sz w:val="24"/>
          <w:szCs w:val="24"/>
          <w:rtl w:val="0"/>
        </w:rPr>
        <w:t xml:space="preserve">Faculty of Law, Universitas Gadjah Mada, Yogyakarta, Indonesia, </w:t>
      </w:r>
      <w:hyperlink r:id="rId8">
        <w:r w:rsidDel="00000000" w:rsidR="00000000" w:rsidRPr="00000000">
          <w:rPr>
            <w:rFonts w:ascii="Book Antiqua" w:cs="Book Antiqua" w:eastAsia="Book Antiqua" w:hAnsi="Book Antiqua"/>
            <w:color w:val="000000"/>
            <w:sz w:val="24"/>
            <w:szCs w:val="24"/>
            <w:rtl w:val="0"/>
          </w:rPr>
          <w:t xml:space="preserve">aiuelisabeth@gmail.com</w:t>
        </w:r>
      </w:hyperlink>
      <w:r w:rsidDel="00000000" w:rsidR="00000000" w:rsidRPr="00000000">
        <w:rPr>
          <w:rFonts w:ascii="Book Antiqua" w:cs="Book Antiqua" w:eastAsia="Book Antiqua" w:hAnsi="Book Antiqua"/>
          <w:sz w:val="24"/>
          <w:szCs w:val="24"/>
          <w:rtl w:val="0"/>
        </w:rPr>
        <w:t xml:space="preserve"> </w:t>
      </w:r>
      <w:r w:rsidDel="00000000" w:rsidR="00000000" w:rsidRPr="00000000">
        <w:rPr>
          <w:rFonts w:ascii="Book Antiqua" w:cs="Book Antiqua" w:eastAsia="Book Antiqua" w:hAnsi="Book Antiqua"/>
          <w:sz w:val="24"/>
          <w:szCs w:val="24"/>
          <w:vertAlign w:val="superscript"/>
          <w:rtl w:val="0"/>
        </w:rPr>
        <w:t xml:space="preserve">, </w:t>
      </w:r>
      <w:r w:rsidDel="00000000" w:rsidR="00000000" w:rsidRPr="00000000">
        <w:rPr>
          <w:rFonts w:ascii="Book Antiqua" w:cs="Book Antiqua" w:eastAsia="Book Antiqua" w:hAnsi="Book Antiqua"/>
          <w:sz w:val="24"/>
          <w:szCs w:val="24"/>
          <w:rtl w:val="0"/>
        </w:rPr>
        <w:t xml:space="preserve">https://orcid.org/0000-0001-9744-588X</w:t>
      </w:r>
      <w:r w:rsidDel="00000000" w:rsidR="00000000" w:rsidRPr="00000000">
        <w:rPr>
          <w:rtl w:val="0"/>
        </w:rPr>
      </w:r>
    </w:p>
    <w:p w:rsidR="00000000" w:rsidDel="00000000" w:rsidP="00000000" w:rsidRDefault="00000000" w:rsidRPr="00000000" w14:paraId="00000007">
      <w:pPr>
        <w:pBdr>
          <w:bottom w:color="000000" w:space="1" w:sz="12" w:val="single"/>
        </w:pBdr>
        <w:spacing w:after="0" w:line="240" w:lineRule="auto"/>
        <w:rPr>
          <w:rFonts w:ascii="Book Antiqua" w:cs="Book Antiqua" w:eastAsia="Book Antiqua" w:hAnsi="Book Antiqua"/>
          <w:i w:val="1"/>
          <w:color w:val="000000"/>
          <w:sz w:val="20"/>
          <w:szCs w:val="20"/>
        </w:rPr>
      </w:pPr>
      <w:r w:rsidDel="00000000" w:rsidR="00000000" w:rsidRPr="00000000">
        <w:rPr>
          <w:rtl w:val="0"/>
        </w:rPr>
      </w:r>
    </w:p>
    <w:p w:rsidR="00000000" w:rsidDel="00000000" w:rsidP="00000000" w:rsidRDefault="00000000" w:rsidRPr="00000000" w14:paraId="00000008">
      <w:pPr>
        <w:spacing w:after="0" w:line="240" w:lineRule="auto"/>
        <w:rPr>
          <w:rFonts w:ascii="Book Antiqua" w:cs="Book Antiqua" w:eastAsia="Book Antiqua" w:hAnsi="Book Antiqua"/>
          <w:i w:val="1"/>
        </w:rPr>
      </w:pPr>
      <w:r w:rsidDel="00000000" w:rsidR="00000000" w:rsidRPr="00000000">
        <w:rPr>
          <w:rtl w:val="0"/>
        </w:rPr>
      </w:r>
    </w:p>
    <w:tbl>
      <w:tblPr>
        <w:tblStyle w:val="Table1"/>
        <w:tblW w:w="8453.0" w:type="dxa"/>
        <w:jc w:val="left"/>
        <w:tblInd w:w="-6.999999999999993" w:type="dxa"/>
        <w:tblLayout w:type="fixed"/>
        <w:tblLook w:val="0400"/>
      </w:tblPr>
      <w:tblGrid>
        <w:gridCol w:w="8453"/>
        <w:tblGridChange w:id="0">
          <w:tblGrid>
            <w:gridCol w:w="8453"/>
          </w:tblGrid>
        </w:tblGridChange>
      </w:tblGrid>
      <w:tr>
        <w:trPr>
          <w:cantSplit w:val="0"/>
          <w:trHeight w:val="5664" w:hRule="atLeast"/>
          <w:tblHeader w:val="0"/>
        </w:trPr>
        <w:tc>
          <w:tcPr>
            <w:shd w:fill="auto" w:val="clear"/>
          </w:tcPr>
          <w:p w:rsidR="00000000" w:rsidDel="00000000" w:rsidP="00000000" w:rsidRDefault="00000000" w:rsidRPr="00000000" w14:paraId="00000009">
            <w:pPr>
              <w:pBdr>
                <w:bottom w:color="000000" w:space="1" w:sz="4" w:val="single"/>
              </w:pBdr>
              <w:spacing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Abstract</w:t>
            </w:r>
          </w:p>
          <w:p w:rsidR="00000000" w:rsidDel="00000000" w:rsidP="00000000" w:rsidRDefault="00000000" w:rsidRPr="00000000" w14:paraId="0000000A">
            <w:pPr>
              <w:spacing w:line="240" w:lineRule="auto"/>
              <w:jc w:val="both"/>
              <w:rPr>
                <w:rFonts w:ascii="Times New Roman" w:cs="Times New Roman" w:eastAsia="Times New Roman" w:hAnsi="Times New Roman"/>
                <w:i w:val="1"/>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i w:val="1"/>
                <w:sz w:val="24"/>
                <w:szCs w:val="24"/>
                <w:rtl w:val="0"/>
              </w:rPr>
              <w:t xml:space="preserve">[Written in English, Times New Roman font 12, italics, justify, 1 space, consisting of 150-200 words, containing the background of the problem, the urgency of writing, research methods (for research articles) and research results or conclusions].</w:t>
            </w:r>
          </w:p>
          <w:p w:rsidR="00000000" w:rsidDel="00000000" w:rsidP="00000000" w:rsidRDefault="00000000" w:rsidRPr="00000000" w14:paraId="0000000B">
            <w:pPr>
              <w:spacing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Keywords</w:t>
            </w:r>
            <w:r w:rsidDel="00000000" w:rsidR="00000000" w:rsidRPr="00000000">
              <w:rPr>
                <w:rFonts w:ascii="Times New Roman" w:cs="Times New Roman" w:eastAsia="Times New Roman" w:hAnsi="Times New Roman"/>
                <w:i w:val="1"/>
                <w:sz w:val="24"/>
                <w:szCs w:val="24"/>
                <w:rtl w:val="0"/>
              </w:rPr>
              <w:t xml:space="preserve">: [Written in English, Times New Roman 12, italic, consisting of 3-5 words or phrases. It should comprise the essential concepts of the manuscript, ending with a full stop (.)]</w:t>
            </w:r>
          </w:p>
          <w:p w:rsidR="00000000" w:rsidDel="00000000" w:rsidP="00000000" w:rsidRDefault="00000000" w:rsidRPr="00000000" w14:paraId="0000000C">
            <w:pPr>
              <w:pStyle w:val="Heading1"/>
              <w:numPr>
                <w:ilvl w:val="0"/>
                <w:numId w:val="2"/>
              </w:numPr>
              <w:pBdr>
                <w:top w:color="000000" w:space="0" w:sz="0" w:val="none"/>
                <w:left w:color="000000" w:space="0" w:sz="0" w:val="none"/>
                <w:bottom w:color="000000" w:space="0" w:sz="0" w:val="none"/>
                <w:right w:color="000000" w:space="0" w:sz="0" w:val="none"/>
                <w:between w:color="000000" w:space="0" w:sz="0" w:val="none"/>
              </w:pBdr>
              <w:spacing w:after="80" w:before="160" w:line="480" w:lineRule="auto"/>
              <w:ind w:left="426" w:hanging="426"/>
              <w:jc w:val="both"/>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4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(Background)</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480" w:lineRule="auto"/>
              <w:ind w:left="42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Times New Roman 12, justify, 2 spaces, the first paragraph protrudes 6 taps writing sentences between paragraphs with no spaces (no before and after space). the background of the problem written either explicitly or implicitly must contain legal issues that are preceded by describing the actual problem that is the basis of the research accompanied by adequate references (citations). At the end of the background of the problem, the author must clearly state the formulation of the problem to be studied. The author is not allowed to provide subtitles in the introduction.</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48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48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4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(State of the art of previous research)</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480" w:lineRule="auto"/>
              <w:ind w:left="42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Times New Roman 12, justify, 2 spaces, the first paragraph protrudes 6 taps, writing sentences between paragraphs with no spaces (no before and after space). The background must express the originality of this research compared to previous studies.  Contains the state of art of previous research at least 3 articles.  </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4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(Problem and Gap Analysis)</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480" w:lineRule="auto"/>
              <w:ind w:left="42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Times new Roman, 12, justify, 2 spaces, the first paragraph protrudes 1 cm, writing sentences between paragraphs with no spaces (no before and after space). Contains a description of the importance and or uniqueness of the article written compared to previous research. In addition, there must also be a research objective.</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48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Method)</w:t>
            </w:r>
          </w:p>
          <w:p w:rsidR="00000000" w:rsidDel="00000000" w:rsidP="00000000" w:rsidRDefault="00000000" w:rsidRPr="00000000" w14:paraId="00000016">
            <w:pPr>
              <w:tabs>
                <w:tab w:val="left" w:leader="none" w:pos="914.9999999999999"/>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48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conceptual ddeas without research methods. Times New Roman 12, justify, 2 spaces, contains 1 paragraph and begins with 6-tap indented writing. The research method must clearly contain the research method used, the legal materials used (if normative juridical research)/the data used (if empirical/socio legal juridical research), the approach used (if normative), the research location, informants, and respondents (if empirical), legal/data collection techniques, and data analysis techniques. Writing research methods does not need to use subtitles.</w:t>
            </w:r>
          </w:p>
          <w:p w:rsidR="00000000" w:rsidDel="00000000" w:rsidP="00000000" w:rsidRDefault="00000000" w:rsidRPr="00000000" w14:paraId="00000017">
            <w:pPr>
              <w:pStyle w:val="Heading1"/>
              <w:numPr>
                <w:ilvl w:val="0"/>
                <w:numId w:val="2"/>
              </w:numPr>
              <w:pBdr>
                <w:top w:color="000000" w:space="0" w:sz="0" w:val="none"/>
                <w:left w:color="000000" w:space="0" w:sz="0" w:val="none"/>
                <w:bottom w:color="000000" w:space="0" w:sz="0" w:val="none"/>
                <w:right w:color="000000" w:space="0" w:sz="0" w:val="none"/>
                <w:between w:color="000000" w:space="0" w:sz="0" w:val="none"/>
              </w:pBdr>
              <w:spacing w:after="80" w:before="160" w:line="480" w:lineRule="auto"/>
              <w:ind w:left="426" w:hanging="426"/>
              <w:jc w:val="both"/>
              <w:rPr>
                <w:sz w:val="24"/>
                <w:szCs w:val="24"/>
              </w:rPr>
            </w:pPr>
            <w:r w:rsidDel="00000000" w:rsidR="00000000" w:rsidRPr="00000000">
              <w:rPr>
                <w:sz w:val="24"/>
                <w:szCs w:val="24"/>
                <w:rtl w:val="0"/>
              </w:rPr>
              <w:t xml:space="preserve">RESULT AND DISCUSSION</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480" w:lineRule="auto"/>
              <w:ind w:firstLine="576"/>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rtl w:val="0"/>
              </w:rPr>
              <w:t xml:space="preserve">Times New Roman 12, justify, 2 spaces, each paragraph begins with writing indented 1 cm, writing sentences between paragraphs with no spaces (no before and after space). This chapter is the most important part of the article that contains a description of the problem or legal issue discussed. The discussion is organized in the form of subchapters. If there are two problem formulations, then there are two discussion subchapters. The author needs to include adequate references (citations) to support the written discussion. Research results (scientific findings) and discussion are explained in a scientific descriptive, analytical and critical manner. The description of the discussion is adjusted to the sequence of problems consisting of subchapters. Writing sub-chapter titles Times New Roman, font 12, bold, using Arabic numerals. The description of the discussion consists of sub-chapters.</w:t>
            </w:r>
            <w:r w:rsidDel="00000000" w:rsidR="00000000" w:rsidRPr="00000000">
              <w:rPr>
                <w:rtl w:val="0"/>
              </w:rPr>
            </w:r>
          </w:p>
          <w:p w:rsidR="00000000" w:rsidDel="00000000" w:rsidP="00000000" w:rsidRDefault="00000000" w:rsidRPr="00000000" w14:paraId="00000019">
            <w:pPr>
              <w:pStyle w:val="Heading1"/>
              <w:numPr>
                <w:ilvl w:val="0"/>
                <w:numId w:val="2"/>
              </w:numPr>
              <w:pBdr>
                <w:top w:color="000000" w:space="0" w:sz="0" w:val="none"/>
                <w:left w:color="000000" w:space="0" w:sz="0" w:val="none"/>
                <w:bottom w:color="000000" w:space="0" w:sz="0" w:val="none"/>
                <w:right w:color="000000" w:space="0" w:sz="0" w:val="none"/>
                <w:between w:color="000000" w:space="0" w:sz="0" w:val="none"/>
              </w:pBdr>
              <w:spacing w:after="80" w:before="160" w:line="480" w:lineRule="auto"/>
              <w:ind w:left="426" w:hanging="426"/>
              <w:jc w:val="both"/>
              <w:rPr>
                <w:sz w:val="24"/>
                <w:szCs w:val="24"/>
              </w:rPr>
            </w:pPr>
            <w:r w:rsidDel="00000000" w:rsidR="00000000" w:rsidRPr="00000000">
              <w:rPr>
                <w:sz w:val="24"/>
                <w:szCs w:val="24"/>
                <w:rtl w:val="0"/>
              </w:rPr>
              <w:t xml:space="preserve">CONCLUSION</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480" w:lineRule="auto"/>
              <w:ind w:firstLine="57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Times New Roman 12, justify, 2 spaces, each paragraph and begins with writing indented 6 taps. Contains the conclusion of the answer to the problem formulation so that the writing is adjusted to the order of the research problem. The conclusion should follow the formulation of the problem raised, if 2 (two) problem formulations, then the conclusion should be enough 2 (two). After the conclusion, the author is obliged to provide suggestions (recommendations) for the results of the research.</w:t>
            </w:r>
          </w:p>
          <w:p w:rsidR="00000000" w:rsidDel="00000000" w:rsidP="00000000" w:rsidRDefault="00000000" w:rsidRPr="00000000" w14:paraId="0000001B">
            <w:pPr>
              <w:pStyle w:val="Heading1"/>
              <w:spacing w:line="480" w:lineRule="auto"/>
              <w:ind w:left="216" w:firstLine="0"/>
              <w:jc w:val="both"/>
              <w:rPr>
                <w:sz w:val="24"/>
                <w:szCs w:val="24"/>
              </w:rPr>
            </w:pPr>
            <w:r w:rsidDel="00000000" w:rsidR="00000000" w:rsidRPr="00000000">
              <w:rPr>
                <w:sz w:val="24"/>
                <w:szCs w:val="24"/>
                <w:rtl w:val="0"/>
              </w:rPr>
              <w:t xml:space="preserve">REFERENCES</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480" w:lineRule="auto"/>
              <w:ind w:firstLine="576"/>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Writing a bibliography using the American Psychological Association 6th Edition style.</w:t>
            </w:r>
            <w:r w:rsidDel="00000000" w:rsidR="00000000" w:rsidRPr="00000000">
              <w:rPr>
                <w:rtl w:val="0"/>
              </w:rPr>
            </w:r>
          </w:p>
          <w:p w:rsidR="00000000" w:rsidDel="00000000" w:rsidP="00000000" w:rsidRDefault="00000000" w:rsidRPr="00000000" w14:paraId="0000001D">
            <w:pPr>
              <w:spacing w:after="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General Conditions of Writing: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Manuscripts can be in the form of research results or conceptual articles in the field of law.</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Manuscripts can be written in Indonesian and English.</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font used in the writing guidelines for Jurnal Suara Hukum is times new roman, 2 spaces, 12 pt font.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Especially for writing article titles using Cambria font, 16 pt, bold, center, capitalize each word, and no more than 15 words.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Writing citations using Mendeley Reference Manager, Endnote or similar Reference Manager American Psychological Association 6th Edition style.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referring to an article, the initial letter of the word "Article" is capitalized.</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referring to a verse, the initial letter of the word "verse" is written in lowercase letters and the verse number in parentheses. Example: paragraph (2).</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Research articles and conceptual ideas are 5000-8000. Authors should avoid enumerative methods.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References must include the latest references (last 5 years) and must use primary sources/journals (at least 80% of all references are journals).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abbreviation of the name of the legislation is left to the style of each author, as long as it is used consistently. The suggested form, for example, is "Law No. 30 Year 2014".</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in the direct quotation of a phrase, paragraph, or article formulation there is an omitted part, please indicate the omitted part with an ellipsis inserted in square brackets "[...]".</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Authors are advised to avoid the enumerative method.</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Academic degrees are not written in the bibliography.</w:t>
            </w:r>
          </w:p>
          <w:p w:rsidR="00000000" w:rsidDel="00000000" w:rsidP="00000000" w:rsidRDefault="00000000" w:rsidRPr="00000000" w14:paraId="0000002B">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If the author uses tables in his/her writing, then the tables are written with sequential numbers. The table writing format is as follows:</w:t>
            </w:r>
          </w:p>
          <w:p w:rsidR="00000000" w:rsidDel="00000000" w:rsidP="00000000" w:rsidRDefault="00000000" w:rsidRPr="00000000" w14:paraId="0000002C">
            <w:pPr>
              <w:spacing w:after="0" w:line="240" w:lineRule="auto"/>
              <w:ind w:firstLine="567"/>
              <w:jc w:val="center"/>
              <w:rPr>
                <w:rFonts w:ascii="Book Antiqua" w:cs="Book Antiqua" w:eastAsia="Book Antiqua" w:hAnsi="Book Antiqua"/>
                <w:b w:val="1"/>
                <w:sz w:val="24"/>
                <w:szCs w:val="24"/>
              </w:rPr>
            </w:pPr>
            <w:r w:rsidDel="00000000" w:rsidR="00000000" w:rsidRPr="00000000">
              <w:rPr>
                <w:rFonts w:ascii="Book Antiqua" w:cs="Book Antiqua" w:eastAsia="Book Antiqua" w:hAnsi="Book Antiqua"/>
                <w:b w:val="1"/>
                <w:sz w:val="24"/>
                <w:szCs w:val="24"/>
                <w:rtl w:val="0"/>
              </w:rPr>
              <w:t xml:space="preserve">Table 1</w:t>
            </w:r>
          </w:p>
          <w:p w:rsidR="00000000" w:rsidDel="00000000" w:rsidP="00000000" w:rsidRDefault="00000000" w:rsidRPr="00000000" w14:paraId="0000002D">
            <w:pPr>
              <w:spacing w:line="240" w:lineRule="auto"/>
              <w:ind w:firstLine="567"/>
              <w:jc w:val="center"/>
              <w:rPr>
                <w:rFonts w:ascii="Times New Roman" w:cs="Times New Roman" w:eastAsia="Times New Roman" w:hAnsi="Times New Roman"/>
                <w:sz w:val="24"/>
                <w:szCs w:val="24"/>
              </w:rPr>
            </w:pPr>
            <w:r w:rsidDel="00000000" w:rsidR="00000000" w:rsidRPr="00000000">
              <w:rPr>
                <w:rFonts w:ascii="Book Antiqua" w:cs="Book Antiqua" w:eastAsia="Book Antiqua" w:hAnsi="Book Antiqua"/>
                <w:b w:val="1"/>
                <w:sz w:val="24"/>
                <w:szCs w:val="24"/>
                <w:rtl w:val="0"/>
              </w:rPr>
              <w:t xml:space="preserve">Name of Table</w:t>
            </w:r>
            <w:r w:rsidDel="00000000" w:rsidR="00000000" w:rsidRPr="00000000">
              <w:rPr>
                <w:rtl w:val="0"/>
              </w:rPr>
            </w:r>
          </w:p>
          <w:tbl>
            <w:tblPr>
              <w:tblStyle w:val="Table2"/>
              <w:tblW w:w="8186.000000000002" w:type="dxa"/>
              <w:jc w:val="left"/>
              <w:tblBorders>
                <w:top w:color="000000" w:space="0" w:sz="4" w:val="single"/>
                <w:bottom w:color="000000" w:space="0" w:sz="4" w:val="single"/>
              </w:tblBorders>
              <w:tblLayout w:type="fixed"/>
              <w:tblLook w:val="0400"/>
            </w:tblPr>
            <w:tblGrid>
              <w:gridCol w:w="568"/>
              <w:gridCol w:w="3111"/>
              <w:gridCol w:w="3090"/>
              <w:gridCol w:w="1417"/>
              <w:tblGridChange w:id="0">
                <w:tblGrid>
                  <w:gridCol w:w="568"/>
                  <w:gridCol w:w="3111"/>
                  <w:gridCol w:w="3090"/>
                  <w:gridCol w:w="1417"/>
                </w:tblGrid>
              </w:tblGridChange>
            </w:tblGrid>
            <w:tr>
              <w:trPr>
                <w:cantSplit w:val="0"/>
                <w:trHeight w:val="425" w:hRule="atLeast"/>
                <w:tblHeader w:val="0"/>
              </w:trPr>
              <w:tc>
                <w:tcPr>
                  <w:tcBorders>
                    <w:top w:color="000000" w:space="0" w:sz="4" w:val="single"/>
                    <w:bottom w:color="000000" w:space="0" w:sz="4" w:val="single"/>
                  </w:tcBorders>
                  <w:shd w:fill="auto" w:val="clear"/>
                </w:tcPr>
                <w:p w:rsidR="00000000" w:rsidDel="00000000" w:rsidP="00000000" w:rsidRDefault="00000000" w:rsidRPr="00000000" w14:paraId="0000002E">
                  <w:pPr>
                    <w:spacing w:line="240" w:lineRule="auto"/>
                    <w:jc w:val="both"/>
                    <w:rPr>
                      <w:b w:val="1"/>
                      <w:sz w:val="24"/>
                      <w:szCs w:val="24"/>
                    </w:rPr>
                  </w:pPr>
                  <w:r w:rsidDel="00000000" w:rsidR="00000000" w:rsidRPr="00000000">
                    <w:rPr>
                      <w:b w:val="1"/>
                      <w:sz w:val="24"/>
                      <w:szCs w:val="24"/>
                      <w:rtl w:val="0"/>
                    </w:rPr>
                    <w:t xml:space="preserve">No</w:t>
                  </w:r>
                </w:p>
              </w:tc>
              <w:tc>
                <w:tcPr>
                  <w:tcBorders>
                    <w:top w:color="000000" w:space="0" w:sz="4" w:val="single"/>
                    <w:bottom w:color="000000" w:space="0" w:sz="4" w:val="single"/>
                  </w:tcBorders>
                  <w:shd w:fill="auto" w:val="clear"/>
                </w:tcPr>
                <w:p w:rsidR="00000000" w:rsidDel="00000000" w:rsidP="00000000" w:rsidRDefault="00000000" w:rsidRPr="00000000" w14:paraId="0000002F">
                  <w:pPr>
                    <w:spacing w:line="240" w:lineRule="auto"/>
                    <w:jc w:val="both"/>
                    <w:rPr>
                      <w:b w:val="1"/>
                      <w:sz w:val="24"/>
                      <w:szCs w:val="24"/>
                    </w:rPr>
                  </w:pPr>
                  <w:r w:rsidDel="00000000" w:rsidR="00000000" w:rsidRPr="00000000">
                    <w:rPr>
                      <w:b w:val="1"/>
                      <w:sz w:val="24"/>
                      <w:szCs w:val="24"/>
                      <w:rtl w:val="0"/>
                    </w:rPr>
                    <w:t xml:space="preserve">Columns</w:t>
                  </w:r>
                </w:p>
              </w:tc>
              <w:tc>
                <w:tcPr>
                  <w:tcBorders>
                    <w:top w:color="000000" w:space="0" w:sz="4" w:val="single"/>
                    <w:bottom w:color="000000" w:space="0" w:sz="4" w:val="single"/>
                  </w:tcBorders>
                  <w:shd w:fill="auto" w:val="clear"/>
                </w:tcPr>
                <w:p w:rsidR="00000000" w:rsidDel="00000000" w:rsidP="00000000" w:rsidRDefault="00000000" w:rsidRPr="00000000" w14:paraId="00000030">
                  <w:pPr>
                    <w:spacing w:line="240" w:lineRule="auto"/>
                    <w:jc w:val="both"/>
                    <w:rPr>
                      <w:b w:val="1"/>
                      <w:sz w:val="24"/>
                      <w:szCs w:val="24"/>
                    </w:rPr>
                  </w:pPr>
                  <w:r w:rsidDel="00000000" w:rsidR="00000000" w:rsidRPr="00000000">
                    <w:rPr>
                      <w:b w:val="1"/>
                      <w:sz w:val="24"/>
                      <w:szCs w:val="24"/>
                      <w:rtl w:val="0"/>
                    </w:rPr>
                    <w:t xml:space="preserve">Columns A</w:t>
                  </w:r>
                </w:p>
              </w:tc>
              <w:tc>
                <w:tcPr>
                  <w:tcBorders>
                    <w:top w:color="000000" w:space="0" w:sz="4" w:val="single"/>
                    <w:bottom w:color="000000" w:space="0" w:sz="4" w:val="single"/>
                  </w:tcBorders>
                  <w:shd w:fill="auto" w:val="clear"/>
                </w:tcPr>
                <w:p w:rsidR="00000000" w:rsidDel="00000000" w:rsidP="00000000" w:rsidRDefault="00000000" w:rsidRPr="00000000" w14:paraId="00000031">
                  <w:pPr>
                    <w:spacing w:line="240" w:lineRule="auto"/>
                    <w:jc w:val="both"/>
                    <w:rPr>
                      <w:b w:val="1"/>
                      <w:sz w:val="24"/>
                      <w:szCs w:val="24"/>
                    </w:rPr>
                  </w:pPr>
                  <w:r w:rsidDel="00000000" w:rsidR="00000000" w:rsidRPr="00000000">
                    <w:rPr>
                      <w:b w:val="1"/>
                      <w:sz w:val="24"/>
                      <w:szCs w:val="24"/>
                      <w:rtl w:val="0"/>
                    </w:rPr>
                    <w:t xml:space="preserve">Columns B</w:t>
                  </w:r>
                </w:p>
              </w:tc>
            </w:tr>
            <w:tr>
              <w:trPr>
                <w:cantSplit w:val="0"/>
                <w:trHeight w:val="466" w:hRule="atLeast"/>
                <w:tblHeader w:val="0"/>
              </w:trPr>
              <w:tc>
                <w:tcPr>
                  <w:tcBorders>
                    <w:top w:color="000000" w:space="0" w:sz="4" w:val="single"/>
                    <w:bottom w:color="000000" w:space="0" w:sz="4" w:val="single"/>
                    <w:right w:color="000000" w:space="0" w:sz="0" w:val="nil"/>
                  </w:tcBorders>
                  <w:shd w:fill="auto" w:val="clear"/>
                </w:tcPr>
                <w:p w:rsidR="00000000" w:rsidDel="00000000" w:rsidP="00000000" w:rsidRDefault="00000000" w:rsidRPr="00000000" w14:paraId="00000032">
                  <w:pPr>
                    <w:spacing w:line="240" w:lineRule="auto"/>
                    <w:jc w:val="both"/>
                    <w:rPr>
                      <w:sz w:val="24"/>
                      <w:szCs w:val="24"/>
                    </w:rPr>
                  </w:pPr>
                  <w:r w:rsidDel="00000000" w:rsidR="00000000" w:rsidRPr="00000000">
                    <w:rPr>
                      <w:sz w:val="24"/>
                      <w:szCs w:val="24"/>
                      <w:rtl w:val="0"/>
                    </w:rPr>
                    <w:t xml:space="preserve">1.</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033">
                  <w:pPr>
                    <w:spacing w:line="240" w:lineRule="auto"/>
                    <w:jc w:val="both"/>
                    <w:rPr>
                      <w:sz w:val="24"/>
                      <w:szCs w:val="24"/>
                    </w:rPr>
                  </w:pPr>
                  <w:r w:rsidDel="00000000" w:rsidR="00000000" w:rsidRPr="00000000">
                    <w:rPr>
                      <w:sz w:val="24"/>
                      <w:szCs w:val="24"/>
                      <w:rtl w:val="0"/>
                    </w:rPr>
                    <w:t xml:space="preserve">Abc</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034">
                  <w:pPr>
                    <w:spacing w:line="240" w:lineRule="auto"/>
                    <w:jc w:val="both"/>
                    <w:rPr>
                      <w:sz w:val="24"/>
                      <w:szCs w:val="24"/>
                    </w:rPr>
                  </w:pPr>
                  <w:r w:rsidDel="00000000" w:rsidR="00000000" w:rsidRPr="00000000">
                    <w:rPr>
                      <w:sz w:val="24"/>
                      <w:szCs w:val="24"/>
                      <w:rtl w:val="0"/>
                    </w:rPr>
                    <w:t xml:space="preserve">1</w:t>
                  </w:r>
                </w:p>
              </w:tc>
              <w:tc>
                <w:tcPr>
                  <w:tcBorders>
                    <w:top w:color="000000" w:space="0" w:sz="4" w:val="single"/>
                    <w:left w:color="000000" w:space="0" w:sz="0" w:val="nil"/>
                    <w:bottom w:color="000000" w:space="0" w:sz="4" w:val="single"/>
                  </w:tcBorders>
                  <w:shd w:fill="auto" w:val="clear"/>
                </w:tcPr>
                <w:p w:rsidR="00000000" w:rsidDel="00000000" w:rsidP="00000000" w:rsidRDefault="00000000" w:rsidRPr="00000000" w14:paraId="00000035">
                  <w:pPr>
                    <w:spacing w:line="240" w:lineRule="auto"/>
                    <w:jc w:val="both"/>
                    <w:rPr>
                      <w:sz w:val="24"/>
                      <w:szCs w:val="24"/>
                    </w:rPr>
                  </w:pPr>
                  <w:r w:rsidDel="00000000" w:rsidR="00000000" w:rsidRPr="00000000">
                    <w:rPr>
                      <w:sz w:val="24"/>
                      <w:szCs w:val="24"/>
                      <w:rtl w:val="0"/>
                    </w:rPr>
                    <w:t xml:space="preserve">A</w:t>
                  </w:r>
                </w:p>
              </w:tc>
            </w:tr>
            <w:tr>
              <w:trPr>
                <w:cantSplit w:val="0"/>
                <w:trHeight w:val="841" w:hRule="atLeast"/>
                <w:tblHeader w:val="0"/>
              </w:trPr>
              <w:tc>
                <w:tcPr>
                  <w:tcBorders>
                    <w:top w:color="000000" w:space="0" w:sz="4" w:val="single"/>
                    <w:bottom w:color="000000" w:space="0" w:sz="4" w:val="single"/>
                    <w:right w:color="000000" w:space="0" w:sz="0" w:val="nil"/>
                  </w:tcBorders>
                  <w:shd w:fill="auto" w:val="clear"/>
                </w:tcPr>
                <w:p w:rsidR="00000000" w:rsidDel="00000000" w:rsidP="00000000" w:rsidRDefault="00000000" w:rsidRPr="00000000" w14:paraId="00000036">
                  <w:pPr>
                    <w:spacing w:line="240" w:lineRule="auto"/>
                    <w:jc w:val="both"/>
                    <w:rPr>
                      <w:sz w:val="24"/>
                      <w:szCs w:val="24"/>
                    </w:rPr>
                  </w:pPr>
                  <w:r w:rsidDel="00000000" w:rsidR="00000000" w:rsidRPr="00000000">
                    <w:rPr>
                      <w:sz w:val="24"/>
                      <w:szCs w:val="24"/>
                      <w:rtl w:val="0"/>
                    </w:rPr>
                    <w:t xml:space="preserve">2.</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037">
                  <w:pPr>
                    <w:spacing w:line="240" w:lineRule="auto"/>
                    <w:jc w:val="both"/>
                    <w:rPr>
                      <w:sz w:val="24"/>
                      <w:szCs w:val="24"/>
                    </w:rPr>
                  </w:pPr>
                  <w:r w:rsidDel="00000000" w:rsidR="00000000" w:rsidRPr="00000000">
                    <w:rPr>
                      <w:sz w:val="24"/>
                      <w:szCs w:val="24"/>
                      <w:rtl w:val="0"/>
                    </w:rPr>
                    <w:t xml:space="preserve">Def</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038">
                  <w:pPr>
                    <w:spacing w:line="240" w:lineRule="auto"/>
                    <w:jc w:val="both"/>
                    <w:rPr>
                      <w:sz w:val="24"/>
                      <w:szCs w:val="24"/>
                    </w:rPr>
                  </w:pPr>
                  <w:r w:rsidDel="00000000" w:rsidR="00000000" w:rsidRPr="00000000">
                    <w:rPr>
                      <w:sz w:val="24"/>
                      <w:szCs w:val="24"/>
                      <w:rtl w:val="0"/>
                    </w:rPr>
                    <w:t xml:space="preserve">2</w:t>
                  </w:r>
                </w:p>
              </w:tc>
              <w:tc>
                <w:tcPr>
                  <w:tcBorders>
                    <w:top w:color="000000" w:space="0" w:sz="4" w:val="single"/>
                    <w:left w:color="000000" w:space="0" w:sz="0" w:val="nil"/>
                    <w:bottom w:color="000000" w:space="0" w:sz="4" w:val="single"/>
                  </w:tcBorders>
                  <w:shd w:fill="auto" w:val="clear"/>
                </w:tcPr>
                <w:p w:rsidR="00000000" w:rsidDel="00000000" w:rsidP="00000000" w:rsidRDefault="00000000" w:rsidRPr="00000000" w14:paraId="00000039">
                  <w:pPr>
                    <w:spacing w:line="240" w:lineRule="auto"/>
                    <w:jc w:val="both"/>
                    <w:rPr>
                      <w:sz w:val="24"/>
                      <w:szCs w:val="24"/>
                    </w:rPr>
                  </w:pPr>
                  <w:r w:rsidDel="00000000" w:rsidR="00000000" w:rsidRPr="00000000">
                    <w:rPr>
                      <w:sz w:val="24"/>
                      <w:szCs w:val="24"/>
                      <w:rtl w:val="0"/>
                    </w:rPr>
                    <w:t xml:space="preserve">B</w:t>
                  </w:r>
                </w:p>
              </w:tc>
            </w:tr>
            <w:tr>
              <w:trPr>
                <w:cantSplit w:val="0"/>
                <w:trHeight w:val="853" w:hRule="atLeast"/>
                <w:tblHeader w:val="0"/>
              </w:trPr>
              <w:tc>
                <w:tcPr>
                  <w:tcBorders>
                    <w:top w:color="000000" w:space="0" w:sz="4" w:val="single"/>
                    <w:bottom w:color="000000" w:space="0" w:sz="4" w:val="single"/>
                    <w:right w:color="000000" w:space="0" w:sz="0" w:val="nil"/>
                  </w:tcBorders>
                  <w:shd w:fill="auto" w:val="clear"/>
                </w:tcPr>
                <w:p w:rsidR="00000000" w:rsidDel="00000000" w:rsidP="00000000" w:rsidRDefault="00000000" w:rsidRPr="00000000" w14:paraId="0000003A">
                  <w:pPr>
                    <w:spacing w:line="240" w:lineRule="auto"/>
                    <w:jc w:val="both"/>
                    <w:rPr>
                      <w:sz w:val="24"/>
                      <w:szCs w:val="24"/>
                    </w:rPr>
                  </w:pPr>
                  <w:r w:rsidDel="00000000" w:rsidR="00000000" w:rsidRPr="00000000">
                    <w:rPr>
                      <w:sz w:val="24"/>
                      <w:szCs w:val="24"/>
                      <w:rtl w:val="0"/>
                    </w:rPr>
                    <w:t xml:space="preserve">3.</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03B">
                  <w:pPr>
                    <w:spacing w:line="240" w:lineRule="auto"/>
                    <w:jc w:val="both"/>
                    <w:rPr>
                      <w:sz w:val="24"/>
                      <w:szCs w:val="24"/>
                    </w:rPr>
                  </w:pPr>
                  <w:r w:rsidDel="00000000" w:rsidR="00000000" w:rsidRPr="00000000">
                    <w:rPr>
                      <w:sz w:val="24"/>
                      <w:szCs w:val="24"/>
                      <w:rtl w:val="0"/>
                    </w:rPr>
                    <w:t xml:space="preserve">Ghi</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03C">
                  <w:pPr>
                    <w:spacing w:line="240" w:lineRule="auto"/>
                    <w:jc w:val="both"/>
                    <w:rPr>
                      <w:sz w:val="24"/>
                      <w:szCs w:val="24"/>
                    </w:rPr>
                  </w:pPr>
                  <w:r w:rsidDel="00000000" w:rsidR="00000000" w:rsidRPr="00000000">
                    <w:rPr>
                      <w:sz w:val="24"/>
                      <w:szCs w:val="24"/>
                      <w:rtl w:val="0"/>
                    </w:rPr>
                    <w:t xml:space="preserve">3</w:t>
                  </w:r>
                </w:p>
              </w:tc>
              <w:tc>
                <w:tcPr>
                  <w:tcBorders>
                    <w:top w:color="000000" w:space="0" w:sz="4" w:val="single"/>
                    <w:left w:color="000000" w:space="0" w:sz="0" w:val="nil"/>
                    <w:bottom w:color="000000" w:space="0" w:sz="4" w:val="single"/>
                  </w:tcBorders>
                  <w:shd w:fill="auto" w:val="clear"/>
                </w:tcPr>
                <w:p w:rsidR="00000000" w:rsidDel="00000000" w:rsidP="00000000" w:rsidRDefault="00000000" w:rsidRPr="00000000" w14:paraId="0000003D">
                  <w:pPr>
                    <w:spacing w:line="240" w:lineRule="auto"/>
                    <w:jc w:val="both"/>
                    <w:rPr>
                      <w:sz w:val="24"/>
                      <w:szCs w:val="24"/>
                    </w:rPr>
                  </w:pPr>
                  <w:r w:rsidDel="00000000" w:rsidR="00000000" w:rsidRPr="00000000">
                    <w:rPr>
                      <w:sz w:val="24"/>
                      <w:szCs w:val="24"/>
                      <w:rtl w:val="0"/>
                    </w:rPr>
                    <w:t xml:space="preserve">C</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30" w:before="60" w:line="240" w:lineRule="auto"/>
              <w:ind w:left="58" w:hanging="2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Sources: Central Bureau of Statistics (BPS), 2021</w:t>
            </w:r>
          </w:p>
          <w:p w:rsidR="00000000" w:rsidDel="00000000" w:rsidP="00000000" w:rsidRDefault="00000000" w:rsidRPr="00000000" w14:paraId="0000003F">
            <w:pPr>
              <w:spacing w:after="0" w:line="480" w:lineRule="auto"/>
              <w:jc w:val="both"/>
              <w:rPr>
                <w:b w:val="1"/>
                <w:sz w:val="24"/>
                <w:szCs w:val="24"/>
              </w:rPr>
            </w:pPr>
            <w:r w:rsidDel="00000000" w:rsidR="00000000" w:rsidRPr="00000000">
              <w:rPr>
                <w:rtl w:val="0"/>
              </w:rPr>
            </w:r>
          </w:p>
          <w:p w:rsidR="00000000" w:rsidDel="00000000" w:rsidP="00000000" w:rsidRDefault="00000000" w:rsidRPr="00000000" w14:paraId="00000040">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If images are used in the paper, they should be high-resolution and not broken when printed. </w:t>
            </w:r>
          </w:p>
          <w:p w:rsidR="00000000" w:rsidDel="00000000" w:rsidP="00000000" w:rsidRDefault="00000000" w:rsidRPr="00000000" w14:paraId="00000041">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Supporting instruments such as tables and figures must also be accompanied by an analysis or explanation of the instrument and its relevance to the author's writing.</w:t>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288"/>
              </w:tabs>
              <w:spacing w:after="120" w:line="48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REFERENCES</w:t>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288"/>
              </w:tabs>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In writing references, the author is required to use a Reference Manager</w:t>
            </w:r>
            <w:r w:rsidDel="00000000" w:rsidR="00000000" w:rsidRPr="00000000">
              <w:rPr>
                <w:rFonts w:ascii="Times New Roman" w:cs="Times New Roman" w:eastAsia="Times New Roman" w:hAnsi="Times New Roman"/>
                <w:color w:val="000000"/>
                <w:sz w:val="24"/>
                <w:szCs w:val="24"/>
                <w:rtl w:val="0"/>
              </w:rPr>
              <w:t xml:space="preserve"> (Jimly Asshidiqie, 2015). </w:t>
            </w:r>
            <w:r w:rsidDel="00000000" w:rsidR="00000000" w:rsidRPr="00000000">
              <w:rPr>
                <w:rFonts w:ascii="Times New Roman" w:cs="Times New Roman" w:eastAsia="Times New Roman" w:hAnsi="Times New Roman"/>
                <w:b w:val="1"/>
                <w:color w:val="000000"/>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application can</w:t>
            </w:r>
            <w:r w:rsidDel="00000000" w:rsidR="00000000" w:rsidRPr="00000000">
              <w:rPr>
                <w:rFonts w:ascii="Times New Roman" w:cs="Times New Roman" w:eastAsia="Times New Roman" w:hAnsi="Times New Roman"/>
                <w:b w:val="1"/>
                <w:color w:val="000000"/>
                <w:sz w:val="24"/>
                <w:szCs w:val="24"/>
                <w:rtl w:val="0"/>
              </w:rPr>
              <w:t xml:space="preserve"> use Mendeley Reference Manager, Endnote or similar Reference Managers</w:t>
            </w:r>
            <w:r w:rsidDel="00000000" w:rsidR="00000000" w:rsidRPr="00000000">
              <w:rPr>
                <w:rFonts w:ascii="Times New Roman" w:cs="Times New Roman" w:eastAsia="Times New Roman" w:hAnsi="Times New Roman"/>
                <w:color w:val="000000"/>
                <w:sz w:val="24"/>
                <w:szCs w:val="24"/>
                <w:rtl w:val="0"/>
              </w:rPr>
              <w:t xml:space="preserve"> (Ni'matul Huda, 2008). </w:t>
            </w:r>
            <w:r w:rsidDel="00000000" w:rsidR="00000000" w:rsidRPr="00000000">
              <w:rPr>
                <w:rFonts w:ascii="Times New Roman" w:cs="Times New Roman" w:eastAsia="Times New Roman" w:hAnsi="Times New Roman"/>
                <w:b w:val="1"/>
                <w:color w:val="000000"/>
                <w:sz w:val="24"/>
                <w:szCs w:val="24"/>
                <w:rtl w:val="0"/>
              </w:rPr>
              <w:t xml:space="preserve">References at the end of the article must be written in American Psychological Association (APA) 6th Edition</w:t>
            </w:r>
            <w:r w:rsidDel="00000000" w:rsidR="00000000" w:rsidRPr="00000000">
              <w:rPr>
                <w:rFonts w:ascii="Times New Roman" w:cs="Times New Roman" w:eastAsia="Times New Roman" w:hAnsi="Times New Roman"/>
                <w:color w:val="000000"/>
                <w:sz w:val="24"/>
                <w:szCs w:val="24"/>
                <w:rtl w:val="0"/>
              </w:rPr>
              <w:t xml:space="preserve">. (Duran, Vanroelen, Deboosere, &amp; Benavides, 2016) All publications cited in the text must be included in the Bibliography, organized according to the Reference Manager used. (CEPP UI Team, 2015) References that can be referred to are all publications in the last 10 (ten) years, except for certain references that are considered quite important in the academic community/composition of the Bibliography must be 50% from national and international journals, theses, and proceedings; 50% of the Bibliography comes from books except Wikipedia and personal blogs. (Shah et al., 2015). The use of this citation is only an example as a guide for authors (Ajis Halid, 2019).</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288"/>
              </w:tabs>
              <w:spacing w:after="120" w:line="48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REFERENCES</w:t>
            </w:r>
          </w:p>
          <w:p w:rsidR="00000000" w:rsidDel="00000000" w:rsidP="00000000" w:rsidRDefault="00000000" w:rsidRPr="00000000" w14:paraId="00000045">
            <w:pPr>
              <w:widowControl w:val="0"/>
              <w:spacing w:after="120" w:line="480" w:lineRule="auto"/>
              <w:ind w:left="48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Auriel, P., Beaud, O., &amp; Wellman, C. (Eds.). (2018). </w:t>
            </w:r>
            <w:r w:rsidDel="00000000" w:rsidR="00000000" w:rsidRPr="00000000">
              <w:rPr>
                <w:rFonts w:ascii="Times New Roman" w:cs="Times New Roman" w:eastAsia="Times New Roman" w:hAnsi="Times New Roman"/>
                <w:i w:val="1"/>
                <w:sz w:val="24"/>
                <w:szCs w:val="24"/>
                <w:rtl w:val="0"/>
              </w:rPr>
              <w:t xml:space="preserve">The Rule of Crisis: Terrorism, Emergency Legislation and The Rule of Law</w:t>
            </w:r>
            <w:r w:rsidDel="00000000" w:rsidR="00000000" w:rsidRPr="00000000">
              <w:rPr>
                <w:rFonts w:ascii="Times New Roman" w:cs="Times New Roman" w:eastAsia="Times New Roman" w:hAnsi="Times New Roman"/>
                <w:sz w:val="24"/>
                <w:szCs w:val="24"/>
                <w:rtl w:val="0"/>
              </w:rPr>
              <w:t xml:space="preserve">. St. Louis: </w:t>
            </w:r>
            <w:r w:rsidDel="00000000" w:rsidR="00000000" w:rsidRPr="00000000">
              <w:rPr>
                <w:rFonts w:ascii="Times New Roman" w:cs="Times New Roman" w:eastAsia="Times New Roman" w:hAnsi="Times New Roman"/>
                <w:sz w:val="24"/>
                <w:szCs w:val="24"/>
                <w:rtl w:val="0"/>
              </w:rPr>
              <w:t xml:space="preserve">Springer</w:t>
            </w:r>
            <w:r w:rsidDel="00000000" w:rsidR="00000000" w:rsidRPr="00000000">
              <w:rPr>
                <w:rtl w:val="0"/>
              </w:rPr>
            </w:r>
          </w:p>
          <w:p w:rsidR="00000000" w:rsidDel="00000000" w:rsidP="00000000" w:rsidRDefault="00000000" w:rsidRPr="00000000" w14:paraId="00000046">
            <w:pPr>
              <w:widowControl w:val="0"/>
              <w:spacing w:after="120" w:line="480" w:lineRule="auto"/>
              <w:ind w:left="480" w:hanging="480"/>
              <w:jc w:val="both"/>
              <w:rPr>
                <w:rFonts w:ascii="Times New Roman" w:cs="Times New Roman" w:eastAsia="Times New Roman" w:hAnsi="Times New Roman"/>
                <w:sz w:val="24"/>
                <w:szCs w:val="24"/>
              </w:rPr>
            </w:pPr>
            <w:bookmarkStart w:colFirst="0" w:colLast="0" w:name="_heading=h.30j0zll" w:id="0"/>
            <w:bookmarkEnd w:id="0"/>
            <w:r w:rsidDel="00000000" w:rsidR="00000000" w:rsidRPr="00000000">
              <w:rPr>
                <w:rFonts w:ascii="Times New Roman" w:cs="Times New Roman" w:eastAsia="Times New Roman" w:hAnsi="Times New Roman"/>
                <w:sz w:val="24"/>
                <w:szCs w:val="24"/>
                <w:rtl w:val="0"/>
              </w:rPr>
              <w:t xml:space="preserve">Bima, M. R. (2019). Implementation of State of Emergency Within the Constitusional Law System in Indonesia. </w:t>
            </w:r>
            <w:r w:rsidDel="00000000" w:rsidR="00000000" w:rsidRPr="00000000">
              <w:rPr>
                <w:rFonts w:ascii="Times New Roman" w:cs="Times New Roman" w:eastAsia="Times New Roman" w:hAnsi="Times New Roman"/>
                <w:i w:val="1"/>
                <w:sz w:val="24"/>
                <w:szCs w:val="24"/>
                <w:rtl w:val="0"/>
              </w:rPr>
              <w:t xml:space="preserve">Diponegoro Law Review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(1), 405-413</w:t>
            </w:r>
          </w:p>
          <w:p w:rsidR="00000000" w:rsidDel="00000000" w:rsidP="00000000" w:rsidRDefault="00000000" w:rsidRPr="00000000" w14:paraId="00000047">
            <w:pPr>
              <w:widowControl w:val="0"/>
              <w:spacing w:after="120" w:line="480" w:lineRule="auto"/>
              <w:ind w:left="48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Dinda Veska. (2020). Kiat pengasuhan di tengah wabah virus corona (COVID-19). Retrieved from </w:t>
            </w:r>
            <w:hyperlink r:id="rId9">
              <w:r w:rsidDel="00000000" w:rsidR="00000000" w:rsidRPr="00000000">
                <w:rPr>
                  <w:rFonts w:ascii="Times New Roman" w:cs="Times New Roman" w:eastAsia="Times New Roman" w:hAnsi="Times New Roman"/>
                  <w:color w:val="0000ff"/>
                  <w:sz w:val="24"/>
                  <w:szCs w:val="24"/>
                  <w:u w:val="single"/>
                  <w:rtl w:val="0"/>
                </w:rPr>
                <w:t xml:space="preserve">https://www.unicef.org/indonesia/id/coronavirus/kiat-pengasuhan-Covid-19</w:t>
              </w:r>
            </w:hyperlink>
            <w:r w:rsidDel="00000000" w:rsidR="00000000" w:rsidRPr="00000000">
              <w:rPr>
                <w:rtl w:val="0"/>
              </w:rPr>
            </w:r>
          </w:p>
          <w:p w:rsidR="00000000" w:rsidDel="00000000" w:rsidP="00000000" w:rsidRDefault="00000000" w:rsidRPr="00000000" w14:paraId="00000048">
            <w:pPr>
              <w:widowControl w:val="0"/>
              <w:spacing w:after="120" w:line="480" w:lineRule="auto"/>
              <w:ind w:left="48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Dody Nur Andriyan. (2018). Dewan Perwakilan Daerah Republik Indonesia dalam Perspektif Teori Bicameralism. </w:t>
            </w:r>
            <w:r w:rsidDel="00000000" w:rsidR="00000000" w:rsidRPr="00000000">
              <w:rPr>
                <w:rFonts w:ascii="Times New Roman" w:cs="Times New Roman" w:eastAsia="Times New Roman" w:hAnsi="Times New Roman"/>
                <w:i w:val="1"/>
                <w:sz w:val="24"/>
                <w:szCs w:val="24"/>
                <w:rtl w:val="0"/>
              </w:rPr>
              <w:t xml:space="preserve">Jurnal Volksgeist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(1), 82-92</w:t>
            </w:r>
          </w:p>
          <w:p w:rsidR="00000000" w:rsidDel="00000000" w:rsidP="00000000" w:rsidRDefault="00000000" w:rsidRPr="00000000" w14:paraId="00000049">
            <w:pPr>
              <w:widowControl w:val="0"/>
              <w:spacing w:after="120" w:line="480" w:lineRule="auto"/>
              <w:ind w:left="48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Menell, P. S. (2019). </w:t>
            </w:r>
            <w:r w:rsidDel="00000000" w:rsidR="00000000" w:rsidRPr="00000000">
              <w:rPr>
                <w:rFonts w:ascii="Times New Roman" w:cs="Times New Roman" w:eastAsia="Times New Roman" w:hAnsi="Times New Roman"/>
                <w:i w:val="1"/>
                <w:sz w:val="24"/>
                <w:szCs w:val="24"/>
                <w:rtl w:val="0"/>
              </w:rPr>
              <w:t xml:space="preserve">Environmental Law</w:t>
            </w:r>
            <w:r w:rsidDel="00000000" w:rsidR="00000000" w:rsidRPr="00000000">
              <w:rPr>
                <w:rFonts w:ascii="Times New Roman" w:cs="Times New Roman" w:eastAsia="Times New Roman" w:hAnsi="Times New Roman"/>
                <w:sz w:val="24"/>
                <w:szCs w:val="24"/>
                <w:rtl w:val="0"/>
              </w:rPr>
              <w:t xml:space="preserve">. Oxford: Routledge</w:t>
            </w:r>
          </w:p>
          <w:p w:rsidR="00000000" w:rsidDel="00000000" w:rsidP="00000000" w:rsidRDefault="00000000" w:rsidRPr="00000000" w14:paraId="0000004A">
            <w:pPr>
              <w:widowControl w:val="0"/>
              <w:spacing w:after="120" w:line="480" w:lineRule="auto"/>
              <w:ind w:left="48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(2020). Pertanyaan dan jawaban terkait Coronavirus. Retrieved from https://www.who.int/indonesia/news/novel-coronavirus/qa-for-public</w:t>
            </w:r>
          </w:p>
          <w:p w:rsidR="00000000" w:rsidDel="00000000" w:rsidP="00000000" w:rsidRDefault="00000000" w:rsidRPr="00000000" w14:paraId="0000004B">
            <w:pPr>
              <w:widowControl w:val="0"/>
              <w:spacing w:after="120" w:line="480" w:lineRule="auto"/>
              <w:ind w:left="480" w:hanging="480"/>
              <w:jc w:val="both"/>
              <w:rPr>
                <w:rFonts w:ascii="Book Antiqua" w:cs="Book Antiqua" w:eastAsia="Book Antiqua" w:hAnsi="Book Antiqua"/>
                <w:sz w:val="24"/>
                <w:szCs w:val="24"/>
              </w:rPr>
            </w:pPr>
            <w:r w:rsidDel="00000000" w:rsidR="00000000" w:rsidRPr="00000000">
              <w:rPr>
                <w:rFonts w:ascii="Times New Roman" w:cs="Times New Roman" w:eastAsia="Times New Roman" w:hAnsi="Times New Roman"/>
                <w:sz w:val="24"/>
                <w:szCs w:val="24"/>
                <w:rtl w:val="0"/>
              </w:rPr>
              <w:t xml:space="preserve">Wu, J., Liu, J., Jin, X., &amp; Sing, M. C. P. (2016). Government accountability within infrastructure public–private partnerships. </w:t>
            </w:r>
            <w:r w:rsidDel="00000000" w:rsidR="00000000" w:rsidRPr="00000000">
              <w:rPr>
                <w:rFonts w:ascii="Times New Roman" w:cs="Times New Roman" w:eastAsia="Times New Roman" w:hAnsi="Times New Roman"/>
                <w:i w:val="1"/>
                <w:sz w:val="24"/>
                <w:szCs w:val="24"/>
                <w:rtl w:val="0"/>
              </w:rPr>
              <w:t xml:space="preserve">International Journal of Project Management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34</w:t>
            </w:r>
            <w:r w:rsidDel="00000000" w:rsidR="00000000" w:rsidRPr="00000000">
              <w:rPr>
                <w:rFonts w:ascii="Times New Roman" w:cs="Times New Roman" w:eastAsia="Times New Roman" w:hAnsi="Times New Roman"/>
                <w:sz w:val="24"/>
                <w:szCs w:val="24"/>
                <w:rtl w:val="0"/>
              </w:rPr>
              <w:t xml:space="preserve">(8), 1471–1478</w:t>
            </w: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tc>
      </w:tr>
      <w:tr>
        <w:trPr>
          <w:cantSplit w:val="0"/>
          <w:trHeight w:val="249" w:hRule="atLeast"/>
          <w:tblHeader w:val="0"/>
        </w:trPr>
        <w:tc>
          <w:tcPr>
            <w:vMerge w:val="restart"/>
            <w:shd w:fill="auto" w:val="clear"/>
          </w:tcPr>
          <w:p w:rsidR="00000000" w:rsidDel="00000000" w:rsidP="00000000" w:rsidRDefault="00000000" w:rsidRPr="00000000" w14:paraId="0000004D">
            <w:pPr>
              <w:spacing w:after="0" w:line="240" w:lineRule="auto"/>
              <w:jc w:val="both"/>
              <w:rPr>
                <w:rFonts w:ascii="Book Antiqua" w:cs="Book Antiqua" w:eastAsia="Book Antiqua" w:hAnsi="Book Antiqua"/>
                <w:sz w:val="20"/>
                <w:szCs w:val="20"/>
              </w:rPr>
            </w:pPr>
            <w:r w:rsidDel="00000000" w:rsidR="00000000" w:rsidRPr="00000000">
              <w:rPr>
                <w:rtl w:val="0"/>
              </w:rPr>
            </w:r>
          </w:p>
        </w:tc>
      </w:tr>
      <w:tr>
        <w:trPr>
          <w:cantSplit w:val="0"/>
          <w:trHeight w:val="286" w:hRule="atLeast"/>
          <w:tblHeader w:val="0"/>
        </w:trPr>
        <w:tc>
          <w:tcPr>
            <w:vMerge w:val="continue"/>
            <w:shd w:fill="auto"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sz w:val="20"/>
                <w:szCs w:val="20"/>
              </w:rPr>
            </w:pPr>
            <w:r w:rsidDel="00000000" w:rsidR="00000000" w:rsidRPr="00000000">
              <w:rPr>
                <w:rtl w:val="0"/>
              </w:rPr>
            </w:r>
          </w:p>
        </w:tc>
      </w:tr>
      <w:tr>
        <w:trPr>
          <w:cantSplit w:val="0"/>
          <w:trHeight w:val="286" w:hRule="atLeast"/>
          <w:tblHeader w:val="0"/>
        </w:trPr>
        <w:tc>
          <w:tcPr>
            <w:vMerge w:val="continue"/>
            <w:shd w:fill="auto"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sz w:val="20"/>
                <w:szCs w:val="20"/>
              </w:rPr>
            </w:pPr>
            <w:r w:rsidDel="00000000" w:rsidR="00000000" w:rsidRPr="00000000">
              <w:rPr>
                <w:rtl w:val="0"/>
              </w:rPr>
            </w:r>
          </w:p>
        </w:tc>
      </w:tr>
      <w:tr>
        <w:trPr>
          <w:cantSplit w:val="0"/>
          <w:trHeight w:val="249" w:hRule="atLeast"/>
          <w:tblHeader w:val="0"/>
        </w:trPr>
        <w:tc>
          <w:tcPr>
            <w:shd w:fill="auto" w:val="clear"/>
          </w:tcPr>
          <w:p w:rsidR="00000000" w:rsidDel="00000000" w:rsidP="00000000" w:rsidRDefault="00000000" w:rsidRPr="00000000" w14:paraId="00000050">
            <w:pPr>
              <w:pStyle w:val="Heading3"/>
              <w:pBdr>
                <w:top w:color="000000" w:space="0" w:sz="0" w:val="none"/>
                <w:left w:color="000000" w:space="0" w:sz="0" w:val="none"/>
                <w:bottom w:color="000000" w:space="0" w:sz="0" w:val="none"/>
                <w:right w:color="000000" w:space="0" w:sz="0" w:val="none"/>
                <w:between w:color="000000" w:space="0" w:sz="0" w:val="none"/>
              </w:pBdr>
              <w:spacing w:after="60" w:before="0" w:line="240" w:lineRule="auto"/>
              <w:rPr>
                <w:rFonts w:ascii="Book Antiqua" w:cs="Book Antiqua" w:eastAsia="Book Antiqua" w:hAnsi="Book Antiqua"/>
                <w:i w:val="1"/>
                <w:sz w:val="18"/>
                <w:szCs w:val="18"/>
              </w:rPr>
            </w:pPr>
            <w:r w:rsidDel="00000000" w:rsidR="00000000" w:rsidRPr="00000000">
              <w:rPr>
                <w:rFonts w:ascii="Book Antiqua" w:cs="Book Antiqua" w:eastAsia="Book Antiqua" w:hAnsi="Book Antiqua"/>
                <w:i w:val="1"/>
                <w:sz w:val="18"/>
                <w:szCs w:val="18"/>
                <w:rtl w:val="0"/>
              </w:rPr>
              <w:t xml:space="preserve">.</w:t>
            </w:r>
          </w:p>
        </w:tc>
      </w:tr>
    </w:tbl>
    <w:p w:rsidR="00000000" w:rsidDel="00000000" w:rsidP="00000000" w:rsidRDefault="00000000" w:rsidRPr="00000000" w14:paraId="00000051">
      <w:pPr>
        <w:spacing w:after="0" w:line="240" w:lineRule="auto"/>
        <w:rPr>
          <w:rFonts w:ascii="Book Antiqua" w:cs="Book Antiqua" w:eastAsia="Book Antiqua" w:hAnsi="Book Antiqua"/>
          <w:sz w:val="24"/>
          <w:szCs w:val="24"/>
        </w:rPr>
      </w:pPr>
      <w:bookmarkStart w:colFirst="0" w:colLast="0" w:name="_heading=h.1fob9te" w:id="1"/>
      <w:bookmarkEnd w:id="1"/>
      <w:r w:rsidDel="00000000" w:rsidR="00000000" w:rsidRPr="00000000">
        <w:rPr>
          <w:rtl w:val="0"/>
        </w:rPr>
      </w:r>
    </w:p>
    <w:sectPr>
      <w:headerReference r:id="rId10" w:type="default"/>
      <w:footerReference r:id="rId11" w:type="default"/>
      <w:footerReference r:id="rId12" w:type="even"/>
      <w:pgSz w:h="16838" w:w="11906" w:orient="portrait"/>
      <w:pgMar w:bottom="1701" w:top="1701" w:left="1701" w:right="170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Times"/>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Book Antiqua" w:cs="Book Antiqua" w:eastAsia="Book Antiqua" w:hAnsi="Book Antiqua"/>
        <w:b w:val="1"/>
        <w:color w:val="c00000"/>
        <w:sz w:val="20"/>
        <w:szCs w:val="20"/>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Book Antiqua" w:cs="Book Antiqua" w:eastAsia="Book Antiqua" w:hAnsi="Book Antiqua"/>
        <w:b w:val="1"/>
        <w:color w:val="c00000"/>
        <w:sz w:val="20"/>
        <w:szCs w:val="20"/>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Book Antiqua" w:cs="Book Antiqua" w:eastAsia="Book Antiqua" w:hAnsi="Book Antiqua"/>
        <w:b w:val="1"/>
        <w:color w:val="c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rFonts w:ascii="Book Antiqua" w:cs="Book Antiqua" w:eastAsia="Book Antiqua" w:hAnsi="Book Antiqua"/>
        <w:b w:val="1"/>
        <w:color w:val="000000"/>
        <w:sz w:val="20"/>
        <w:szCs w:val="20"/>
      </w:rPr>
    </w:pPr>
    <w:r w:rsidDel="00000000" w:rsidR="00000000" w:rsidRPr="00000000">
      <w:rPr>
        <w:rFonts w:ascii="Book Antiqua" w:cs="Book Antiqua" w:eastAsia="Book Antiqua" w:hAnsi="Book Antiqua"/>
        <w:b w:val="1"/>
        <w:color w:val="000000"/>
        <w:sz w:val="20"/>
        <w:szCs w:val="20"/>
        <w:rtl w:val="0"/>
      </w:rPr>
      <w:t xml:space="preserve">P-ISSN: 2656-534X</w:t>
    </w:r>
    <w:r w:rsidDel="00000000" w:rsidR="00000000" w:rsidRPr="00000000">
      <w:rPr>
        <w:rFonts w:ascii="Book Antiqua" w:cs="Book Antiqua" w:eastAsia="Book Antiqua" w:hAnsi="Book Antiqua"/>
        <w:color w:val="000000"/>
        <w:sz w:val="20"/>
        <w:szCs w:val="20"/>
        <w:rtl w:val="0"/>
      </w:rPr>
      <w:t xml:space="preserve">,</w:t>
    </w:r>
    <w:r w:rsidDel="00000000" w:rsidR="00000000" w:rsidRPr="00000000">
      <w:rPr>
        <w:rFonts w:ascii="Book Antiqua" w:cs="Book Antiqua" w:eastAsia="Book Antiqua" w:hAnsi="Book Antiqua"/>
        <w:b w:val="1"/>
        <w:color w:val="000000"/>
        <w:sz w:val="20"/>
        <w:szCs w:val="20"/>
        <w:rtl w:val="0"/>
      </w:rPr>
      <w:t xml:space="preserve"> E-ISSN: 2656-5358</w:t>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rFonts w:ascii="Book Antiqua" w:cs="Book Antiqua" w:eastAsia="Book Antiqua" w:hAnsi="Book Antiqua"/>
        <w:b w:val="1"/>
        <w:color w:val="000000"/>
        <w:sz w:val="20"/>
        <w:szCs w:val="20"/>
      </w:rPr>
    </w:pPr>
    <w:r w:rsidDel="00000000" w:rsidR="00000000" w:rsidRPr="00000000">
      <w:rPr>
        <w:rFonts w:ascii="Book Antiqua" w:cs="Book Antiqua" w:eastAsia="Book Antiqua" w:hAnsi="Book Antiqua"/>
        <w:b w:val="1"/>
        <w:color w:val="000000"/>
        <w:sz w:val="20"/>
        <w:szCs w:val="20"/>
        <w:rtl w:val="0"/>
      </w:rPr>
      <w:t xml:space="preserve">Jurnal Suara Hukum</w:t>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576" w:hanging="360"/>
      </w:pPr>
      <w:rPr/>
    </w:lvl>
    <w:lvl w:ilvl="1">
      <w:start w:val="1"/>
      <w:numFmt w:val="lowerLetter"/>
      <w:lvlText w:val="%2."/>
      <w:lvlJc w:val="left"/>
      <w:pPr>
        <w:ind w:left="1296" w:hanging="360"/>
      </w:pPr>
      <w:rPr/>
    </w:lvl>
    <w:lvl w:ilvl="2">
      <w:start w:val="1"/>
      <w:numFmt w:val="lowerRoman"/>
      <w:lvlText w:val="%3."/>
      <w:lvlJc w:val="right"/>
      <w:pPr>
        <w:ind w:left="2016" w:hanging="180"/>
      </w:pPr>
      <w:rPr/>
    </w:lvl>
    <w:lvl w:ilvl="3">
      <w:start w:val="1"/>
      <w:numFmt w:val="decimal"/>
      <w:lvlText w:val="%4."/>
      <w:lvlJc w:val="left"/>
      <w:pPr>
        <w:ind w:left="2736" w:hanging="360"/>
      </w:pPr>
      <w:rPr/>
    </w:lvl>
    <w:lvl w:ilvl="4">
      <w:start w:val="1"/>
      <w:numFmt w:val="lowerLetter"/>
      <w:lvlText w:val="%5."/>
      <w:lvlJc w:val="left"/>
      <w:pPr>
        <w:ind w:left="3456" w:hanging="360"/>
      </w:pPr>
      <w:rPr/>
    </w:lvl>
    <w:lvl w:ilvl="5">
      <w:start w:val="1"/>
      <w:numFmt w:val="lowerRoman"/>
      <w:lvlText w:val="%6."/>
      <w:lvlJc w:val="right"/>
      <w:pPr>
        <w:ind w:left="4176" w:hanging="180"/>
      </w:pPr>
      <w:rPr/>
    </w:lvl>
    <w:lvl w:ilvl="6">
      <w:start w:val="1"/>
      <w:numFmt w:val="decimal"/>
      <w:lvlText w:val="%7."/>
      <w:lvlJc w:val="left"/>
      <w:pPr>
        <w:ind w:left="4896" w:hanging="360"/>
      </w:pPr>
      <w:rPr/>
    </w:lvl>
    <w:lvl w:ilvl="7">
      <w:start w:val="1"/>
      <w:numFmt w:val="lowerLetter"/>
      <w:lvlText w:val="%8."/>
      <w:lvlJc w:val="left"/>
      <w:pPr>
        <w:ind w:left="5616" w:hanging="360"/>
      </w:pPr>
      <w:rPr/>
    </w:lvl>
    <w:lvl w:ilvl="8">
      <w:start w:val="1"/>
      <w:numFmt w:val="lowerRoman"/>
      <w:lvlText w:val="%9."/>
      <w:lvlJc w:val="right"/>
      <w:pPr>
        <w:ind w:left="6336"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120" w:before="240" w:line="360" w:lineRule="auto"/>
    </w:pPr>
    <w:rPr>
      <w:rFonts w:ascii="Times" w:cs="Times" w:eastAsia="Times" w:hAnsi="Times"/>
      <w:b w:val="1"/>
      <w:color w:val="000000"/>
      <w:sz w:val="28"/>
      <w:szCs w:val="28"/>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120" w:before="40" w:line="360" w:lineRule="auto"/>
    </w:pPr>
    <w:rPr>
      <w:rFonts w:ascii="Times" w:cs="Times" w:eastAsia="Times" w:hAnsi="Times"/>
      <w:b w:val="1"/>
      <w:color w:val="000000"/>
      <w:sz w:val="24"/>
      <w:szCs w:val="24"/>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120" w:before="40" w:line="360" w:lineRule="auto"/>
    </w:pPr>
    <w:rPr>
      <w:rFonts w:ascii="Times New Roman" w:cs="Times New Roman" w:eastAsia="Times New Roman" w:hAnsi="Times New Roman"/>
      <w:color w:val="000000"/>
      <w:sz w:val="24"/>
      <w:szCs w:val="24"/>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0" w:before="200" w:line="360" w:lineRule="auto"/>
    </w:pPr>
    <w:rPr>
      <w:rFonts w:ascii="Times New Roman" w:cs="Times New Roman" w:eastAsia="Times New Roman" w:hAnsi="Times New Roman"/>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top w:space="0" w:sz="0" w:val="nil"/>
        <w:left w:space="0" w:sz="0" w:val="nil"/>
        <w:bottom w:color="4f81bd" w:space="4" w:sz="8" w:val="single"/>
        <w:right w:space="0" w:sz="0" w:val="nil"/>
        <w:between w:space="0" w:sz="0" w:val="nil"/>
      </w:pBdr>
      <w:spacing w:after="300" w:line="240" w:lineRule="auto"/>
    </w:pPr>
    <w:rPr>
      <w:rFonts w:ascii="Cambria" w:cs="Cambria" w:eastAsia="Cambria" w:hAnsi="Cambria"/>
      <w:color w:val="17365d"/>
      <w:sz w:val="52"/>
      <w:szCs w:val="52"/>
    </w:r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120" w:before="240" w:line="360" w:lineRule="auto"/>
      <w:outlineLvl w:val="0"/>
    </w:pPr>
    <w:rPr>
      <w:rFonts w:ascii="Times" w:cs="Times" w:eastAsia="Times" w:hAnsi="Times"/>
      <w:b w:val="1"/>
      <w:color w:val="000000"/>
      <w:sz w:val="28"/>
      <w:szCs w:val="28"/>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120" w:before="40" w:line="360" w:lineRule="auto"/>
      <w:outlineLvl w:val="1"/>
    </w:pPr>
    <w:rPr>
      <w:rFonts w:ascii="Times" w:cs="Times" w:eastAsia="Times" w:hAnsi="Times"/>
      <w:b w:val="1"/>
      <w:color w:val="000000"/>
      <w:sz w:val="24"/>
      <w:szCs w:val="24"/>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120" w:before="40" w:line="360" w:lineRule="auto"/>
      <w:outlineLvl w:val="2"/>
    </w:pPr>
    <w:rPr>
      <w:rFonts w:ascii="Times New Roman" w:cs="Times New Roman" w:eastAsia="Times New Roman" w:hAnsi="Times New Roman"/>
      <w:color w:val="000000"/>
      <w:sz w:val="24"/>
      <w:szCs w:val="24"/>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0" w:before="200" w:line="360" w:lineRule="auto"/>
      <w:outlineLvl w:val="3"/>
    </w:pPr>
    <w:rPr>
      <w:rFonts w:ascii="Times New Roman" w:cs="Times New Roman" w:eastAsia="Times New Roman" w:hAnsi="Times New Roman"/>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pBdr>
        <w:top w:space="0" w:sz="0" w:val="nil"/>
        <w:left w:space="0" w:sz="0" w:val="nil"/>
        <w:bottom w:color="4f81bd" w:space="4" w:sz="8" w:val="single"/>
        <w:right w:space="0" w:sz="0" w:val="nil"/>
        <w:between w:space="0" w:sz="0" w:val="nil"/>
      </w:pBdr>
      <w:spacing w:after="30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Ind w:w="0.0" w:type="dxa"/>
      <w:tblCellMar>
        <w:top w:w="0.0" w:type="dxa"/>
        <w:left w:w="115.0" w:type="dxa"/>
        <w:bottom w:w="0.0" w:type="dxa"/>
        <w:right w:w="115.0" w:type="dxa"/>
      </w:tblCellMar>
    </w:tblPr>
  </w:style>
  <w:style w:type="table" w:styleId="a0" w:customStyle="1">
    <w:basedOn w:val="TableNormal"/>
    <w:tblPr>
      <w:tblStyleRowBandSize w:val="1"/>
      <w:tblStyleColBandSize w:val="1"/>
      <w:tblInd w:w="0.0" w:type="dxa"/>
      <w:tblCellMar>
        <w:top w:w="0.0" w:type="dxa"/>
        <w:left w:w="115.0" w:type="dxa"/>
        <w:bottom w:w="0.0" w:type="dxa"/>
        <w:right w:w="115.0" w:type="dxa"/>
      </w:tblCellMar>
    </w:tblPr>
  </w:style>
  <w:style w:type="paragraph" w:styleId="BodyText">
    <w:name w:val="Body Text"/>
    <w:basedOn w:val="Normal"/>
    <w:link w:val="BodyTextChar"/>
    <w:rsid w:val="00FC3AA4"/>
    <w:pPr>
      <w:tabs>
        <w:tab w:val="left" w:pos="288"/>
      </w:tabs>
      <w:spacing w:after="120" w:line="228" w:lineRule="auto"/>
      <w:ind w:firstLine="288"/>
      <w:jc w:val="both"/>
    </w:pPr>
    <w:rPr>
      <w:rFonts w:ascii="Times New Roman" w:cs="Times New Roman" w:eastAsia="SimSun" w:hAnsi="Times New Roman"/>
      <w:spacing w:val="-1"/>
      <w:sz w:val="20"/>
      <w:szCs w:val="20"/>
      <w:lang w:eastAsia="x-none" w:val="x-none"/>
    </w:rPr>
  </w:style>
  <w:style w:type="character" w:styleId="BodyTextChar" w:customStyle="1">
    <w:name w:val="Body Text Char"/>
    <w:basedOn w:val="DefaultParagraphFont"/>
    <w:link w:val="BodyText"/>
    <w:rsid w:val="00FC3AA4"/>
    <w:rPr>
      <w:rFonts w:ascii="Times New Roman" w:cs="Times New Roman" w:eastAsia="SimSun" w:hAnsi="Times New Roman"/>
      <w:spacing w:val="-1"/>
      <w:sz w:val="20"/>
      <w:szCs w:val="20"/>
      <w:lang w:eastAsia="x-none" w:val="x-none"/>
    </w:rPr>
  </w:style>
  <w:style w:type="paragraph" w:styleId="tablefootnote" w:customStyle="1">
    <w:name w:val="table footnote"/>
    <w:rsid w:val="00FC3AA4"/>
    <w:pPr>
      <w:spacing w:after="30" w:before="60" w:line="240" w:lineRule="auto"/>
      <w:ind w:left="58" w:hanging="29"/>
      <w:jc w:val="right"/>
    </w:pPr>
    <w:rPr>
      <w:rFonts w:ascii="Times New Roman" w:cs="Times New Roman" w:eastAsia="SimSun" w:hAnsi="Times New Roman"/>
      <w:sz w:val="12"/>
      <w:szCs w:val="12"/>
    </w:rPr>
  </w:style>
  <w:style w:type="paragraph" w:styleId="tablehead" w:customStyle="1">
    <w:name w:val="table head"/>
    <w:rsid w:val="00FC3AA4"/>
    <w:pPr>
      <w:spacing w:after="120" w:before="240" w:line="216" w:lineRule="auto"/>
      <w:ind w:left="576" w:hanging="360"/>
      <w:jc w:val="center"/>
    </w:pPr>
    <w:rPr>
      <w:rFonts w:ascii="Times New Roman" w:cs="Times New Roman" w:eastAsia="SimSun" w:hAnsi="Times New Roman"/>
      <w:smallCaps w:val="1"/>
      <w:noProof w:val="1"/>
      <w:sz w:val="16"/>
      <w:szCs w:val="16"/>
    </w:rPr>
  </w:style>
  <w:style w:type="paragraph" w:styleId="ListParagraph">
    <w:name w:val="List Paragraph"/>
    <w:basedOn w:val="Normal"/>
    <w:uiPriority w:val="34"/>
    <w:qFormat w:val="1"/>
    <w:rsid w:val="00FC3AA4"/>
    <w:pPr>
      <w:ind w:left="720"/>
      <w:contextualSpacing w:val="1"/>
    </w:pPr>
    <w:rPr>
      <w:rFonts w:cs="Times New Roman"/>
      <w:lang w:val="id-ID"/>
    </w:rPr>
  </w:style>
  <w:style w:type="paragraph" w:styleId="HTMLPreformatted">
    <w:name w:val="HTML Preformatted"/>
    <w:basedOn w:val="Normal"/>
    <w:link w:val="HTMLPreformattedChar"/>
    <w:uiPriority w:val="99"/>
    <w:unhideWhenUsed w:val="1"/>
    <w:rsid w:val="00FC3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rsid w:val="00FC3AA4"/>
    <w:rPr>
      <w:rFonts w:ascii="Courier New" w:cs="Courier New" w:eastAsia="Times New Roman" w:hAnsi="Courier New"/>
      <w:sz w:val="20"/>
      <w:szCs w:val="20"/>
    </w:rPr>
  </w:style>
  <w:style w:type="character" w:styleId="Hyperlink">
    <w:name w:val="Hyperlink"/>
    <w:basedOn w:val="DefaultParagraphFont"/>
    <w:uiPriority w:val="99"/>
    <w:unhideWhenUsed w:val="1"/>
    <w:rsid w:val="00C8750E"/>
    <w:rPr>
      <w:color w:val="0000ff" w:themeColor="hyperlink"/>
      <w:u w:val="single"/>
    </w:rPr>
  </w:style>
  <w:style w:type="table" w:styleId="a1" w:customStyle="1">
    <w:basedOn w:val="TableNormal"/>
    <w:tblPr>
      <w:tblStyleRowBandSize w:val="1"/>
      <w:tblStyleColBandSize w:val="1"/>
      <w:tblInd w:w="0.0" w:type="dxa"/>
      <w:tblCellMar>
        <w:top w:w="0.0" w:type="dxa"/>
        <w:left w:w="115.0" w:type="dxa"/>
        <w:bottom w:w="0.0" w:type="dxa"/>
        <w:right w:w="115.0" w:type="dxa"/>
      </w:tblCellMar>
    </w:tblPr>
  </w:style>
  <w:style w:type="table" w:styleId="a2" w:customStyle="1">
    <w:basedOn w:val="TableNormal"/>
    <w:tblPr>
      <w:tblStyleRowBandSize w:val="1"/>
      <w:tblStyleColBandSize w:val="1"/>
      <w:tblInd w:w="0.0" w:type="dxa"/>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yperlink" Target="https://www.unicef.org/indonesia/id/coronavirus/kiat-pengasuhan-COVID-1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limasnun@unesa.ac.id" TargetMode="External"/><Relationship Id="rId8" Type="http://schemas.openxmlformats.org/officeDocument/2006/relationships/hyperlink" Target="mailto:aiuelisabeth@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ARuj+A/uJ89GOJMvYS9/cWgg0Q==">CgMxLjAyCWguMzBqMHpsbDIJaC4xZm9iOXRlOAByITE2NXc4c1dUQ2xmNmVRcVplV2dCcjJUYmcxN2FUaHl1Qw==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2024-06-20T04:22:00Z</dcterms:created>
  <dc:creator>asus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http://www.zotero.org/styles/chicago-fullnote-bibliography</vt:lpwstr>
  </property>
  <property fmtid="{D5CDD505-2E9C-101B-9397-08002B2CF9AE}" pid="11" name="Mendeley Recent Style Name 4_1">
    <vt:lpwstr>Chicago Manual of Style 17th edition (full note)</vt:lpwstr>
  </property>
  <property fmtid="{D5CDD505-2E9C-101B-9397-08002B2CF9AE}" pid="12" name="Mendeley Recent Style Id 5_1">
    <vt:lpwstr>http://www.zotero.org/styles/chicago-note-bibliography</vt:lpwstr>
  </property>
  <property fmtid="{D5CDD505-2E9C-101B-9397-08002B2CF9AE}" pid="13" name="Mendeley Recent Style Name 5_1">
    <vt:lpwstr>Chicago Manual of Style 17th edition (note)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http://www.zotero.org/styles/turabian-fullnote-bibliography</vt:lpwstr>
  </property>
  <property fmtid="{D5CDD505-2E9C-101B-9397-08002B2CF9AE}" pid="19" name="Mendeley Recent Style Name 8_1">
    <vt:lpwstr>Turabian 8th edition (full note)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Citation Style_1">
    <vt:lpwstr>http://www.zotero.org/styles/apa</vt:lpwstr>
  </property>
  <property fmtid="{D5CDD505-2E9C-101B-9397-08002B2CF9AE}" pid="23" name="Mendeley Document_1">
    <vt:lpwstr>True</vt:lpwstr>
  </property>
  <property fmtid="{D5CDD505-2E9C-101B-9397-08002B2CF9AE}" pid="24" name="Mendeley Unique User Id_1">
    <vt:lpwstr>d1d25baf-2a94-3361-93e4-6a1aef902a0f</vt:lpwstr>
  </property>
</Properties>
</file>