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AC4" w:rsidRDefault="009A6AC4" w:rsidP="00C34E5D">
      <w:pPr>
        <w:pStyle w:val="Heading1"/>
        <w:spacing w:after="240"/>
        <w:rPr>
          <w:b/>
          <w:color w:val="auto"/>
        </w:rPr>
      </w:pPr>
      <w:r w:rsidRPr="00C34E5D">
        <w:rPr>
          <w:b/>
          <w:color w:val="auto"/>
        </w:rPr>
        <w:t>Kickstarter campaigns</w:t>
      </w:r>
      <w:r w:rsidR="00EE36E4">
        <w:rPr>
          <w:b/>
          <w:color w:val="auto"/>
        </w:rPr>
        <w:t>’</w:t>
      </w:r>
      <w:r w:rsidRPr="00C34E5D">
        <w:rPr>
          <w:b/>
          <w:color w:val="auto"/>
        </w:rPr>
        <w:t xml:space="preserve"> analysis</w:t>
      </w:r>
      <w:r w:rsidR="00EE36E4">
        <w:rPr>
          <w:b/>
          <w:color w:val="auto"/>
        </w:rPr>
        <w:t xml:space="preserve"> results</w:t>
      </w:r>
      <w:r w:rsidR="00F72753">
        <w:rPr>
          <w:b/>
          <w:color w:val="auto"/>
        </w:rPr>
        <w:t xml:space="preserve"> </w:t>
      </w:r>
    </w:p>
    <w:p w:rsidR="009A6AC4" w:rsidRPr="00C34E5D" w:rsidRDefault="009A6AC4" w:rsidP="00C34E5D">
      <w:pPr>
        <w:pStyle w:val="Heading2"/>
        <w:spacing w:after="240"/>
        <w:rPr>
          <w:b/>
          <w:color w:val="auto"/>
          <w:sz w:val="24"/>
        </w:rPr>
      </w:pPr>
      <w:r w:rsidRPr="00C34E5D">
        <w:rPr>
          <w:b/>
          <w:color w:val="auto"/>
          <w:sz w:val="28"/>
        </w:rPr>
        <w:t>Conclusions</w:t>
      </w:r>
    </w:p>
    <w:p w:rsidR="009A6AC4" w:rsidRDefault="009A6AC4" w:rsidP="009A6AC4">
      <w:pPr>
        <w:pStyle w:val="ListParagraph"/>
        <w:numPr>
          <w:ilvl w:val="0"/>
          <w:numId w:val="1"/>
        </w:numPr>
        <w:rPr>
          <w:sz w:val="24"/>
        </w:rPr>
      </w:pPr>
      <w:r>
        <w:rPr>
          <w:sz w:val="24"/>
        </w:rPr>
        <w:t xml:space="preserve">According to the </w:t>
      </w:r>
      <w:r w:rsidR="00EE36E4">
        <w:rPr>
          <w:sz w:val="24"/>
        </w:rPr>
        <w:t xml:space="preserve">performed </w:t>
      </w:r>
      <w:r w:rsidR="009F493B">
        <w:rPr>
          <w:sz w:val="24"/>
        </w:rPr>
        <w:t xml:space="preserve">data </w:t>
      </w:r>
      <w:r>
        <w:rPr>
          <w:sz w:val="24"/>
        </w:rPr>
        <w:t xml:space="preserve">analysis we can conclude that </w:t>
      </w:r>
      <w:r w:rsidR="009F493B">
        <w:rPr>
          <w:sz w:val="24"/>
        </w:rPr>
        <w:t xml:space="preserve">the most popular </w:t>
      </w:r>
      <w:r w:rsidR="00EE36E4">
        <w:rPr>
          <w:sz w:val="24"/>
        </w:rPr>
        <w:t xml:space="preserve">campaign </w:t>
      </w:r>
      <w:r w:rsidR="009F493B">
        <w:rPr>
          <w:sz w:val="24"/>
        </w:rPr>
        <w:t xml:space="preserve">category </w:t>
      </w:r>
      <w:r w:rsidR="00EE36E4">
        <w:rPr>
          <w:sz w:val="24"/>
        </w:rPr>
        <w:t>is ‘</w:t>
      </w:r>
      <w:r w:rsidR="009F493B">
        <w:rPr>
          <w:sz w:val="24"/>
        </w:rPr>
        <w:t>theater</w:t>
      </w:r>
      <w:r w:rsidR="00EE36E4">
        <w:rPr>
          <w:sz w:val="24"/>
        </w:rPr>
        <w:t>’</w:t>
      </w:r>
      <w:r w:rsidR="009F493B">
        <w:rPr>
          <w:sz w:val="24"/>
        </w:rPr>
        <w:t xml:space="preserve"> because </w:t>
      </w:r>
      <w:r>
        <w:rPr>
          <w:sz w:val="24"/>
        </w:rPr>
        <w:t xml:space="preserve">the largest amount of campaigns was related to </w:t>
      </w:r>
      <w:r w:rsidR="009516C5">
        <w:rPr>
          <w:sz w:val="24"/>
        </w:rPr>
        <w:t>this</w:t>
      </w:r>
      <w:r>
        <w:rPr>
          <w:sz w:val="24"/>
        </w:rPr>
        <w:t xml:space="preserve"> category </w:t>
      </w:r>
      <w:r w:rsidR="00EE36E4">
        <w:rPr>
          <w:sz w:val="24"/>
        </w:rPr>
        <w:t xml:space="preserve">as well as </w:t>
      </w:r>
      <w:r>
        <w:rPr>
          <w:sz w:val="24"/>
        </w:rPr>
        <w:t xml:space="preserve">the largest number of successful campaigns (see </w:t>
      </w:r>
      <w:r w:rsidR="00EE36E4">
        <w:rPr>
          <w:sz w:val="24"/>
        </w:rPr>
        <w:t xml:space="preserve">picture </w:t>
      </w:r>
      <w:r>
        <w:rPr>
          <w:sz w:val="24"/>
        </w:rPr>
        <w:t>below);</w:t>
      </w:r>
    </w:p>
    <w:p w:rsidR="009A6AC4" w:rsidRDefault="009348F2" w:rsidP="009A6AC4">
      <w:pPr>
        <w:pStyle w:val="ListParagraph"/>
        <w:rPr>
          <w:sz w:val="24"/>
        </w:rPr>
      </w:pPr>
      <w:r>
        <w:rPr>
          <w:noProof/>
        </w:rPr>
        <w:drawing>
          <wp:inline distT="0" distB="0" distL="0" distR="0" wp14:anchorId="770000AB" wp14:editId="2414F423">
            <wp:extent cx="4572000" cy="2838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36E4" w:rsidRDefault="00EE36E4" w:rsidP="00EE36E4">
      <w:pPr>
        <w:pStyle w:val="ListParagraph"/>
        <w:rPr>
          <w:sz w:val="24"/>
        </w:rPr>
      </w:pPr>
    </w:p>
    <w:p w:rsidR="009A6AC4" w:rsidRDefault="009F493B" w:rsidP="009A6AC4">
      <w:pPr>
        <w:pStyle w:val="ListParagraph"/>
        <w:numPr>
          <w:ilvl w:val="0"/>
          <w:numId w:val="1"/>
        </w:numPr>
        <w:rPr>
          <w:sz w:val="24"/>
        </w:rPr>
      </w:pPr>
      <w:r>
        <w:rPr>
          <w:sz w:val="24"/>
        </w:rPr>
        <w:t>Besides that, based on the</w:t>
      </w:r>
      <w:r w:rsidR="009348F2">
        <w:rPr>
          <w:sz w:val="24"/>
        </w:rPr>
        <w:t xml:space="preserve"> analysis</w:t>
      </w:r>
      <w:r>
        <w:rPr>
          <w:sz w:val="24"/>
        </w:rPr>
        <w:t xml:space="preserve"> results</w:t>
      </w:r>
      <w:r w:rsidR="004D1D2A">
        <w:rPr>
          <w:sz w:val="24"/>
        </w:rPr>
        <w:t>,</w:t>
      </w:r>
      <w:r>
        <w:rPr>
          <w:sz w:val="24"/>
        </w:rPr>
        <w:t xml:space="preserve"> we can say that </w:t>
      </w:r>
      <w:r w:rsidR="009348F2">
        <w:rPr>
          <w:sz w:val="24"/>
        </w:rPr>
        <w:t>‘music’ campaigns are more likely to be successful because there is the largest percentage of successful campaigns in this category</w:t>
      </w:r>
      <w:r>
        <w:rPr>
          <w:sz w:val="24"/>
        </w:rPr>
        <w:t xml:space="preserve"> </w:t>
      </w:r>
      <w:r w:rsidR="007320CB">
        <w:rPr>
          <w:sz w:val="24"/>
        </w:rPr>
        <w:t xml:space="preserve">for the whole period of observation </w:t>
      </w:r>
      <w:r>
        <w:rPr>
          <w:sz w:val="24"/>
        </w:rPr>
        <w:t>(see details below);</w:t>
      </w:r>
    </w:p>
    <w:p w:rsidR="009348F2" w:rsidRDefault="009348F2" w:rsidP="009348F2">
      <w:pPr>
        <w:pStyle w:val="ListParagraph"/>
        <w:rPr>
          <w:sz w:val="24"/>
        </w:rPr>
      </w:pPr>
      <w:r>
        <w:rPr>
          <w:noProof/>
        </w:rPr>
        <w:drawing>
          <wp:inline distT="0" distB="0" distL="0" distR="0" wp14:anchorId="51E6FEBE" wp14:editId="7523693F">
            <wp:extent cx="462915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493B" w:rsidRDefault="009F493B" w:rsidP="009F493B">
      <w:pPr>
        <w:pStyle w:val="ListParagraph"/>
        <w:rPr>
          <w:sz w:val="24"/>
        </w:rPr>
      </w:pPr>
    </w:p>
    <w:p w:rsidR="008D20BC" w:rsidRPr="00D0263E" w:rsidRDefault="007320CB" w:rsidP="00D0263E">
      <w:pPr>
        <w:pStyle w:val="ListParagraph"/>
        <w:numPr>
          <w:ilvl w:val="0"/>
          <w:numId w:val="1"/>
        </w:numPr>
        <w:rPr>
          <w:sz w:val="24"/>
        </w:rPr>
      </w:pPr>
      <w:r>
        <w:rPr>
          <w:sz w:val="24"/>
        </w:rPr>
        <w:lastRenderedPageBreak/>
        <w:t>Also</w:t>
      </w:r>
      <w:r w:rsidR="00552DF4">
        <w:rPr>
          <w:sz w:val="24"/>
        </w:rPr>
        <w:t xml:space="preserve"> we can observe the dependency between the number of successful projects and the period of time when these projects were started. </w:t>
      </w:r>
      <w:r w:rsidR="00D130F6">
        <w:rPr>
          <w:sz w:val="24"/>
        </w:rPr>
        <w:t xml:space="preserve">According </w:t>
      </w:r>
      <w:r w:rsidR="00552DF4" w:rsidRPr="00552DF4">
        <w:rPr>
          <w:sz w:val="24"/>
        </w:rPr>
        <w:t>to</w:t>
      </w:r>
      <w:r w:rsidR="00552DF4">
        <w:rPr>
          <w:sz w:val="24"/>
        </w:rPr>
        <w:t xml:space="preserve"> the </w:t>
      </w:r>
      <w:r w:rsidR="00D130F6">
        <w:rPr>
          <w:sz w:val="24"/>
        </w:rPr>
        <w:t>analysis</w:t>
      </w:r>
      <w:r>
        <w:rPr>
          <w:sz w:val="24"/>
        </w:rPr>
        <w:t>,</w:t>
      </w:r>
      <w:r w:rsidR="00552DF4">
        <w:rPr>
          <w:sz w:val="24"/>
        </w:rPr>
        <w:t xml:space="preserve"> there is a positive trend </w:t>
      </w:r>
      <w:r w:rsidR="00D130F6">
        <w:rPr>
          <w:sz w:val="24"/>
        </w:rPr>
        <w:t>among the data presented the count of successful projects started during the period of time since 2009 till 2015</w:t>
      </w:r>
      <w:r w:rsidR="00C8096C">
        <w:rPr>
          <w:sz w:val="24"/>
        </w:rPr>
        <w:t xml:space="preserve"> (except the period of 2013)</w:t>
      </w:r>
      <w:r w:rsidR="00D130F6">
        <w:rPr>
          <w:sz w:val="24"/>
        </w:rPr>
        <w:t xml:space="preserve">. But since 2015 </w:t>
      </w:r>
      <w:r w:rsidR="00D130F6" w:rsidRPr="00D130F6">
        <w:rPr>
          <w:sz w:val="24"/>
        </w:rPr>
        <w:t xml:space="preserve">there has been a considerable </w:t>
      </w:r>
      <w:r w:rsidR="00906F51">
        <w:rPr>
          <w:sz w:val="24"/>
        </w:rPr>
        <w:t>decline in amount of successful campaigns (see table and chart below).</w:t>
      </w:r>
      <w:r w:rsidR="00C8096C">
        <w:rPr>
          <w:sz w:val="24"/>
        </w:rPr>
        <w:t xml:space="preserve"> </w:t>
      </w:r>
      <w:r w:rsidR="005C3871">
        <w:rPr>
          <w:sz w:val="24"/>
        </w:rPr>
        <w:t>It should be</w:t>
      </w:r>
      <w:r w:rsidR="00C8096C">
        <w:rPr>
          <w:sz w:val="24"/>
        </w:rPr>
        <w:t xml:space="preserve"> take</w:t>
      </w:r>
      <w:r w:rsidR="005C3871">
        <w:rPr>
          <w:sz w:val="24"/>
        </w:rPr>
        <w:t>n</w:t>
      </w:r>
      <w:r w:rsidR="00C8096C">
        <w:rPr>
          <w:sz w:val="24"/>
        </w:rPr>
        <w:t xml:space="preserve"> into account that for 2017 we have</w:t>
      </w:r>
      <w:r w:rsidR="005C3871">
        <w:rPr>
          <w:sz w:val="24"/>
        </w:rPr>
        <w:t xml:space="preserve"> data</w:t>
      </w:r>
      <w:r w:rsidR="00C8096C">
        <w:rPr>
          <w:sz w:val="24"/>
        </w:rPr>
        <w:t xml:space="preserve"> only </w:t>
      </w:r>
      <w:r w:rsidR="005C3871">
        <w:rPr>
          <w:sz w:val="24"/>
        </w:rPr>
        <w:t>for three months (Jan</w:t>
      </w:r>
      <w:r w:rsidR="002B15AE">
        <w:rPr>
          <w:sz w:val="24"/>
        </w:rPr>
        <w:t>uary</w:t>
      </w:r>
      <w:r w:rsidR="005C3871">
        <w:rPr>
          <w:sz w:val="24"/>
        </w:rPr>
        <w:t xml:space="preserve"> 2017 – March 2017), so it’s possible to analyze the annual dynamic among the data that related only to 2009 </w:t>
      </w:r>
      <w:r w:rsidR="008D20BC">
        <w:rPr>
          <w:sz w:val="24"/>
        </w:rPr>
        <w:t>–</w:t>
      </w:r>
      <w:r w:rsidR="005C3871">
        <w:rPr>
          <w:sz w:val="24"/>
        </w:rPr>
        <w:t xml:space="preserve"> 2016</w:t>
      </w:r>
      <w:r w:rsidR="008D20BC">
        <w:rPr>
          <w:sz w:val="24"/>
        </w:rPr>
        <w:t>.</w:t>
      </w:r>
      <w:r w:rsidR="00D0263E">
        <w:rPr>
          <w:sz w:val="24"/>
        </w:rPr>
        <w:t xml:space="preserve"> </w:t>
      </w:r>
      <w:r w:rsidR="008D20BC" w:rsidRPr="00D0263E">
        <w:rPr>
          <w:sz w:val="24"/>
        </w:rPr>
        <w:t xml:space="preserve">We can only estimate the total number of campaigns for 2017. E.g. we can extrapolate the total number from the </w:t>
      </w:r>
      <w:r w:rsidR="00D0263E">
        <w:rPr>
          <w:sz w:val="24"/>
        </w:rPr>
        <w:t>first</w:t>
      </w:r>
      <w:r w:rsidR="008D20BC" w:rsidRPr="00D0263E">
        <w:rPr>
          <w:sz w:val="24"/>
        </w:rPr>
        <w:t xml:space="preserve"> t</w:t>
      </w:r>
      <w:r w:rsidR="00D0263E">
        <w:rPr>
          <w:sz w:val="24"/>
        </w:rPr>
        <w:t>h</w:t>
      </w:r>
      <w:r w:rsidR="008D20BC" w:rsidRPr="00D0263E">
        <w:rPr>
          <w:sz w:val="24"/>
        </w:rPr>
        <w:t>ree months based on the month-to-month dynamic</w:t>
      </w:r>
      <w:r w:rsidR="0005214D">
        <w:rPr>
          <w:sz w:val="24"/>
        </w:rPr>
        <w:t>s</w:t>
      </w:r>
      <w:r w:rsidR="008D20BC" w:rsidRPr="00D0263E">
        <w:rPr>
          <w:sz w:val="24"/>
        </w:rPr>
        <w:t xml:space="preserve"> of the previous years.</w:t>
      </w:r>
      <w:r w:rsidR="00D0263E">
        <w:rPr>
          <w:sz w:val="24"/>
        </w:rPr>
        <w:t xml:space="preserve"> </w:t>
      </w:r>
      <w:r w:rsidR="008D20BC" w:rsidRPr="00D0263E">
        <w:rPr>
          <w:sz w:val="24"/>
        </w:rPr>
        <w:t>However, due to significant differences in trends before 2015 and after, such extrapolation would have low precision. So, to be safe, we should ignore the data for the first three months of 2017 to make more correct conclusions.</w:t>
      </w:r>
    </w:p>
    <w:tbl>
      <w:tblPr>
        <w:tblW w:w="9457" w:type="dxa"/>
        <w:tblLook w:val="04A0" w:firstRow="1" w:lastRow="0" w:firstColumn="1" w:lastColumn="0" w:noHBand="0" w:noVBand="1"/>
      </w:tblPr>
      <w:tblGrid>
        <w:gridCol w:w="830"/>
        <w:gridCol w:w="1119"/>
        <w:gridCol w:w="641"/>
        <w:gridCol w:w="807"/>
        <w:gridCol w:w="747"/>
        <w:gridCol w:w="1443"/>
        <w:gridCol w:w="1161"/>
        <w:gridCol w:w="1231"/>
        <w:gridCol w:w="895"/>
        <w:gridCol w:w="794"/>
      </w:tblGrid>
      <w:tr w:rsidR="005C3871" w:rsidRPr="007320CB" w:rsidTr="005C3871">
        <w:trPr>
          <w:trHeight w:val="300"/>
        </w:trPr>
        <w:tc>
          <w:tcPr>
            <w:tcW w:w="830"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color w:val="000000"/>
              </w:rPr>
            </w:pPr>
            <w:r w:rsidRPr="007320CB">
              <w:rPr>
                <w:rFonts w:ascii="Calibri" w:eastAsia="Times New Roman" w:hAnsi="Calibri" w:cs="Calibri"/>
                <w:color w:val="000000"/>
              </w:rPr>
              <w:t>state</w:t>
            </w:r>
          </w:p>
        </w:tc>
        <w:tc>
          <w:tcPr>
            <w:tcW w:w="1080"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color w:val="000000"/>
              </w:rPr>
            </w:pPr>
            <w:r w:rsidRPr="007320CB">
              <w:rPr>
                <w:rFonts w:ascii="Calibri" w:eastAsia="Times New Roman" w:hAnsi="Calibri" w:cs="Calibri"/>
                <w:color w:val="000000"/>
              </w:rPr>
              <w:t>successful</w:t>
            </w:r>
          </w:p>
        </w:tc>
        <w:tc>
          <w:tcPr>
            <w:tcW w:w="632"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87"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bookmarkStart w:id="0" w:name="_GoBack"/>
            <w:bookmarkEnd w:id="0"/>
          </w:p>
        </w:tc>
        <w:tc>
          <w:tcPr>
            <w:tcW w:w="866"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r>
      <w:tr w:rsidR="005C3871" w:rsidRPr="007320CB" w:rsidTr="005C3871">
        <w:trPr>
          <w:trHeight w:val="300"/>
        </w:trPr>
        <w:tc>
          <w:tcPr>
            <w:tcW w:w="830"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632"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87"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866"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r>
      <w:tr w:rsidR="005C3871" w:rsidRPr="007320CB" w:rsidTr="005C3871">
        <w:trPr>
          <w:trHeight w:val="300"/>
        </w:trPr>
        <w:tc>
          <w:tcPr>
            <w:tcW w:w="830"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Count of id</w:t>
            </w:r>
          </w:p>
        </w:tc>
        <w:tc>
          <w:tcPr>
            <w:tcW w:w="1080"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Column Labels</w:t>
            </w:r>
          </w:p>
        </w:tc>
        <w:tc>
          <w:tcPr>
            <w:tcW w:w="632"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p>
        </w:tc>
        <w:tc>
          <w:tcPr>
            <w:tcW w:w="781"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87"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866"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94" w:type="dxa"/>
            <w:tcBorders>
              <w:top w:val="nil"/>
              <w:left w:val="nil"/>
              <w:bottom w:val="nil"/>
              <w:right w:val="nil"/>
            </w:tcBorders>
            <w:shd w:val="clear" w:color="D9E1F2" w:fill="D9E1F2"/>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r>
      <w:tr w:rsidR="005C3871" w:rsidRPr="007320CB" w:rsidTr="005C3871">
        <w:trPr>
          <w:trHeight w:val="300"/>
        </w:trPr>
        <w:tc>
          <w:tcPr>
            <w:tcW w:w="830"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Row Labels</w:t>
            </w:r>
          </w:p>
        </w:tc>
        <w:tc>
          <w:tcPr>
            <w:tcW w:w="1080"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film &amp; video</w:t>
            </w:r>
          </w:p>
        </w:tc>
        <w:tc>
          <w:tcPr>
            <w:tcW w:w="632"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food</w:t>
            </w:r>
          </w:p>
        </w:tc>
        <w:tc>
          <w:tcPr>
            <w:tcW w:w="781"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games</w:t>
            </w:r>
          </w:p>
        </w:tc>
        <w:tc>
          <w:tcPr>
            <w:tcW w:w="724"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music</w:t>
            </w:r>
          </w:p>
        </w:tc>
        <w:tc>
          <w:tcPr>
            <w:tcW w:w="1443"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photography</w:t>
            </w:r>
          </w:p>
        </w:tc>
        <w:tc>
          <w:tcPr>
            <w:tcW w:w="1120"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publishing</w:t>
            </w:r>
          </w:p>
        </w:tc>
        <w:tc>
          <w:tcPr>
            <w:tcW w:w="1187"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technology</w:t>
            </w:r>
          </w:p>
        </w:tc>
        <w:tc>
          <w:tcPr>
            <w:tcW w:w="866"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theater</w:t>
            </w:r>
          </w:p>
        </w:tc>
        <w:tc>
          <w:tcPr>
            <w:tcW w:w="794" w:type="dxa"/>
            <w:tcBorders>
              <w:top w:val="nil"/>
              <w:left w:val="nil"/>
              <w:bottom w:val="single" w:sz="4" w:space="0" w:color="8EA9DB"/>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Grand Total</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2009</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6</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9</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2010</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20</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Times New Roman" w:eastAsia="Times New Roman" w:hAnsi="Times New Roman" w:cs="Times New Roman"/>
                <w:sz w:val="20"/>
                <w:szCs w:val="20"/>
              </w:rPr>
            </w:pP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21</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w:t>
            </w: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49</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2011</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41</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74</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11</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136</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2012</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41</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136</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15</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15</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8</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216</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2013</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35</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8</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97</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21</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28</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11</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200</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2014</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60</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12</w:t>
            </w: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12</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76</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16</w:t>
            </w: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15</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42</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241</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474</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2015</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58</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7</w:t>
            </w: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19</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71</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36</w:t>
            </w: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11</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61</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304</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567</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2016</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37</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11</w:t>
            </w: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28</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52</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40</w:t>
            </w: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6</w:t>
            </w: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52</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249</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475</w:t>
            </w:r>
          </w:p>
        </w:tc>
      </w:tr>
      <w:tr w:rsidR="005C3871" w:rsidRPr="007320CB" w:rsidTr="005C3871">
        <w:trPr>
          <w:trHeight w:val="300"/>
        </w:trPr>
        <w:tc>
          <w:tcPr>
            <w:tcW w:w="83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2017</w:t>
            </w:r>
          </w:p>
        </w:tc>
        <w:tc>
          <w:tcPr>
            <w:tcW w:w="108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6</w:t>
            </w:r>
          </w:p>
        </w:tc>
        <w:tc>
          <w:tcPr>
            <w:tcW w:w="632"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4</w:t>
            </w:r>
          </w:p>
        </w:tc>
        <w:tc>
          <w:tcPr>
            <w:tcW w:w="781"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11</w:t>
            </w:r>
          </w:p>
        </w:tc>
        <w:tc>
          <w:tcPr>
            <w:tcW w:w="72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7</w:t>
            </w:r>
          </w:p>
        </w:tc>
        <w:tc>
          <w:tcPr>
            <w:tcW w:w="1443"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10</w:t>
            </w:r>
          </w:p>
        </w:tc>
        <w:tc>
          <w:tcPr>
            <w:tcW w:w="1120"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p>
        </w:tc>
        <w:tc>
          <w:tcPr>
            <w:tcW w:w="1187"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w:t>
            </w:r>
          </w:p>
        </w:tc>
        <w:tc>
          <w:tcPr>
            <w:tcW w:w="866"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19</w:t>
            </w:r>
          </w:p>
        </w:tc>
        <w:tc>
          <w:tcPr>
            <w:tcW w:w="794" w:type="dxa"/>
            <w:tcBorders>
              <w:top w:val="nil"/>
              <w:left w:val="nil"/>
              <w:bottom w:val="single" w:sz="4" w:space="0" w:color="8EA9DB"/>
              <w:right w:val="nil"/>
            </w:tcBorders>
            <w:shd w:val="clear" w:color="auto" w:fill="auto"/>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59</w:t>
            </w:r>
          </w:p>
        </w:tc>
      </w:tr>
      <w:tr w:rsidR="005C3871" w:rsidRPr="007320CB" w:rsidTr="005C3871">
        <w:trPr>
          <w:trHeight w:val="300"/>
        </w:trPr>
        <w:tc>
          <w:tcPr>
            <w:tcW w:w="830"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rPr>
                <w:rFonts w:ascii="Calibri" w:eastAsia="Times New Roman" w:hAnsi="Calibri" w:cs="Calibri"/>
                <w:b/>
                <w:bCs/>
                <w:color w:val="000000"/>
              </w:rPr>
            </w:pPr>
            <w:r w:rsidRPr="007320CB">
              <w:rPr>
                <w:rFonts w:ascii="Calibri" w:eastAsia="Times New Roman" w:hAnsi="Calibri" w:cs="Calibri"/>
                <w:b/>
                <w:bCs/>
                <w:color w:val="000000"/>
              </w:rPr>
              <w:t>Grand Total</w:t>
            </w:r>
          </w:p>
        </w:tc>
        <w:tc>
          <w:tcPr>
            <w:tcW w:w="1080"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300</w:t>
            </w:r>
          </w:p>
        </w:tc>
        <w:tc>
          <w:tcPr>
            <w:tcW w:w="632"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34</w:t>
            </w:r>
          </w:p>
        </w:tc>
        <w:tc>
          <w:tcPr>
            <w:tcW w:w="781"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80</w:t>
            </w:r>
          </w:p>
        </w:tc>
        <w:tc>
          <w:tcPr>
            <w:tcW w:w="724"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540</w:t>
            </w:r>
          </w:p>
        </w:tc>
        <w:tc>
          <w:tcPr>
            <w:tcW w:w="1443"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103</w:t>
            </w:r>
          </w:p>
        </w:tc>
        <w:tc>
          <w:tcPr>
            <w:tcW w:w="1120"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80</w:t>
            </w:r>
          </w:p>
        </w:tc>
        <w:tc>
          <w:tcPr>
            <w:tcW w:w="1187"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209</w:t>
            </w:r>
          </w:p>
        </w:tc>
        <w:tc>
          <w:tcPr>
            <w:tcW w:w="866"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839</w:t>
            </w:r>
          </w:p>
        </w:tc>
        <w:tc>
          <w:tcPr>
            <w:tcW w:w="794" w:type="dxa"/>
            <w:tcBorders>
              <w:top w:val="single" w:sz="4" w:space="0" w:color="8EA9DB"/>
              <w:left w:val="nil"/>
              <w:bottom w:val="nil"/>
              <w:right w:val="nil"/>
            </w:tcBorders>
            <w:shd w:val="clear" w:color="D9E1F2" w:fill="D9E1F2"/>
            <w:noWrap/>
            <w:vAlign w:val="bottom"/>
            <w:hideMark/>
          </w:tcPr>
          <w:p w:rsidR="007320CB" w:rsidRPr="007320CB" w:rsidRDefault="007320CB" w:rsidP="007320CB">
            <w:pPr>
              <w:spacing w:after="0" w:line="240" w:lineRule="auto"/>
              <w:jc w:val="right"/>
              <w:rPr>
                <w:rFonts w:ascii="Calibri" w:eastAsia="Times New Roman" w:hAnsi="Calibri" w:cs="Calibri"/>
                <w:b/>
                <w:bCs/>
                <w:color w:val="000000"/>
              </w:rPr>
            </w:pPr>
            <w:r w:rsidRPr="007320CB">
              <w:rPr>
                <w:rFonts w:ascii="Calibri" w:eastAsia="Times New Roman" w:hAnsi="Calibri" w:cs="Calibri"/>
                <w:b/>
                <w:bCs/>
                <w:color w:val="000000"/>
              </w:rPr>
              <w:t>2185</w:t>
            </w:r>
          </w:p>
        </w:tc>
      </w:tr>
    </w:tbl>
    <w:p w:rsidR="007320CB" w:rsidRDefault="007320CB" w:rsidP="007320CB">
      <w:pPr>
        <w:pStyle w:val="ListParagraph"/>
        <w:rPr>
          <w:sz w:val="24"/>
        </w:rPr>
      </w:pPr>
    </w:p>
    <w:p w:rsidR="00906F51" w:rsidRDefault="007320CB" w:rsidP="007320CB">
      <w:pPr>
        <w:pStyle w:val="ListParagraph"/>
        <w:ind w:left="0"/>
        <w:rPr>
          <w:sz w:val="24"/>
        </w:rPr>
      </w:pPr>
      <w:r>
        <w:rPr>
          <w:noProof/>
        </w:rPr>
        <w:lastRenderedPageBreak/>
        <w:drawing>
          <wp:inline distT="0" distB="0" distL="0" distR="0" wp14:anchorId="79866E56" wp14:editId="51F03EFF">
            <wp:extent cx="6381750" cy="2136775"/>
            <wp:effectExtent l="0" t="0" r="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0CB" w:rsidRDefault="007320CB" w:rsidP="00906F51">
      <w:pPr>
        <w:pStyle w:val="ListParagraph"/>
        <w:rPr>
          <w:sz w:val="24"/>
        </w:rPr>
      </w:pPr>
    </w:p>
    <w:p w:rsidR="00981C3D" w:rsidRDefault="00981C3D" w:rsidP="00981C3D">
      <w:pPr>
        <w:rPr>
          <w:sz w:val="28"/>
        </w:rPr>
      </w:pPr>
    </w:p>
    <w:p w:rsidR="00981C3D" w:rsidRPr="00C34E5D" w:rsidRDefault="00981C3D" w:rsidP="00C34E5D">
      <w:pPr>
        <w:pStyle w:val="Heading2"/>
        <w:spacing w:after="240"/>
        <w:rPr>
          <w:b/>
          <w:color w:val="auto"/>
          <w:sz w:val="28"/>
        </w:rPr>
      </w:pPr>
      <w:r w:rsidRPr="00C34E5D">
        <w:rPr>
          <w:b/>
          <w:color w:val="auto"/>
          <w:sz w:val="28"/>
        </w:rPr>
        <w:t>Dataset limitations</w:t>
      </w:r>
    </w:p>
    <w:p w:rsidR="00906F51" w:rsidRDefault="00981C3D" w:rsidP="00981C3D">
      <w:pPr>
        <w:rPr>
          <w:sz w:val="24"/>
        </w:rPr>
      </w:pPr>
      <w:r>
        <w:rPr>
          <w:sz w:val="24"/>
        </w:rPr>
        <w:t xml:space="preserve">There are some limitations </w:t>
      </w:r>
      <w:r w:rsidR="00A53841">
        <w:rPr>
          <w:sz w:val="24"/>
        </w:rPr>
        <w:t>of provided data</w:t>
      </w:r>
      <w:r w:rsidR="006F294B">
        <w:rPr>
          <w:sz w:val="24"/>
        </w:rPr>
        <w:t xml:space="preserve"> which should be noticed</w:t>
      </w:r>
      <w:r w:rsidR="00A53841">
        <w:rPr>
          <w:sz w:val="24"/>
        </w:rPr>
        <w:t>:</w:t>
      </w:r>
    </w:p>
    <w:p w:rsidR="00A53841" w:rsidRDefault="00086ED0" w:rsidP="00A53841">
      <w:pPr>
        <w:pStyle w:val="ListParagraph"/>
        <w:numPr>
          <w:ilvl w:val="0"/>
          <w:numId w:val="2"/>
        </w:numPr>
        <w:rPr>
          <w:sz w:val="24"/>
        </w:rPr>
      </w:pPr>
      <w:r>
        <w:rPr>
          <w:sz w:val="24"/>
        </w:rPr>
        <w:t>It’s not possible to compare data related to 2017 with other presented years because for 2017 we have data only for three months (Jan</w:t>
      </w:r>
      <w:r w:rsidR="00E17012">
        <w:rPr>
          <w:sz w:val="24"/>
        </w:rPr>
        <w:t>uary</w:t>
      </w:r>
      <w:r>
        <w:rPr>
          <w:sz w:val="24"/>
        </w:rPr>
        <w:t xml:space="preserve"> 2017 – March 2017), so we cannot see the annual dynamic including the last year of the observation period</w:t>
      </w:r>
      <w:r w:rsidR="00A53841">
        <w:rPr>
          <w:sz w:val="24"/>
        </w:rPr>
        <w:t>;</w:t>
      </w:r>
    </w:p>
    <w:p w:rsidR="008D20BC" w:rsidRDefault="00A53841" w:rsidP="00086ED0">
      <w:pPr>
        <w:pStyle w:val="ListParagraph"/>
        <w:numPr>
          <w:ilvl w:val="0"/>
          <w:numId w:val="2"/>
        </w:numPr>
        <w:rPr>
          <w:sz w:val="24"/>
        </w:rPr>
      </w:pPr>
      <w:r w:rsidRPr="00A53841">
        <w:rPr>
          <w:sz w:val="24"/>
        </w:rPr>
        <w:t xml:space="preserve">Comparing the amount </w:t>
      </w:r>
      <w:r>
        <w:rPr>
          <w:sz w:val="24"/>
        </w:rPr>
        <w:t>of donations per country</w:t>
      </w:r>
      <w:r w:rsidR="00F352D5">
        <w:rPr>
          <w:sz w:val="24"/>
        </w:rPr>
        <w:t>,</w:t>
      </w:r>
      <w:r>
        <w:rPr>
          <w:sz w:val="24"/>
        </w:rPr>
        <w:t xml:space="preserve"> </w:t>
      </w:r>
      <w:r w:rsidR="00F72753">
        <w:rPr>
          <w:sz w:val="24"/>
        </w:rPr>
        <w:t xml:space="preserve">different external factors </w:t>
      </w:r>
      <w:r>
        <w:rPr>
          <w:sz w:val="24"/>
        </w:rPr>
        <w:t xml:space="preserve">should be </w:t>
      </w:r>
      <w:r w:rsidRPr="00A53841">
        <w:rPr>
          <w:sz w:val="24"/>
        </w:rPr>
        <w:t>take</w:t>
      </w:r>
      <w:r>
        <w:rPr>
          <w:sz w:val="24"/>
        </w:rPr>
        <w:t>n</w:t>
      </w:r>
      <w:r w:rsidRPr="00A53841">
        <w:rPr>
          <w:sz w:val="24"/>
        </w:rPr>
        <w:t xml:space="preserve"> into account</w:t>
      </w:r>
      <w:r w:rsidR="00F352D5">
        <w:rPr>
          <w:sz w:val="24"/>
        </w:rPr>
        <w:t xml:space="preserve">, </w:t>
      </w:r>
      <w:r>
        <w:rPr>
          <w:sz w:val="24"/>
        </w:rPr>
        <w:t>such as inflation</w:t>
      </w:r>
      <w:r w:rsidR="006F294B">
        <w:rPr>
          <w:sz w:val="24"/>
        </w:rPr>
        <w:t xml:space="preserve"> rate</w:t>
      </w:r>
      <w:r w:rsidR="00A64B15">
        <w:rPr>
          <w:sz w:val="24"/>
        </w:rPr>
        <w:t>s</w:t>
      </w:r>
      <w:r w:rsidR="00086ED0" w:rsidRPr="00086ED0">
        <w:rPr>
          <w:sz w:val="24"/>
        </w:rPr>
        <w:t xml:space="preserve"> </w:t>
      </w:r>
      <w:r w:rsidR="00086ED0">
        <w:rPr>
          <w:sz w:val="24"/>
        </w:rPr>
        <w:t xml:space="preserve">and </w:t>
      </w:r>
      <w:r w:rsidR="00A64B15">
        <w:rPr>
          <w:sz w:val="24"/>
        </w:rPr>
        <w:t xml:space="preserve">currency </w:t>
      </w:r>
      <w:r w:rsidR="00086ED0" w:rsidRPr="00086ED0">
        <w:rPr>
          <w:sz w:val="24"/>
        </w:rPr>
        <w:t>exchange</w:t>
      </w:r>
      <w:r w:rsidR="00A64B15">
        <w:rPr>
          <w:sz w:val="24"/>
        </w:rPr>
        <w:t xml:space="preserve"> rates</w:t>
      </w:r>
      <w:r w:rsidR="008D20BC">
        <w:rPr>
          <w:sz w:val="24"/>
        </w:rPr>
        <w:t xml:space="preserve">. </w:t>
      </w:r>
    </w:p>
    <w:p w:rsidR="00A53841" w:rsidRDefault="008D20BC" w:rsidP="008D20BC">
      <w:pPr>
        <w:pStyle w:val="ListParagraph"/>
        <w:rPr>
          <w:sz w:val="24"/>
        </w:rPr>
      </w:pPr>
      <w:r>
        <w:rPr>
          <w:sz w:val="24"/>
        </w:rPr>
        <w:t>It’s important to eliminate these factors</w:t>
      </w:r>
      <w:r w:rsidRPr="00F352D5">
        <w:rPr>
          <w:sz w:val="24"/>
        </w:rPr>
        <w:t xml:space="preserve"> </w:t>
      </w:r>
      <w:r>
        <w:rPr>
          <w:sz w:val="24"/>
        </w:rPr>
        <w:t xml:space="preserve">for the comparison </w:t>
      </w:r>
      <w:r w:rsidRPr="00F352D5">
        <w:rPr>
          <w:sz w:val="24"/>
        </w:rPr>
        <w:t>propriety</w:t>
      </w:r>
      <w:r>
        <w:rPr>
          <w:sz w:val="24"/>
        </w:rPr>
        <w:t xml:space="preserve"> </w:t>
      </w:r>
      <w:r w:rsidR="005C3871">
        <w:rPr>
          <w:sz w:val="24"/>
        </w:rPr>
        <w:t xml:space="preserve">because given numbers </w:t>
      </w:r>
      <w:r w:rsidR="00F352D5">
        <w:rPr>
          <w:sz w:val="24"/>
        </w:rPr>
        <w:t xml:space="preserve">belong to the different periods of time </w:t>
      </w:r>
      <w:r w:rsidR="00086ED0">
        <w:rPr>
          <w:sz w:val="24"/>
        </w:rPr>
        <w:t>and currencies</w:t>
      </w:r>
      <w:r w:rsidR="006F294B">
        <w:rPr>
          <w:sz w:val="24"/>
        </w:rPr>
        <w:t>;</w:t>
      </w:r>
    </w:p>
    <w:p w:rsidR="006F294B" w:rsidRDefault="00086ED0" w:rsidP="00086ED0">
      <w:pPr>
        <w:pStyle w:val="ListParagraph"/>
        <w:numPr>
          <w:ilvl w:val="0"/>
          <w:numId w:val="2"/>
        </w:numPr>
        <w:rPr>
          <w:sz w:val="24"/>
        </w:rPr>
      </w:pPr>
      <w:r>
        <w:rPr>
          <w:sz w:val="24"/>
        </w:rPr>
        <w:t>There is no information</w:t>
      </w:r>
      <w:r w:rsidR="006F294B" w:rsidRPr="00BB29B5">
        <w:rPr>
          <w:sz w:val="24"/>
        </w:rPr>
        <w:t xml:space="preserve"> about campaigns’ founders, their background, experience</w:t>
      </w:r>
      <w:r w:rsidR="00A64B15">
        <w:rPr>
          <w:sz w:val="24"/>
        </w:rPr>
        <w:t xml:space="preserve"> and education. S</w:t>
      </w:r>
      <w:r>
        <w:rPr>
          <w:sz w:val="24"/>
        </w:rPr>
        <w:t xml:space="preserve">o we have no opportunity to </w:t>
      </w:r>
      <w:r w:rsidRPr="00086ED0">
        <w:rPr>
          <w:sz w:val="24"/>
        </w:rPr>
        <w:t xml:space="preserve">discover </w:t>
      </w:r>
      <w:r>
        <w:rPr>
          <w:sz w:val="24"/>
        </w:rPr>
        <w:t xml:space="preserve">possible dependencies between </w:t>
      </w:r>
      <w:r w:rsidR="00FE3BE5">
        <w:rPr>
          <w:sz w:val="24"/>
        </w:rPr>
        <w:t>this</w:t>
      </w:r>
      <w:r w:rsidR="00A37BC5">
        <w:rPr>
          <w:sz w:val="24"/>
        </w:rPr>
        <w:t xml:space="preserve"> information and the fact of success.</w:t>
      </w:r>
    </w:p>
    <w:p w:rsidR="001F4B5D" w:rsidRDefault="001F4B5D">
      <w:pPr>
        <w:rPr>
          <w:rFonts w:asciiTheme="majorHAnsi" w:eastAsiaTheme="majorEastAsia" w:hAnsiTheme="majorHAnsi" w:cstheme="majorBidi"/>
          <w:b/>
          <w:sz w:val="28"/>
          <w:szCs w:val="26"/>
        </w:rPr>
      </w:pPr>
      <w:r>
        <w:rPr>
          <w:b/>
          <w:sz w:val="28"/>
        </w:rPr>
        <w:br w:type="page"/>
      </w:r>
    </w:p>
    <w:p w:rsidR="00BB29B5" w:rsidRPr="00C34E5D" w:rsidRDefault="00BB29B5" w:rsidP="00C34E5D">
      <w:pPr>
        <w:pStyle w:val="Heading2"/>
        <w:spacing w:after="240"/>
        <w:rPr>
          <w:b/>
          <w:color w:val="auto"/>
          <w:sz w:val="28"/>
        </w:rPr>
      </w:pPr>
      <w:r w:rsidRPr="00C34E5D">
        <w:rPr>
          <w:b/>
          <w:color w:val="auto"/>
          <w:sz w:val="28"/>
        </w:rPr>
        <w:lastRenderedPageBreak/>
        <w:t xml:space="preserve">Other possible tables/graphs that could </w:t>
      </w:r>
      <w:r w:rsidR="00BB0DC1" w:rsidRPr="00C34E5D">
        <w:rPr>
          <w:b/>
          <w:color w:val="auto"/>
          <w:sz w:val="28"/>
        </w:rPr>
        <w:t xml:space="preserve">be </w:t>
      </w:r>
      <w:r w:rsidRPr="00C34E5D">
        <w:rPr>
          <w:b/>
          <w:color w:val="auto"/>
          <w:sz w:val="28"/>
        </w:rPr>
        <w:t>create</w:t>
      </w:r>
      <w:r w:rsidR="00BB0DC1" w:rsidRPr="00C34E5D">
        <w:rPr>
          <w:b/>
          <w:color w:val="auto"/>
          <w:sz w:val="28"/>
        </w:rPr>
        <w:t>d</w:t>
      </w:r>
    </w:p>
    <w:p w:rsidR="00BB29B5" w:rsidRPr="00BB0DC1" w:rsidRDefault="00BB0DC1" w:rsidP="00BB0DC1">
      <w:pPr>
        <w:pStyle w:val="ListParagraph"/>
        <w:numPr>
          <w:ilvl w:val="0"/>
          <w:numId w:val="4"/>
        </w:numPr>
        <w:rPr>
          <w:sz w:val="24"/>
        </w:rPr>
      </w:pPr>
      <w:r>
        <w:rPr>
          <w:sz w:val="24"/>
        </w:rPr>
        <w:t xml:space="preserve">It could be useful to observe </w:t>
      </w:r>
      <w:r w:rsidR="000244E7">
        <w:rPr>
          <w:sz w:val="24"/>
        </w:rPr>
        <w:t>percentage</w:t>
      </w:r>
      <w:r w:rsidR="00A64B15">
        <w:rPr>
          <w:sz w:val="24"/>
        </w:rPr>
        <w:t xml:space="preserve"> of projects </w:t>
      </w:r>
      <w:r>
        <w:rPr>
          <w:sz w:val="24"/>
        </w:rPr>
        <w:t xml:space="preserve">by country in order to find the most active country in </w:t>
      </w:r>
      <w:r w:rsidRPr="00BB0DC1">
        <w:rPr>
          <w:sz w:val="24"/>
        </w:rPr>
        <w:t>crowdfunding</w:t>
      </w:r>
      <w:r w:rsidR="00A37BC5">
        <w:rPr>
          <w:sz w:val="24"/>
        </w:rPr>
        <w:t xml:space="preserve"> (see chart below);</w:t>
      </w:r>
    </w:p>
    <w:p w:rsidR="00BB29B5" w:rsidRDefault="000244E7" w:rsidP="00BB0DC1">
      <w:pPr>
        <w:ind w:left="540"/>
        <w:rPr>
          <w:sz w:val="28"/>
        </w:rPr>
      </w:pPr>
      <w:r>
        <w:rPr>
          <w:noProof/>
        </w:rPr>
        <w:drawing>
          <wp:inline distT="0" distB="0" distL="0" distR="0" wp14:anchorId="2A03940C" wp14:editId="29910109">
            <wp:extent cx="5518150" cy="4429125"/>
            <wp:effectExtent l="0" t="0" r="63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4B5D" w:rsidRDefault="001F4B5D">
      <w:pPr>
        <w:rPr>
          <w:sz w:val="24"/>
        </w:rPr>
      </w:pPr>
      <w:r>
        <w:rPr>
          <w:sz w:val="24"/>
        </w:rPr>
        <w:br w:type="page"/>
      </w:r>
    </w:p>
    <w:p w:rsidR="00BB0DC1" w:rsidRPr="002B04A6" w:rsidRDefault="000244E7" w:rsidP="00BB0DC1">
      <w:pPr>
        <w:pStyle w:val="ListParagraph"/>
        <w:numPr>
          <w:ilvl w:val="0"/>
          <w:numId w:val="4"/>
        </w:numPr>
        <w:rPr>
          <w:sz w:val="24"/>
        </w:rPr>
      </w:pPr>
      <w:r w:rsidRPr="002B04A6">
        <w:rPr>
          <w:sz w:val="24"/>
        </w:rPr>
        <w:lastRenderedPageBreak/>
        <w:t xml:space="preserve">Also it’s possible to </w:t>
      </w:r>
      <w:r w:rsidR="002B04A6" w:rsidRPr="002B04A6">
        <w:rPr>
          <w:sz w:val="24"/>
        </w:rPr>
        <w:t>find the most popular category in each country</w:t>
      </w:r>
      <w:r w:rsidR="00A37BC5">
        <w:rPr>
          <w:sz w:val="24"/>
        </w:rPr>
        <w:t xml:space="preserve"> to define what category seems to be the most attractive based on the total number of campaigns (see bar chart below);</w:t>
      </w:r>
    </w:p>
    <w:p w:rsidR="002B04A6" w:rsidRPr="00BB0DC1" w:rsidRDefault="002B04A6" w:rsidP="002B04A6">
      <w:pPr>
        <w:pStyle w:val="ListParagraph"/>
        <w:rPr>
          <w:sz w:val="28"/>
        </w:rPr>
      </w:pPr>
      <w:r>
        <w:rPr>
          <w:noProof/>
        </w:rPr>
        <w:drawing>
          <wp:inline distT="0" distB="0" distL="0" distR="0" wp14:anchorId="1973B7F9" wp14:editId="1DDD2E4A">
            <wp:extent cx="5943600" cy="3374390"/>
            <wp:effectExtent l="0" t="0" r="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0507" w:rsidRDefault="00540507" w:rsidP="00540507">
      <w:pPr>
        <w:pStyle w:val="ListParagraph"/>
        <w:rPr>
          <w:sz w:val="24"/>
        </w:rPr>
      </w:pPr>
    </w:p>
    <w:p w:rsidR="00BB29B5" w:rsidRDefault="00540507" w:rsidP="00A37BC5">
      <w:pPr>
        <w:pStyle w:val="ListParagraph"/>
        <w:numPr>
          <w:ilvl w:val="0"/>
          <w:numId w:val="4"/>
        </w:numPr>
        <w:rPr>
          <w:sz w:val="24"/>
        </w:rPr>
      </w:pPr>
      <w:r>
        <w:rPr>
          <w:sz w:val="24"/>
        </w:rPr>
        <w:t xml:space="preserve">Besides that, the numbers of backers by category can be observed to define the most </w:t>
      </w:r>
      <w:r w:rsidR="00A37BC5">
        <w:rPr>
          <w:sz w:val="24"/>
        </w:rPr>
        <w:t xml:space="preserve">popular category for </w:t>
      </w:r>
      <w:r w:rsidR="00A37BC5" w:rsidRPr="00A37BC5">
        <w:rPr>
          <w:sz w:val="24"/>
        </w:rPr>
        <w:t>donating</w:t>
      </w:r>
      <w:r w:rsidR="00A37BC5">
        <w:rPr>
          <w:sz w:val="24"/>
        </w:rPr>
        <w:t xml:space="preserve"> (see picture below).</w:t>
      </w:r>
    </w:p>
    <w:p w:rsidR="00540507" w:rsidRPr="00540507" w:rsidRDefault="00540507" w:rsidP="00540507">
      <w:pPr>
        <w:pStyle w:val="ListParagraph"/>
        <w:rPr>
          <w:sz w:val="24"/>
        </w:rPr>
      </w:pPr>
      <w:r>
        <w:rPr>
          <w:noProof/>
        </w:rPr>
        <w:drawing>
          <wp:inline distT="0" distB="0" distL="0" distR="0" wp14:anchorId="0EF722D7" wp14:editId="2D596A6D">
            <wp:extent cx="5943600" cy="22421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540507" w:rsidRPr="0054050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954" w:rsidRDefault="00F22954" w:rsidP="00F72753">
      <w:pPr>
        <w:spacing w:after="0" w:line="240" w:lineRule="auto"/>
      </w:pPr>
      <w:r>
        <w:separator/>
      </w:r>
    </w:p>
  </w:endnote>
  <w:endnote w:type="continuationSeparator" w:id="0">
    <w:p w:rsidR="00F22954" w:rsidRDefault="00F22954" w:rsidP="00F7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954" w:rsidRDefault="00F22954" w:rsidP="00F72753">
      <w:pPr>
        <w:spacing w:after="0" w:line="240" w:lineRule="auto"/>
      </w:pPr>
      <w:r>
        <w:separator/>
      </w:r>
    </w:p>
  </w:footnote>
  <w:footnote w:type="continuationSeparator" w:id="0">
    <w:p w:rsidR="00F22954" w:rsidRDefault="00F22954" w:rsidP="00F72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753" w:rsidRDefault="00F72753">
    <w:pPr>
      <w:pStyle w:val="Header"/>
    </w:pPr>
    <w:r>
      <w:t xml:space="preserve">Author of the report: Anna </w:t>
    </w:r>
    <w:proofErr w:type="spellStart"/>
    <w:r>
      <w:t>Burlyaeva</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66C1D"/>
    <w:multiLevelType w:val="hybridMultilevel"/>
    <w:tmpl w:val="9A7E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6F16"/>
    <w:multiLevelType w:val="hybridMultilevel"/>
    <w:tmpl w:val="9A7E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D1D0F"/>
    <w:multiLevelType w:val="hybridMultilevel"/>
    <w:tmpl w:val="E446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D6956"/>
    <w:multiLevelType w:val="hybridMultilevel"/>
    <w:tmpl w:val="B65EE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98"/>
    <w:rsid w:val="000244E7"/>
    <w:rsid w:val="0005214D"/>
    <w:rsid w:val="00086ED0"/>
    <w:rsid w:val="001F4B5D"/>
    <w:rsid w:val="002B04A6"/>
    <w:rsid w:val="002B15AE"/>
    <w:rsid w:val="00397005"/>
    <w:rsid w:val="004D1D2A"/>
    <w:rsid w:val="004F6098"/>
    <w:rsid w:val="00540507"/>
    <w:rsid w:val="00552DF4"/>
    <w:rsid w:val="005C3871"/>
    <w:rsid w:val="005C5A8F"/>
    <w:rsid w:val="006F294B"/>
    <w:rsid w:val="007320CB"/>
    <w:rsid w:val="008D20BC"/>
    <w:rsid w:val="00906F51"/>
    <w:rsid w:val="009348F2"/>
    <w:rsid w:val="009516C5"/>
    <w:rsid w:val="00981C3D"/>
    <w:rsid w:val="00991FEE"/>
    <w:rsid w:val="009A6AC4"/>
    <w:rsid w:val="009F493B"/>
    <w:rsid w:val="00A37BC5"/>
    <w:rsid w:val="00A53841"/>
    <w:rsid w:val="00A64B15"/>
    <w:rsid w:val="00AE34ED"/>
    <w:rsid w:val="00BB0DC1"/>
    <w:rsid w:val="00BB29B5"/>
    <w:rsid w:val="00C34E5D"/>
    <w:rsid w:val="00C8096C"/>
    <w:rsid w:val="00D0263E"/>
    <w:rsid w:val="00D130F6"/>
    <w:rsid w:val="00E17012"/>
    <w:rsid w:val="00E366FC"/>
    <w:rsid w:val="00E77E6B"/>
    <w:rsid w:val="00EE36E4"/>
    <w:rsid w:val="00F22954"/>
    <w:rsid w:val="00F352D5"/>
    <w:rsid w:val="00F72753"/>
    <w:rsid w:val="00FE3BE5"/>
    <w:rsid w:val="00FE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578C"/>
  <w15:chartTrackingRefBased/>
  <w15:docId w15:val="{7549FE56-2BBE-4372-B8FD-B685F64C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4E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C4"/>
    <w:pPr>
      <w:ind w:left="720"/>
      <w:contextualSpacing/>
    </w:pPr>
  </w:style>
  <w:style w:type="character" w:customStyle="1" w:styleId="Heading1Char">
    <w:name w:val="Heading 1 Char"/>
    <w:basedOn w:val="DefaultParagraphFont"/>
    <w:link w:val="Heading1"/>
    <w:uiPriority w:val="9"/>
    <w:rsid w:val="00C34E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4E5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72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753"/>
  </w:style>
  <w:style w:type="paragraph" w:styleId="Footer">
    <w:name w:val="footer"/>
    <w:basedOn w:val="Normal"/>
    <w:link w:val="FooterChar"/>
    <w:uiPriority w:val="99"/>
    <w:unhideWhenUsed/>
    <w:rsid w:val="00F72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329">
      <w:bodyDiv w:val="1"/>
      <w:marLeft w:val="0"/>
      <w:marRight w:val="0"/>
      <w:marTop w:val="0"/>
      <w:marBottom w:val="0"/>
      <w:divBdr>
        <w:top w:val="none" w:sz="0" w:space="0" w:color="auto"/>
        <w:left w:val="none" w:sz="0" w:space="0" w:color="auto"/>
        <w:bottom w:val="none" w:sz="0" w:space="0" w:color="auto"/>
        <w:right w:val="none" w:sz="0" w:space="0" w:color="auto"/>
      </w:divBdr>
    </w:div>
    <w:div w:id="433673176">
      <w:bodyDiv w:val="1"/>
      <w:marLeft w:val="0"/>
      <w:marRight w:val="0"/>
      <w:marTop w:val="0"/>
      <w:marBottom w:val="0"/>
      <w:divBdr>
        <w:top w:val="none" w:sz="0" w:space="0" w:color="auto"/>
        <w:left w:val="none" w:sz="0" w:space="0" w:color="auto"/>
        <w:bottom w:val="none" w:sz="0" w:space="0" w:color="auto"/>
        <w:right w:val="none" w:sz="0" w:space="0" w:color="auto"/>
      </w:divBdr>
    </w:div>
    <w:div w:id="622541547">
      <w:bodyDiv w:val="1"/>
      <w:marLeft w:val="0"/>
      <w:marRight w:val="0"/>
      <w:marTop w:val="0"/>
      <w:marBottom w:val="0"/>
      <w:divBdr>
        <w:top w:val="none" w:sz="0" w:space="0" w:color="auto"/>
        <w:left w:val="none" w:sz="0" w:space="0" w:color="auto"/>
        <w:bottom w:val="none" w:sz="0" w:space="0" w:color="auto"/>
        <w:right w:val="none" w:sz="0" w:space="0" w:color="auto"/>
      </w:divBdr>
    </w:div>
    <w:div w:id="1012074968">
      <w:bodyDiv w:val="1"/>
      <w:marLeft w:val="0"/>
      <w:marRight w:val="0"/>
      <w:marTop w:val="0"/>
      <w:marBottom w:val="0"/>
      <w:divBdr>
        <w:top w:val="none" w:sz="0" w:space="0" w:color="auto"/>
        <w:left w:val="none" w:sz="0" w:space="0" w:color="auto"/>
        <w:bottom w:val="none" w:sz="0" w:space="0" w:color="auto"/>
        <w:right w:val="none" w:sz="0" w:space="0" w:color="auto"/>
      </w:divBdr>
    </w:div>
    <w:div w:id="14766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Data%20Analysis%20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Data%20Analysis%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Data%20Analysis%20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Documents\Berkeley%20Data%20Analytics%20Boot%20Camp\Homework\01_Excel_Homework\StarterBoo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v2.xlsx]Pivot by 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campaigns per category and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s>
    <c:plotArea>
      <c:layout/>
      <c:barChart>
        <c:barDir val="col"/>
        <c:grouping val="stacked"/>
        <c:varyColors val="0"/>
        <c:ser>
          <c:idx val="0"/>
          <c:order val="0"/>
          <c:tx>
            <c:strRef>
              <c:f>'Pivot by Category'!$B$4:$B$5</c:f>
              <c:strCache>
                <c:ptCount val="1"/>
                <c:pt idx="0">
                  <c:v>canceled</c:v>
                </c:pt>
              </c:strCache>
            </c:strRef>
          </c:tx>
          <c:spPr>
            <a:solidFill>
              <a:schemeClr val="accent1"/>
            </a:solidFill>
            <a:ln>
              <a:noFill/>
            </a:ln>
            <a:effectLst/>
          </c:spPr>
          <c:invertIfNegative val="0"/>
          <c:cat>
            <c:strRef>
              <c:f>'Pivot by 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 by Category'!$B$6:$B$15</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0-5813-4BF0-910A-39F5566C1F0B}"/>
            </c:ext>
          </c:extLst>
        </c:ser>
        <c:ser>
          <c:idx val="1"/>
          <c:order val="1"/>
          <c:tx>
            <c:strRef>
              <c:f>'Pivot by Category'!$C$4:$C$5</c:f>
              <c:strCache>
                <c:ptCount val="1"/>
                <c:pt idx="0">
                  <c:v>failed</c:v>
                </c:pt>
              </c:strCache>
            </c:strRef>
          </c:tx>
          <c:spPr>
            <a:solidFill>
              <a:schemeClr val="accent2"/>
            </a:solidFill>
            <a:ln>
              <a:noFill/>
            </a:ln>
            <a:effectLst/>
          </c:spPr>
          <c:invertIfNegative val="0"/>
          <c:cat>
            <c:strRef>
              <c:f>'Pivot by 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 by Category'!$C$6:$C$15</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5813-4BF0-910A-39F5566C1F0B}"/>
            </c:ext>
          </c:extLst>
        </c:ser>
        <c:ser>
          <c:idx val="2"/>
          <c:order val="2"/>
          <c:tx>
            <c:strRef>
              <c:f>'Pivot by Category'!$D$4:$D$5</c:f>
              <c:strCache>
                <c:ptCount val="1"/>
                <c:pt idx="0">
                  <c:v>live</c:v>
                </c:pt>
              </c:strCache>
            </c:strRef>
          </c:tx>
          <c:spPr>
            <a:solidFill>
              <a:schemeClr val="accent3"/>
            </a:solidFill>
            <a:ln>
              <a:noFill/>
            </a:ln>
            <a:effectLst/>
          </c:spPr>
          <c:invertIfNegative val="0"/>
          <c:cat>
            <c:strRef>
              <c:f>'Pivot by 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 by Category'!$D$6:$D$15</c:f>
              <c:numCache>
                <c:formatCode>General</c:formatCode>
                <c:ptCount val="9"/>
                <c:pt idx="0">
                  <c:v>24</c:v>
                </c:pt>
                <c:pt idx="1">
                  <c:v>20</c:v>
                </c:pt>
                <c:pt idx="7">
                  <c:v>6</c:v>
                </c:pt>
              </c:numCache>
            </c:numRef>
          </c:val>
          <c:extLst>
            <c:ext xmlns:c16="http://schemas.microsoft.com/office/drawing/2014/chart" uri="{C3380CC4-5D6E-409C-BE32-E72D297353CC}">
              <c16:uniqueId val="{00000002-5813-4BF0-910A-39F5566C1F0B}"/>
            </c:ext>
          </c:extLst>
        </c:ser>
        <c:ser>
          <c:idx val="3"/>
          <c:order val="3"/>
          <c:tx>
            <c:strRef>
              <c:f>'Pivot by Category'!$E$4:$E$5</c:f>
              <c:strCache>
                <c:ptCount val="1"/>
                <c:pt idx="0">
                  <c:v>successful</c:v>
                </c:pt>
              </c:strCache>
            </c:strRef>
          </c:tx>
          <c:spPr>
            <a:solidFill>
              <a:schemeClr val="accent4"/>
            </a:solidFill>
            <a:ln>
              <a:noFill/>
            </a:ln>
            <a:effectLst/>
          </c:spPr>
          <c:invertIfNegative val="0"/>
          <c:cat>
            <c:strRef>
              <c:f>'Pivot by 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 by Category'!$E$6:$E$15</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3-5813-4BF0-910A-39F5566C1F0B}"/>
            </c:ext>
          </c:extLst>
        </c:ser>
        <c:dLbls>
          <c:showLegendKey val="0"/>
          <c:showVal val="0"/>
          <c:showCatName val="0"/>
          <c:showSerName val="0"/>
          <c:showPercent val="0"/>
          <c:showBubbleSize val="0"/>
        </c:dLbls>
        <c:gapWidth val="150"/>
        <c:overlap val="100"/>
        <c:axId val="317321791"/>
        <c:axId val="317335935"/>
      </c:barChart>
      <c:catAx>
        <c:axId val="31732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35935"/>
        <c:crosses val="autoZero"/>
        <c:auto val="1"/>
        <c:lblAlgn val="ctr"/>
        <c:lblOffset val="100"/>
        <c:noMultiLvlLbl val="0"/>
      </c:catAx>
      <c:valAx>
        <c:axId val="31733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21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v2.xlsx]Other tables and graphs!PivotTable1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each state per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'Other tables and graphs'!$B$75:$B$76</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'Other tables and graphs'!$A$77:$A$86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'Other tables and graphs'!$B$77:$B$86</c:f>
              <c:numCache>
                <c:formatCode>0.00%</c:formatCode>
                <c:ptCount val="9"/>
                <c:pt idx="0">
                  <c:v>7.6923076923076927E-2</c:v>
                </c:pt>
                <c:pt idx="1">
                  <c:v>0.1</c:v>
                </c:pt>
                <c:pt idx="2">
                  <c:v>0</c:v>
                </c:pt>
                <c:pt idx="3">
                  <c:v>1</c:v>
                </c:pt>
                <c:pt idx="4">
                  <c:v>2.8571428571428571E-2</c:v>
                </c:pt>
                <c:pt idx="5">
                  <c:v>0</c:v>
                </c:pt>
                <c:pt idx="6">
                  <c:v>0.12658227848101267</c:v>
                </c:pt>
                <c:pt idx="7">
                  <c:v>0.29666666666666669</c:v>
                </c:pt>
                <c:pt idx="8">
                  <c:v>2.6561378320172292E-2</c:v>
                </c:pt>
              </c:numCache>
            </c:numRef>
          </c:val>
          <c:smooth val="0"/>
          <c:extLst>
            <c:ext xmlns:c16="http://schemas.microsoft.com/office/drawing/2014/chart" uri="{C3380CC4-5D6E-409C-BE32-E72D297353CC}">
              <c16:uniqueId val="{00000000-3E5C-4CE2-B4CC-C0A6A0EF761E}"/>
            </c:ext>
          </c:extLst>
        </c:ser>
        <c:ser>
          <c:idx val="1"/>
          <c:order val="1"/>
          <c:tx>
            <c:strRef>
              <c:f>'Other tables and graphs'!$C$75:$C$76</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'Other tables and graphs'!$A$77:$A$86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'Other tables and graphs'!$C$77:$C$86</c:f>
              <c:numCache>
                <c:formatCode>0.00%</c:formatCode>
                <c:ptCount val="9"/>
                <c:pt idx="0">
                  <c:v>0.34615384615384615</c:v>
                </c:pt>
                <c:pt idx="1">
                  <c:v>0.7</c:v>
                </c:pt>
                <c:pt idx="2">
                  <c:v>0.63636363636363635</c:v>
                </c:pt>
                <c:pt idx="3">
                  <c:v>0</c:v>
                </c:pt>
                <c:pt idx="4">
                  <c:v>0.17142857142857143</c:v>
                </c:pt>
                <c:pt idx="5">
                  <c:v>0.53181818181818186</c:v>
                </c:pt>
                <c:pt idx="6">
                  <c:v>0.53586497890295359</c:v>
                </c:pt>
                <c:pt idx="7">
                  <c:v>0.35499999999999998</c:v>
                </c:pt>
                <c:pt idx="8">
                  <c:v>0.35391241923905242</c:v>
                </c:pt>
              </c:numCache>
            </c:numRef>
          </c:val>
          <c:smooth val="0"/>
          <c:extLst>
            <c:ext xmlns:c16="http://schemas.microsoft.com/office/drawing/2014/chart" uri="{C3380CC4-5D6E-409C-BE32-E72D297353CC}">
              <c16:uniqueId val="{00000001-3E5C-4CE2-B4CC-C0A6A0EF761E}"/>
            </c:ext>
          </c:extLst>
        </c:ser>
        <c:ser>
          <c:idx val="2"/>
          <c:order val="2"/>
          <c:tx>
            <c:strRef>
              <c:f>'Other tables and graphs'!$D$75:$D$76</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'Other tables and graphs'!$A$77:$A$86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'Other tables and graphs'!$D$77:$D$86</c:f>
              <c:numCache>
                <c:formatCode>0.00%</c:formatCode>
                <c:ptCount val="9"/>
                <c:pt idx="0">
                  <c:v>0</c:v>
                </c:pt>
                <c:pt idx="1">
                  <c:v>0.03</c:v>
                </c:pt>
                <c:pt idx="2">
                  <c:v>0</c:v>
                </c:pt>
                <c:pt idx="3">
                  <c:v>0</c:v>
                </c:pt>
                <c:pt idx="4">
                  <c:v>2.8571428571428571E-2</c:v>
                </c:pt>
                <c:pt idx="5">
                  <c:v>0</c:v>
                </c:pt>
                <c:pt idx="6">
                  <c:v>0</c:v>
                </c:pt>
                <c:pt idx="7">
                  <c:v>0</c:v>
                </c:pt>
                <c:pt idx="8">
                  <c:v>1.7229002153625269E-2</c:v>
                </c:pt>
              </c:numCache>
            </c:numRef>
          </c:val>
          <c:smooth val="0"/>
          <c:extLst>
            <c:ext xmlns:c16="http://schemas.microsoft.com/office/drawing/2014/chart" uri="{C3380CC4-5D6E-409C-BE32-E72D297353CC}">
              <c16:uniqueId val="{00000002-3E5C-4CE2-B4CC-C0A6A0EF761E}"/>
            </c:ext>
          </c:extLst>
        </c:ser>
        <c:ser>
          <c:idx val="3"/>
          <c:order val="3"/>
          <c:tx>
            <c:strRef>
              <c:f>'Other tables and graphs'!$E$75:$E$76</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'Other tables and graphs'!$A$77:$A$86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'Other tables and graphs'!$E$77:$E$86</c:f>
              <c:numCache>
                <c:formatCode>0.00%</c:formatCode>
                <c:ptCount val="9"/>
                <c:pt idx="0">
                  <c:v>0.57692307692307687</c:v>
                </c:pt>
                <c:pt idx="1">
                  <c:v>0.17</c:v>
                </c:pt>
                <c:pt idx="2">
                  <c:v>0.36363636363636365</c:v>
                </c:pt>
                <c:pt idx="3">
                  <c:v>0</c:v>
                </c:pt>
                <c:pt idx="4">
                  <c:v>0.77142857142857146</c:v>
                </c:pt>
                <c:pt idx="5">
                  <c:v>0.4681818181818182</c:v>
                </c:pt>
                <c:pt idx="6">
                  <c:v>0.33755274261603374</c:v>
                </c:pt>
                <c:pt idx="7">
                  <c:v>0.34833333333333333</c:v>
                </c:pt>
                <c:pt idx="8">
                  <c:v>0.60229720028715006</c:v>
                </c:pt>
              </c:numCache>
            </c:numRef>
          </c:val>
          <c:smooth val="0"/>
          <c:extLst>
            <c:ext xmlns:c16="http://schemas.microsoft.com/office/drawing/2014/chart" uri="{C3380CC4-5D6E-409C-BE32-E72D297353CC}">
              <c16:uniqueId val="{00000003-3E5C-4CE2-B4CC-C0A6A0EF761E}"/>
            </c:ext>
          </c:extLst>
        </c:ser>
        <c:dLbls>
          <c:showLegendKey val="0"/>
          <c:showVal val="0"/>
          <c:showCatName val="0"/>
          <c:showSerName val="0"/>
          <c:showPercent val="0"/>
          <c:showBubbleSize val="0"/>
        </c:dLbls>
        <c:marker val="1"/>
        <c:smooth val="0"/>
        <c:axId val="405118847"/>
        <c:axId val="405124671"/>
      </c:lineChart>
      <c:catAx>
        <c:axId val="40511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124671"/>
        <c:crosses val="autoZero"/>
        <c:auto val="1"/>
        <c:lblAlgn val="ctr"/>
        <c:lblOffset val="100"/>
        <c:noMultiLvlLbl val="0"/>
      </c:catAx>
      <c:valAx>
        <c:axId val="4051246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11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v2.xlsx]Other tables and graphs!PivotTable2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campaigns in</a:t>
            </a:r>
            <a:r>
              <a:rPr lang="en-US" baseline="0"/>
              <a:t> each category per year and months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24"/>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s>
    <c:plotArea>
      <c:layout/>
      <c:lineChart>
        <c:grouping val="stacked"/>
        <c:varyColors val="0"/>
        <c:ser>
          <c:idx val="0"/>
          <c:order val="0"/>
          <c:tx>
            <c:strRef>
              <c:f>'Other tables and graphs'!$B$95:$B$96</c:f>
              <c:strCache>
                <c:ptCount val="1"/>
                <c:pt idx="0">
                  <c:v>film &amp; 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graphs'!$B$97:$B$106</c:f>
              <c:numCache>
                <c:formatCode>General</c:formatCode>
                <c:ptCount val="9"/>
                <c:pt idx="0">
                  <c:v>2</c:v>
                </c:pt>
                <c:pt idx="1">
                  <c:v>20</c:v>
                </c:pt>
                <c:pt idx="2">
                  <c:v>41</c:v>
                </c:pt>
                <c:pt idx="3">
                  <c:v>41</c:v>
                </c:pt>
                <c:pt idx="4">
                  <c:v>35</c:v>
                </c:pt>
                <c:pt idx="5">
                  <c:v>60</c:v>
                </c:pt>
                <c:pt idx="6">
                  <c:v>58</c:v>
                </c:pt>
                <c:pt idx="7">
                  <c:v>37</c:v>
                </c:pt>
                <c:pt idx="8">
                  <c:v>6</c:v>
                </c:pt>
              </c:numCache>
            </c:numRef>
          </c:val>
          <c:smooth val="0"/>
          <c:extLst>
            <c:ext xmlns:c16="http://schemas.microsoft.com/office/drawing/2014/chart" uri="{C3380CC4-5D6E-409C-BE32-E72D297353CC}">
              <c16:uniqueId val="{00000000-844F-4122-8C69-7985D3CEC81D}"/>
            </c:ext>
          </c:extLst>
        </c:ser>
        <c:ser>
          <c:idx val="1"/>
          <c:order val="1"/>
          <c:tx>
            <c:strRef>
              <c:f>'Other tables and graphs'!$C$95:$C$96</c:f>
              <c:strCache>
                <c:ptCount val="1"/>
                <c:pt idx="0">
                  <c:v>food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graphs'!$C$97:$C$106</c:f>
              <c:numCache>
                <c:formatCode>General</c:formatCode>
                <c:ptCount val="9"/>
                <c:pt idx="5">
                  <c:v>12</c:v>
                </c:pt>
                <c:pt idx="6">
                  <c:v>7</c:v>
                </c:pt>
                <c:pt idx="7">
                  <c:v>11</c:v>
                </c:pt>
                <c:pt idx="8">
                  <c:v>4</c:v>
                </c:pt>
              </c:numCache>
            </c:numRef>
          </c:val>
          <c:smooth val="0"/>
          <c:extLst>
            <c:ext xmlns:c16="http://schemas.microsoft.com/office/drawing/2014/chart" uri="{C3380CC4-5D6E-409C-BE32-E72D297353CC}">
              <c16:uniqueId val="{00000001-844F-4122-8C69-7985D3CEC81D}"/>
            </c:ext>
          </c:extLst>
        </c:ser>
        <c:ser>
          <c:idx val="2"/>
          <c:order val="2"/>
          <c:tx>
            <c:strRef>
              <c:f>'Other tables and graphs'!$D$95:$D$96</c:f>
              <c:strCache>
                <c:ptCount val="1"/>
                <c:pt idx="0">
                  <c:v>games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graphs'!$D$97:$D$106</c:f>
              <c:numCache>
                <c:formatCode>General</c:formatCode>
                <c:ptCount val="9"/>
                <c:pt idx="2">
                  <c:v>1</c:v>
                </c:pt>
                <c:pt idx="3">
                  <c:v>1</c:v>
                </c:pt>
                <c:pt idx="4">
                  <c:v>8</c:v>
                </c:pt>
                <c:pt idx="5">
                  <c:v>12</c:v>
                </c:pt>
                <c:pt idx="6">
                  <c:v>19</c:v>
                </c:pt>
                <c:pt idx="7">
                  <c:v>28</c:v>
                </c:pt>
                <c:pt idx="8">
                  <c:v>11</c:v>
                </c:pt>
              </c:numCache>
            </c:numRef>
          </c:val>
          <c:smooth val="0"/>
          <c:extLst>
            <c:ext xmlns:c16="http://schemas.microsoft.com/office/drawing/2014/chart" uri="{C3380CC4-5D6E-409C-BE32-E72D297353CC}">
              <c16:uniqueId val="{00000002-844F-4122-8C69-7985D3CEC81D}"/>
            </c:ext>
          </c:extLst>
        </c:ser>
        <c:ser>
          <c:idx val="3"/>
          <c:order val="3"/>
          <c:tx>
            <c:strRef>
              <c:f>'Other tables and graphs'!$E$95:$E$96</c:f>
              <c:strCache>
                <c:ptCount val="1"/>
                <c:pt idx="0">
                  <c:v>music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graphs'!$E$97:$E$106</c:f>
              <c:numCache>
                <c:formatCode>General</c:formatCode>
                <c:ptCount val="9"/>
                <c:pt idx="0">
                  <c:v>6</c:v>
                </c:pt>
                <c:pt idx="1">
                  <c:v>21</c:v>
                </c:pt>
                <c:pt idx="2">
                  <c:v>74</c:v>
                </c:pt>
                <c:pt idx="3">
                  <c:v>136</c:v>
                </c:pt>
                <c:pt idx="4">
                  <c:v>97</c:v>
                </c:pt>
                <c:pt idx="5">
                  <c:v>76</c:v>
                </c:pt>
                <c:pt idx="6">
                  <c:v>71</c:v>
                </c:pt>
                <c:pt idx="7">
                  <c:v>52</c:v>
                </c:pt>
                <c:pt idx="8">
                  <c:v>7</c:v>
                </c:pt>
              </c:numCache>
            </c:numRef>
          </c:val>
          <c:smooth val="0"/>
          <c:extLst>
            <c:ext xmlns:c16="http://schemas.microsoft.com/office/drawing/2014/chart" uri="{C3380CC4-5D6E-409C-BE32-E72D297353CC}">
              <c16:uniqueId val="{00000003-844F-4122-8C69-7985D3CEC81D}"/>
            </c:ext>
          </c:extLst>
        </c:ser>
        <c:ser>
          <c:idx val="4"/>
          <c:order val="4"/>
          <c:tx>
            <c:strRef>
              <c:f>'Other tables and graphs'!$F$95:$F$96</c:f>
              <c:strCache>
                <c:ptCount val="1"/>
                <c:pt idx="0">
                  <c:v>photography</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graphs'!$F$97:$F$106</c:f>
              <c:numCache>
                <c:formatCode>General</c:formatCode>
                <c:ptCount val="9"/>
                <c:pt idx="1">
                  <c:v>1</c:v>
                </c:pt>
                <c:pt idx="5">
                  <c:v>16</c:v>
                </c:pt>
                <c:pt idx="6">
                  <c:v>36</c:v>
                </c:pt>
                <c:pt idx="7">
                  <c:v>40</c:v>
                </c:pt>
                <c:pt idx="8">
                  <c:v>10</c:v>
                </c:pt>
              </c:numCache>
            </c:numRef>
          </c:val>
          <c:smooth val="0"/>
          <c:extLst>
            <c:ext xmlns:c16="http://schemas.microsoft.com/office/drawing/2014/chart" uri="{C3380CC4-5D6E-409C-BE32-E72D297353CC}">
              <c16:uniqueId val="{00000004-844F-4122-8C69-7985D3CEC81D}"/>
            </c:ext>
          </c:extLst>
        </c:ser>
        <c:ser>
          <c:idx val="5"/>
          <c:order val="5"/>
          <c:tx>
            <c:strRef>
              <c:f>'Other tables and graphs'!$G$95:$G$96</c:f>
              <c:strCache>
                <c:ptCount val="1"/>
                <c:pt idx="0">
                  <c:v>publishing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graphs'!$G$97:$G$106</c:f>
              <c:numCache>
                <c:formatCode>General</c:formatCode>
                <c:ptCount val="9"/>
                <c:pt idx="1">
                  <c:v>1</c:v>
                </c:pt>
                <c:pt idx="2">
                  <c:v>11</c:v>
                </c:pt>
                <c:pt idx="3">
                  <c:v>15</c:v>
                </c:pt>
                <c:pt idx="4">
                  <c:v>21</c:v>
                </c:pt>
                <c:pt idx="5">
                  <c:v>15</c:v>
                </c:pt>
                <c:pt idx="6">
                  <c:v>11</c:v>
                </c:pt>
                <c:pt idx="7">
                  <c:v>6</c:v>
                </c:pt>
              </c:numCache>
            </c:numRef>
          </c:val>
          <c:smooth val="0"/>
          <c:extLst>
            <c:ext xmlns:c16="http://schemas.microsoft.com/office/drawing/2014/chart" uri="{C3380CC4-5D6E-409C-BE32-E72D297353CC}">
              <c16:uniqueId val="{00000005-844F-4122-8C69-7985D3CEC81D}"/>
            </c:ext>
          </c:extLst>
        </c:ser>
        <c:ser>
          <c:idx val="6"/>
          <c:order val="6"/>
          <c:tx>
            <c:strRef>
              <c:f>'Other tables and graphs'!$H$95:$H$96</c:f>
              <c:strCache>
                <c:ptCount val="1"/>
                <c:pt idx="0">
                  <c:v>technology</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graphs'!$H$97:$H$106</c:f>
              <c:numCache>
                <c:formatCode>General</c:formatCode>
                <c:ptCount val="9"/>
                <c:pt idx="0">
                  <c:v>1</c:v>
                </c:pt>
                <c:pt idx="1">
                  <c:v>3</c:v>
                </c:pt>
                <c:pt idx="2">
                  <c:v>5</c:v>
                </c:pt>
                <c:pt idx="3">
                  <c:v>15</c:v>
                </c:pt>
                <c:pt idx="4">
                  <c:v>28</c:v>
                </c:pt>
                <c:pt idx="5">
                  <c:v>42</c:v>
                </c:pt>
                <c:pt idx="6">
                  <c:v>61</c:v>
                </c:pt>
                <c:pt idx="7">
                  <c:v>52</c:v>
                </c:pt>
                <c:pt idx="8">
                  <c:v>2</c:v>
                </c:pt>
              </c:numCache>
            </c:numRef>
          </c:val>
          <c:smooth val="0"/>
          <c:extLst>
            <c:ext xmlns:c16="http://schemas.microsoft.com/office/drawing/2014/chart" uri="{C3380CC4-5D6E-409C-BE32-E72D297353CC}">
              <c16:uniqueId val="{00000006-844F-4122-8C69-7985D3CEC81D}"/>
            </c:ext>
          </c:extLst>
        </c:ser>
        <c:ser>
          <c:idx val="7"/>
          <c:order val="7"/>
          <c:tx>
            <c:strRef>
              <c:f>'Other tables and graphs'!$I$95:$I$96</c:f>
              <c:strCache>
                <c:ptCount val="1"/>
                <c:pt idx="0">
                  <c:v>theater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'Other tables and graphs'!$A$97:$A$106</c:f>
              <c:strCache>
                <c:ptCount val="9"/>
                <c:pt idx="0">
                  <c:v>2009</c:v>
                </c:pt>
                <c:pt idx="1">
                  <c:v>2010</c:v>
                </c:pt>
                <c:pt idx="2">
                  <c:v>2011</c:v>
                </c:pt>
                <c:pt idx="3">
                  <c:v>2012</c:v>
                </c:pt>
                <c:pt idx="4">
                  <c:v>2013</c:v>
                </c:pt>
                <c:pt idx="5">
                  <c:v>2014</c:v>
                </c:pt>
                <c:pt idx="6">
                  <c:v>2015</c:v>
                </c:pt>
                <c:pt idx="7">
                  <c:v>2016</c:v>
                </c:pt>
                <c:pt idx="8">
                  <c:v>2017</c:v>
                </c:pt>
              </c:strCache>
            </c:strRef>
          </c:cat>
          <c:val>
            <c:numRef>
              <c:f>'Other tables and graphs'!$I$97:$I$106</c:f>
              <c:numCache>
                <c:formatCode>General</c:formatCode>
                <c:ptCount val="9"/>
                <c:pt idx="1">
                  <c:v>3</c:v>
                </c:pt>
                <c:pt idx="2">
                  <c:v>4</c:v>
                </c:pt>
                <c:pt idx="3">
                  <c:v>8</c:v>
                </c:pt>
                <c:pt idx="4">
                  <c:v>11</c:v>
                </c:pt>
                <c:pt idx="5">
                  <c:v>241</c:v>
                </c:pt>
                <c:pt idx="6">
                  <c:v>304</c:v>
                </c:pt>
                <c:pt idx="7">
                  <c:v>249</c:v>
                </c:pt>
                <c:pt idx="8">
                  <c:v>19</c:v>
                </c:pt>
              </c:numCache>
            </c:numRef>
          </c:val>
          <c:smooth val="0"/>
          <c:extLst>
            <c:ext xmlns:c16="http://schemas.microsoft.com/office/drawing/2014/chart" uri="{C3380CC4-5D6E-409C-BE32-E72D297353CC}">
              <c16:uniqueId val="{00000007-844F-4122-8C69-7985D3CEC81D}"/>
            </c:ext>
          </c:extLst>
        </c:ser>
        <c:dLbls>
          <c:showLegendKey val="0"/>
          <c:showVal val="0"/>
          <c:showCatName val="0"/>
          <c:showSerName val="0"/>
          <c:showPercent val="0"/>
          <c:showBubbleSize val="0"/>
        </c:dLbls>
        <c:marker val="1"/>
        <c:smooth val="0"/>
        <c:axId val="406784367"/>
        <c:axId val="406785199"/>
      </c:lineChart>
      <c:catAx>
        <c:axId val="406784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85199"/>
        <c:crosses val="autoZero"/>
        <c:auto val="1"/>
        <c:lblAlgn val="ctr"/>
        <c:lblOffset val="100"/>
        <c:noMultiLvlLbl val="0"/>
      </c:catAx>
      <c:valAx>
        <c:axId val="406785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843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[StarterBook.xlsx]Other tables and graphs!PivotTable6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campaigns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marker>
          <c:symbol val="none"/>
        </c:marker>
      </c:pivotFmt>
      <c:pivotFmt>
        <c:idx val="3"/>
        <c:spPr>
          <a:solidFill>
            <a:schemeClr val="accent1"/>
          </a:solidFill>
          <a:ln w="19050">
            <a:solidFill>
              <a:schemeClr val="lt1"/>
            </a:solidFill>
          </a:ln>
          <a:effectLst/>
        </c:spPr>
        <c:marker>
          <c:symbol val="none"/>
        </c:marker>
      </c:pivotFmt>
      <c:pivotFmt>
        <c:idx val="4"/>
        <c:spPr>
          <a:solidFill>
            <a:schemeClr val="accent1"/>
          </a:solidFill>
          <a:ln w="19050">
            <a:solidFill>
              <a:schemeClr val="lt1"/>
            </a:solidFill>
          </a:ln>
          <a:effectLst/>
        </c:spPr>
        <c:marker>
          <c:symbol val="none"/>
        </c:marker>
      </c:pivotFmt>
      <c:pivotFmt>
        <c:idx val="5"/>
        <c:spPr>
          <a:solidFill>
            <a:schemeClr val="accent1"/>
          </a:solidFill>
          <a:ln w="19050">
            <a:solidFill>
              <a:schemeClr val="lt1"/>
            </a:solidFill>
          </a:ln>
          <a:effectLst/>
        </c:spPr>
        <c:marker>
          <c:symbol val="none"/>
        </c:marker>
      </c:pivotFmt>
      <c:pivotFmt>
        <c:idx val="6"/>
        <c:spPr>
          <a:solidFill>
            <a:schemeClr val="accent1"/>
          </a:solidFill>
          <a:ln w="19050">
            <a:solidFill>
              <a:schemeClr val="lt1"/>
            </a:solidFill>
          </a:ln>
          <a:effectLst/>
        </c:spPr>
        <c:marker>
          <c:symbol val="none"/>
        </c:marker>
      </c:pivotFmt>
      <c:pivotFmt>
        <c:idx val="7"/>
        <c:spPr>
          <a:solidFill>
            <a:schemeClr val="accent1"/>
          </a:solidFill>
          <a:ln w="19050">
            <a:solidFill>
              <a:schemeClr val="lt1"/>
            </a:solidFill>
          </a:ln>
          <a:effectLst/>
        </c:spPr>
        <c:marker>
          <c:symbol val="none"/>
        </c:marker>
      </c:pivotFmt>
      <c:pivotFmt>
        <c:idx val="8"/>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pivotFmt>
      <c:pivotFmt>
        <c:idx val="115"/>
        <c:spPr>
          <a:solidFill>
            <a:schemeClr val="accent1"/>
          </a:solidFill>
          <a:ln w="19050">
            <a:solidFill>
              <a:schemeClr val="lt1"/>
            </a:solidFill>
          </a:ln>
          <a:effectLst/>
        </c:spPr>
      </c:pivotFmt>
      <c:pivotFmt>
        <c:idx val="116"/>
        <c:spPr>
          <a:solidFill>
            <a:schemeClr val="accent1"/>
          </a:solidFill>
          <a:ln w="19050">
            <a:solidFill>
              <a:schemeClr val="lt1"/>
            </a:solidFill>
          </a:ln>
          <a:effectLst/>
        </c:spPr>
      </c:pivotFmt>
      <c:pivotFmt>
        <c:idx val="117"/>
        <c:spPr>
          <a:solidFill>
            <a:schemeClr val="accent1"/>
          </a:solidFill>
          <a:ln w="19050">
            <a:solidFill>
              <a:schemeClr val="lt1"/>
            </a:solidFill>
          </a:ln>
          <a:effectLst/>
        </c:spPr>
      </c:pivotFmt>
      <c:pivotFmt>
        <c:idx val="1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9"/>
        <c:spPr>
          <a:solidFill>
            <a:schemeClr val="accent1"/>
          </a:solidFill>
          <a:ln w="19050">
            <a:solidFill>
              <a:schemeClr val="lt1"/>
            </a:solidFill>
          </a:ln>
          <a:effectLst/>
        </c:spPr>
      </c:pivotFmt>
      <c:pivotFmt>
        <c:idx val="120"/>
        <c:spPr>
          <a:solidFill>
            <a:schemeClr val="accent1"/>
          </a:solidFill>
          <a:ln w="19050">
            <a:solidFill>
              <a:schemeClr val="lt1"/>
            </a:solidFill>
          </a:ln>
          <a:effectLst/>
        </c:spPr>
      </c:pivotFmt>
      <c:pivotFmt>
        <c:idx val="121"/>
        <c:spPr>
          <a:solidFill>
            <a:schemeClr val="accent1"/>
          </a:solidFill>
          <a:ln w="19050">
            <a:solidFill>
              <a:schemeClr val="lt1"/>
            </a:solidFill>
          </a:ln>
          <a:effectLst/>
        </c:spPr>
      </c:pivotFmt>
      <c:pivotFmt>
        <c:idx val="122"/>
        <c:spPr>
          <a:solidFill>
            <a:schemeClr val="accent1"/>
          </a:solidFill>
          <a:ln w="19050">
            <a:solidFill>
              <a:schemeClr val="lt1"/>
            </a:solidFill>
          </a:ln>
          <a:effectLst/>
        </c:spPr>
      </c:pivotFmt>
      <c:pivotFmt>
        <c:idx val="123"/>
        <c:spPr>
          <a:solidFill>
            <a:schemeClr val="accent1"/>
          </a:solidFill>
          <a:ln w="19050">
            <a:solidFill>
              <a:schemeClr val="lt1"/>
            </a:solidFill>
          </a:ln>
          <a:effectLst/>
        </c:spPr>
      </c:pivotFmt>
      <c:pivotFmt>
        <c:idx val="124"/>
        <c:spPr>
          <a:solidFill>
            <a:schemeClr val="accent1"/>
          </a:solidFill>
          <a:ln w="19050">
            <a:solidFill>
              <a:schemeClr val="lt1"/>
            </a:solidFill>
          </a:ln>
          <a:effectLst/>
        </c:spPr>
      </c:pivotFmt>
      <c:pivotFmt>
        <c:idx val="125"/>
        <c:spPr>
          <a:solidFill>
            <a:schemeClr val="accent1"/>
          </a:solidFill>
          <a:ln w="19050">
            <a:solidFill>
              <a:schemeClr val="lt1"/>
            </a:solidFill>
          </a:ln>
          <a:effectLst/>
        </c:spPr>
      </c:pivotFmt>
      <c:pivotFmt>
        <c:idx val="126"/>
        <c:spPr>
          <a:solidFill>
            <a:schemeClr val="accent1"/>
          </a:solidFill>
          <a:ln w="19050">
            <a:solidFill>
              <a:schemeClr val="lt1"/>
            </a:solidFill>
          </a:ln>
          <a:effectLst/>
        </c:spPr>
      </c:pivotFmt>
      <c:pivotFmt>
        <c:idx val="127"/>
        <c:spPr>
          <a:solidFill>
            <a:schemeClr val="accent1"/>
          </a:solidFill>
          <a:ln w="19050">
            <a:solidFill>
              <a:schemeClr val="lt1"/>
            </a:solidFill>
          </a:ln>
          <a:effectLst/>
        </c:spPr>
      </c:pivotFmt>
      <c:pivotFmt>
        <c:idx val="128"/>
        <c:spPr>
          <a:solidFill>
            <a:schemeClr val="accent1"/>
          </a:solidFill>
          <a:ln w="19050">
            <a:solidFill>
              <a:schemeClr val="lt1"/>
            </a:solidFill>
          </a:ln>
          <a:effectLst/>
        </c:spPr>
      </c:pivotFmt>
      <c:pivotFmt>
        <c:idx val="129"/>
        <c:spPr>
          <a:solidFill>
            <a:schemeClr val="accent1"/>
          </a:solidFill>
          <a:ln w="19050">
            <a:solidFill>
              <a:schemeClr val="lt1"/>
            </a:solidFill>
          </a:ln>
          <a:effectLst/>
        </c:spPr>
      </c:pivotFmt>
      <c:pivotFmt>
        <c:idx val="130"/>
        <c:spPr>
          <a:solidFill>
            <a:schemeClr val="accent1"/>
          </a:solidFill>
          <a:ln w="19050">
            <a:solidFill>
              <a:schemeClr val="lt1"/>
            </a:solidFill>
          </a:ln>
          <a:effectLst/>
        </c:spPr>
      </c:pivotFmt>
      <c:pivotFmt>
        <c:idx val="131"/>
        <c:spPr>
          <a:solidFill>
            <a:schemeClr val="accent1"/>
          </a:solidFill>
          <a:ln w="19050">
            <a:solidFill>
              <a:schemeClr val="lt1"/>
            </a:solidFill>
          </a:ln>
          <a:effectLst/>
        </c:spPr>
      </c:pivotFmt>
      <c:pivotFmt>
        <c:idx val="132"/>
        <c:spPr>
          <a:solidFill>
            <a:schemeClr val="accent1"/>
          </a:solidFill>
          <a:ln w="19050">
            <a:solidFill>
              <a:schemeClr val="lt1"/>
            </a:solidFill>
          </a:ln>
          <a:effectLst/>
        </c:spPr>
      </c:pivotFmt>
      <c:pivotFmt>
        <c:idx val="133"/>
        <c:spPr>
          <a:solidFill>
            <a:schemeClr val="accent1"/>
          </a:solidFill>
          <a:ln w="19050">
            <a:solidFill>
              <a:schemeClr val="lt1"/>
            </a:solidFill>
          </a:ln>
          <a:effectLst/>
        </c:spPr>
      </c:pivotFmt>
      <c:pivotFmt>
        <c:idx val="134"/>
        <c:spPr>
          <a:solidFill>
            <a:schemeClr val="accent1"/>
          </a:solidFill>
          <a:ln w="19050">
            <a:solidFill>
              <a:schemeClr val="lt1"/>
            </a:solidFill>
          </a:ln>
          <a:effectLst/>
        </c:spPr>
      </c:pivotFmt>
      <c:pivotFmt>
        <c:idx val="135"/>
        <c:spPr>
          <a:solidFill>
            <a:schemeClr val="accent1"/>
          </a:solidFill>
          <a:ln w="19050">
            <a:solidFill>
              <a:schemeClr val="lt1"/>
            </a:solidFill>
          </a:ln>
          <a:effectLst/>
        </c:spPr>
      </c:pivotFmt>
      <c:pivotFmt>
        <c:idx val="136"/>
        <c:spPr>
          <a:solidFill>
            <a:schemeClr val="accent1"/>
          </a:solidFill>
          <a:ln w="19050">
            <a:solidFill>
              <a:schemeClr val="lt1"/>
            </a:solidFill>
          </a:ln>
          <a:effectLst/>
        </c:spPr>
      </c:pivotFmt>
      <c:pivotFmt>
        <c:idx val="137"/>
        <c:spPr>
          <a:solidFill>
            <a:schemeClr val="accent1"/>
          </a:solidFill>
          <a:ln w="19050">
            <a:solidFill>
              <a:schemeClr val="lt1"/>
            </a:solidFill>
          </a:ln>
          <a:effectLst/>
        </c:spPr>
      </c:pivotFmt>
      <c:pivotFmt>
        <c:idx val="138"/>
        <c:spPr>
          <a:solidFill>
            <a:schemeClr val="accent1"/>
          </a:solidFill>
          <a:ln w="19050">
            <a:solidFill>
              <a:schemeClr val="lt1"/>
            </a:solidFill>
          </a:ln>
          <a:effectLst/>
        </c:spPr>
      </c:pivotFmt>
      <c:pivotFmt>
        <c:idx val="139"/>
        <c:spPr>
          <a:solidFill>
            <a:schemeClr val="accent1"/>
          </a:solidFill>
          <a:ln w="19050">
            <a:solidFill>
              <a:schemeClr val="lt1"/>
            </a:solidFill>
          </a:ln>
          <a:effectLst/>
        </c:spPr>
      </c:pivotFmt>
      <c:pivotFmt>
        <c:idx val="14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41"/>
        <c:spPr>
          <a:solidFill>
            <a:schemeClr val="accent1"/>
          </a:solidFill>
          <a:ln w="19050">
            <a:solidFill>
              <a:schemeClr val="lt1"/>
            </a:solidFill>
          </a:ln>
          <a:effectLst/>
        </c:spPr>
      </c:pivotFmt>
      <c:pivotFmt>
        <c:idx val="142"/>
        <c:spPr>
          <a:solidFill>
            <a:schemeClr val="accent1"/>
          </a:solidFill>
          <a:ln w="19050">
            <a:solidFill>
              <a:schemeClr val="lt1"/>
            </a:solidFill>
          </a:ln>
          <a:effectLst/>
        </c:spPr>
      </c:pivotFmt>
      <c:pivotFmt>
        <c:idx val="143"/>
        <c:spPr>
          <a:solidFill>
            <a:schemeClr val="accent1"/>
          </a:solidFill>
          <a:ln w="19050">
            <a:solidFill>
              <a:schemeClr val="lt1"/>
            </a:solidFill>
          </a:ln>
          <a:effectLst/>
        </c:spPr>
      </c:pivotFmt>
      <c:pivotFmt>
        <c:idx val="144"/>
        <c:spPr>
          <a:solidFill>
            <a:schemeClr val="accent1"/>
          </a:solidFill>
          <a:ln w="19050">
            <a:solidFill>
              <a:schemeClr val="lt1"/>
            </a:solidFill>
          </a:ln>
          <a:effectLst/>
        </c:spPr>
      </c:pivotFmt>
      <c:pivotFmt>
        <c:idx val="145"/>
        <c:spPr>
          <a:solidFill>
            <a:schemeClr val="accent1"/>
          </a:solidFill>
          <a:ln w="19050">
            <a:solidFill>
              <a:schemeClr val="lt1"/>
            </a:solidFill>
          </a:ln>
          <a:effectLst/>
        </c:spPr>
      </c:pivotFmt>
      <c:pivotFmt>
        <c:idx val="146"/>
        <c:spPr>
          <a:solidFill>
            <a:schemeClr val="accent1"/>
          </a:solidFill>
          <a:ln w="19050">
            <a:solidFill>
              <a:schemeClr val="lt1"/>
            </a:solidFill>
          </a:ln>
          <a:effectLst/>
        </c:spPr>
      </c:pivotFmt>
      <c:pivotFmt>
        <c:idx val="147"/>
        <c:spPr>
          <a:solidFill>
            <a:schemeClr val="accent1"/>
          </a:solidFill>
          <a:ln w="19050">
            <a:solidFill>
              <a:schemeClr val="lt1"/>
            </a:solidFill>
          </a:ln>
          <a:effectLst/>
        </c:spPr>
      </c:pivotFmt>
      <c:pivotFmt>
        <c:idx val="148"/>
        <c:spPr>
          <a:solidFill>
            <a:schemeClr val="accent1"/>
          </a:solidFill>
          <a:ln w="19050">
            <a:solidFill>
              <a:schemeClr val="lt1"/>
            </a:solidFill>
          </a:ln>
          <a:effectLst/>
        </c:spPr>
      </c:pivotFmt>
      <c:pivotFmt>
        <c:idx val="149"/>
        <c:spPr>
          <a:solidFill>
            <a:schemeClr val="accent1"/>
          </a:solidFill>
          <a:ln w="19050">
            <a:solidFill>
              <a:schemeClr val="lt1"/>
            </a:solidFill>
          </a:ln>
          <a:effectLst/>
        </c:spPr>
      </c:pivotFmt>
      <c:pivotFmt>
        <c:idx val="150"/>
        <c:spPr>
          <a:solidFill>
            <a:schemeClr val="accent1"/>
          </a:solidFill>
          <a:ln w="19050">
            <a:solidFill>
              <a:schemeClr val="lt1"/>
            </a:solidFill>
          </a:ln>
          <a:effectLst/>
        </c:spPr>
      </c:pivotFmt>
      <c:pivotFmt>
        <c:idx val="151"/>
        <c:spPr>
          <a:solidFill>
            <a:schemeClr val="accent1"/>
          </a:solidFill>
          <a:ln w="19050">
            <a:solidFill>
              <a:schemeClr val="lt1"/>
            </a:solidFill>
          </a:ln>
          <a:effectLst/>
        </c:spPr>
      </c:pivotFmt>
      <c:pivotFmt>
        <c:idx val="152"/>
        <c:spPr>
          <a:solidFill>
            <a:schemeClr val="accent1"/>
          </a:solidFill>
          <a:ln w="19050">
            <a:solidFill>
              <a:schemeClr val="lt1"/>
            </a:solidFill>
          </a:ln>
          <a:effectLst/>
        </c:spPr>
      </c:pivotFmt>
      <c:pivotFmt>
        <c:idx val="153"/>
        <c:spPr>
          <a:solidFill>
            <a:schemeClr val="accent1"/>
          </a:solidFill>
          <a:ln w="19050">
            <a:solidFill>
              <a:schemeClr val="lt1"/>
            </a:solidFill>
          </a:ln>
          <a:effectLst/>
        </c:spPr>
      </c:pivotFmt>
      <c:pivotFmt>
        <c:idx val="154"/>
        <c:spPr>
          <a:solidFill>
            <a:schemeClr val="accent1"/>
          </a:solidFill>
          <a:ln w="19050">
            <a:solidFill>
              <a:schemeClr val="lt1"/>
            </a:solidFill>
          </a:ln>
          <a:effectLst/>
        </c:spPr>
      </c:pivotFmt>
      <c:pivotFmt>
        <c:idx val="155"/>
        <c:spPr>
          <a:solidFill>
            <a:schemeClr val="accent1"/>
          </a:solidFill>
          <a:ln w="19050">
            <a:solidFill>
              <a:schemeClr val="lt1"/>
            </a:solidFill>
          </a:ln>
          <a:effectLst/>
        </c:spPr>
      </c:pivotFmt>
      <c:pivotFmt>
        <c:idx val="156"/>
        <c:spPr>
          <a:solidFill>
            <a:schemeClr val="accent1"/>
          </a:solidFill>
          <a:ln w="19050">
            <a:solidFill>
              <a:schemeClr val="lt1"/>
            </a:solidFill>
          </a:ln>
          <a:effectLst/>
        </c:spPr>
      </c:pivotFmt>
      <c:pivotFmt>
        <c:idx val="157"/>
        <c:spPr>
          <a:solidFill>
            <a:schemeClr val="accent1"/>
          </a:solidFill>
          <a:ln w="19050">
            <a:solidFill>
              <a:schemeClr val="lt1"/>
            </a:solidFill>
          </a:ln>
          <a:effectLst/>
        </c:spPr>
      </c:pivotFmt>
      <c:pivotFmt>
        <c:idx val="158"/>
        <c:spPr>
          <a:solidFill>
            <a:schemeClr val="accent1"/>
          </a:solidFill>
          <a:ln w="19050">
            <a:solidFill>
              <a:schemeClr val="lt1"/>
            </a:solidFill>
          </a:ln>
          <a:effectLst/>
        </c:spPr>
      </c:pivotFmt>
      <c:pivotFmt>
        <c:idx val="159"/>
        <c:spPr>
          <a:solidFill>
            <a:schemeClr val="accent1"/>
          </a:solidFill>
          <a:ln w="19050">
            <a:solidFill>
              <a:schemeClr val="lt1"/>
            </a:solidFill>
          </a:ln>
          <a:effectLst/>
        </c:spPr>
      </c:pivotFmt>
      <c:pivotFmt>
        <c:idx val="160"/>
        <c:spPr>
          <a:solidFill>
            <a:schemeClr val="accent1"/>
          </a:solidFill>
          <a:ln w="19050">
            <a:solidFill>
              <a:schemeClr val="lt1"/>
            </a:solidFill>
          </a:ln>
          <a:effectLst/>
        </c:spPr>
      </c:pivotFmt>
      <c:pivotFmt>
        <c:idx val="161"/>
        <c:spPr>
          <a:solidFill>
            <a:schemeClr val="accent1"/>
          </a:solidFill>
          <a:ln w="19050">
            <a:solidFill>
              <a:schemeClr val="lt1"/>
            </a:solidFill>
          </a:ln>
          <a:effectLst/>
        </c:spPr>
      </c:pivotFmt>
      <c:pivotFmt>
        <c:idx val="16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63"/>
        <c:spPr>
          <a:solidFill>
            <a:schemeClr val="accent1"/>
          </a:solidFill>
          <a:ln w="19050">
            <a:solidFill>
              <a:schemeClr val="lt1"/>
            </a:solidFill>
          </a:ln>
          <a:effectLst/>
        </c:spPr>
      </c:pivotFmt>
      <c:pivotFmt>
        <c:idx val="164"/>
        <c:spPr>
          <a:solidFill>
            <a:schemeClr val="accent1"/>
          </a:solidFill>
          <a:ln w="19050">
            <a:solidFill>
              <a:schemeClr val="lt1"/>
            </a:solidFill>
          </a:ln>
          <a:effectLst/>
        </c:spPr>
      </c:pivotFmt>
      <c:pivotFmt>
        <c:idx val="165"/>
        <c:spPr>
          <a:solidFill>
            <a:schemeClr val="accent1"/>
          </a:solidFill>
          <a:ln w="19050">
            <a:solidFill>
              <a:schemeClr val="lt1"/>
            </a:solidFill>
          </a:ln>
          <a:effectLst/>
        </c:spPr>
      </c:pivotFmt>
      <c:pivotFmt>
        <c:idx val="166"/>
        <c:spPr>
          <a:solidFill>
            <a:schemeClr val="accent1"/>
          </a:solidFill>
          <a:ln w="19050">
            <a:solidFill>
              <a:schemeClr val="lt1"/>
            </a:solidFill>
          </a:ln>
          <a:effectLst/>
        </c:spPr>
      </c:pivotFmt>
      <c:pivotFmt>
        <c:idx val="167"/>
        <c:spPr>
          <a:solidFill>
            <a:schemeClr val="accent1"/>
          </a:solidFill>
          <a:ln w="19050">
            <a:solidFill>
              <a:schemeClr val="lt1"/>
            </a:solidFill>
          </a:ln>
          <a:effectLst/>
        </c:spPr>
      </c:pivotFmt>
      <c:pivotFmt>
        <c:idx val="168"/>
        <c:spPr>
          <a:solidFill>
            <a:schemeClr val="accent1"/>
          </a:solidFill>
          <a:ln w="19050">
            <a:solidFill>
              <a:schemeClr val="lt1"/>
            </a:solidFill>
          </a:ln>
          <a:effectLst/>
        </c:spPr>
      </c:pivotFmt>
      <c:pivotFmt>
        <c:idx val="169"/>
        <c:spPr>
          <a:solidFill>
            <a:schemeClr val="accent1"/>
          </a:solidFill>
          <a:ln w="19050">
            <a:solidFill>
              <a:schemeClr val="lt1"/>
            </a:solidFill>
          </a:ln>
          <a:effectLst/>
        </c:spPr>
      </c:pivotFmt>
      <c:pivotFmt>
        <c:idx val="170"/>
        <c:spPr>
          <a:solidFill>
            <a:schemeClr val="accent1"/>
          </a:solidFill>
          <a:ln w="19050">
            <a:solidFill>
              <a:schemeClr val="lt1"/>
            </a:solidFill>
          </a:ln>
          <a:effectLst/>
        </c:spPr>
      </c:pivotFmt>
      <c:pivotFmt>
        <c:idx val="171"/>
        <c:spPr>
          <a:solidFill>
            <a:schemeClr val="accent1"/>
          </a:solidFill>
          <a:ln w="19050">
            <a:solidFill>
              <a:schemeClr val="lt1"/>
            </a:solidFill>
          </a:ln>
          <a:effectLst/>
        </c:spPr>
      </c:pivotFmt>
      <c:pivotFmt>
        <c:idx val="172"/>
        <c:spPr>
          <a:solidFill>
            <a:schemeClr val="accent1"/>
          </a:solidFill>
          <a:ln w="19050">
            <a:solidFill>
              <a:schemeClr val="lt1"/>
            </a:solidFill>
          </a:ln>
          <a:effectLst/>
        </c:spPr>
      </c:pivotFmt>
      <c:pivotFmt>
        <c:idx val="173"/>
        <c:spPr>
          <a:solidFill>
            <a:schemeClr val="accent1"/>
          </a:solidFill>
          <a:ln w="19050">
            <a:solidFill>
              <a:schemeClr val="lt1"/>
            </a:solidFill>
          </a:ln>
          <a:effectLst/>
        </c:spPr>
      </c:pivotFmt>
      <c:pivotFmt>
        <c:idx val="174"/>
        <c:spPr>
          <a:solidFill>
            <a:schemeClr val="accent1"/>
          </a:solidFill>
          <a:ln w="19050">
            <a:solidFill>
              <a:schemeClr val="lt1"/>
            </a:solidFill>
          </a:ln>
          <a:effectLst/>
        </c:spPr>
      </c:pivotFmt>
      <c:pivotFmt>
        <c:idx val="175"/>
        <c:spPr>
          <a:solidFill>
            <a:schemeClr val="accent1"/>
          </a:solidFill>
          <a:ln w="19050">
            <a:solidFill>
              <a:schemeClr val="lt1"/>
            </a:solidFill>
          </a:ln>
          <a:effectLst/>
        </c:spPr>
      </c:pivotFmt>
      <c:pivotFmt>
        <c:idx val="176"/>
        <c:spPr>
          <a:solidFill>
            <a:schemeClr val="accent1"/>
          </a:solidFill>
          <a:ln w="19050">
            <a:solidFill>
              <a:schemeClr val="lt1"/>
            </a:solidFill>
          </a:ln>
          <a:effectLst/>
        </c:spPr>
      </c:pivotFmt>
      <c:pivotFmt>
        <c:idx val="177"/>
        <c:spPr>
          <a:solidFill>
            <a:schemeClr val="accent1"/>
          </a:solidFill>
          <a:ln w="19050">
            <a:solidFill>
              <a:schemeClr val="lt1"/>
            </a:solidFill>
          </a:ln>
          <a:effectLst/>
        </c:spPr>
      </c:pivotFmt>
      <c:pivotFmt>
        <c:idx val="178"/>
        <c:spPr>
          <a:solidFill>
            <a:schemeClr val="accent1"/>
          </a:solidFill>
          <a:ln w="19050">
            <a:solidFill>
              <a:schemeClr val="lt1"/>
            </a:solidFill>
          </a:ln>
          <a:effectLst/>
        </c:spPr>
      </c:pivotFmt>
      <c:pivotFmt>
        <c:idx val="179"/>
        <c:spPr>
          <a:solidFill>
            <a:schemeClr val="accent1"/>
          </a:solidFill>
          <a:ln w="19050">
            <a:solidFill>
              <a:schemeClr val="lt1"/>
            </a:solidFill>
          </a:ln>
          <a:effectLst/>
        </c:spPr>
      </c:pivotFmt>
      <c:pivotFmt>
        <c:idx val="180"/>
        <c:spPr>
          <a:solidFill>
            <a:schemeClr val="accent1"/>
          </a:solidFill>
          <a:ln w="19050">
            <a:solidFill>
              <a:schemeClr val="lt1"/>
            </a:solidFill>
          </a:ln>
          <a:effectLst/>
        </c:spPr>
      </c:pivotFmt>
      <c:pivotFmt>
        <c:idx val="181"/>
        <c:spPr>
          <a:solidFill>
            <a:schemeClr val="accent1"/>
          </a:solidFill>
          <a:ln w="19050">
            <a:solidFill>
              <a:schemeClr val="lt1"/>
            </a:solidFill>
          </a:ln>
          <a:effectLst/>
        </c:spPr>
      </c:pivotFmt>
      <c:pivotFmt>
        <c:idx val="182"/>
        <c:spPr>
          <a:solidFill>
            <a:schemeClr val="accent1"/>
          </a:solidFill>
          <a:ln w="19050">
            <a:solidFill>
              <a:schemeClr val="lt1"/>
            </a:solidFill>
          </a:ln>
          <a:effectLst/>
        </c:spPr>
      </c:pivotFmt>
      <c:pivotFmt>
        <c:idx val="183"/>
        <c:spPr>
          <a:solidFill>
            <a:schemeClr val="accent1"/>
          </a:solidFill>
          <a:ln w="19050">
            <a:solidFill>
              <a:schemeClr val="lt1"/>
            </a:solidFill>
          </a:ln>
          <a:effectLst/>
        </c:spPr>
      </c:pivotFmt>
    </c:pivotFmts>
    <c:plotArea>
      <c:layout/>
      <c:pieChart>
        <c:varyColors val="1"/>
        <c:ser>
          <c:idx val="0"/>
          <c:order val="0"/>
          <c:tx>
            <c:strRef>
              <c:f>'Other tables and graphs'!$B$3:$B$4</c:f>
              <c:strCache>
                <c:ptCount val="1"/>
                <c:pt idx="0">
                  <c:v>canceled</c:v>
                </c:pt>
              </c:strCache>
            </c:strRef>
          </c:tx>
          <c:explosion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21-4CC3-8D86-0BAC02FD71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21-4CC3-8D86-0BAC02FD711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21-4CC3-8D86-0BAC02FD711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121-4CC3-8D86-0BAC02FD711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121-4CC3-8D86-0BAC02FD711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121-4CC3-8D86-0BAC02FD711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121-4CC3-8D86-0BAC02FD711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121-4CC3-8D86-0BAC02FD711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121-4CC3-8D86-0BAC02FD711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6121-4CC3-8D86-0BAC02FD711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6121-4CC3-8D86-0BAC02FD711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6121-4CC3-8D86-0BAC02FD7111}"/>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6121-4CC3-8D86-0BAC02FD7111}"/>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6121-4CC3-8D86-0BAC02FD7111}"/>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6121-4CC3-8D86-0BAC02FD7111}"/>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6121-4CC3-8D86-0BAC02FD7111}"/>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6121-4CC3-8D86-0BAC02FD7111}"/>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6121-4CC3-8D86-0BAC02FD7111}"/>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6121-4CC3-8D86-0BAC02FD7111}"/>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6121-4CC3-8D86-0BAC02FD7111}"/>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6121-4CC3-8D86-0BAC02FD7111}"/>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'Other tables and graphs'!$A$5:$A$26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'Other tables and graphs'!$B$5:$B$26</c:f>
              <c:numCache>
                <c:formatCode>0.00%</c:formatCode>
                <c:ptCount val="21"/>
                <c:pt idx="0">
                  <c:v>0</c:v>
                </c:pt>
                <c:pt idx="1">
                  <c:v>3.3133024626021269E-3</c:v>
                </c:pt>
                <c:pt idx="2">
                  <c:v>0</c:v>
                </c:pt>
                <c:pt idx="3">
                  <c:v>3.2144896465798887E-3</c:v>
                </c:pt>
                <c:pt idx="4">
                  <c:v>5.6060907463334356E-4</c:v>
                </c:pt>
                <c:pt idx="5">
                  <c:v>5.018650919024197E-4</c:v>
                </c:pt>
                <c:pt idx="6">
                  <c:v>8.0232224301310059E-4</c:v>
                </c:pt>
                <c:pt idx="7">
                  <c:v>1.71858653703749E-4</c:v>
                </c:pt>
                <c:pt idx="8">
                  <c:v>7.1769308479309772E-4</c:v>
                </c:pt>
                <c:pt idx="9">
                  <c:v>5.5549113810970377E-3</c:v>
                </c:pt>
                <c:pt idx="10">
                  <c:v>1.4183657802235132E-5</c:v>
                </c:pt>
                <c:pt idx="11">
                  <c:v>5.6072727178169558E-4</c:v>
                </c:pt>
                <c:pt idx="12">
                  <c:v>5.2396795864423612E-4</c:v>
                </c:pt>
                <c:pt idx="13">
                  <c:v>0</c:v>
                </c:pt>
                <c:pt idx="14">
                  <c:v>1.191427255387751E-4</c:v>
                </c:pt>
                <c:pt idx="15">
                  <c:v>5.8082078700152863E-4</c:v>
                </c:pt>
                <c:pt idx="16">
                  <c:v>0</c:v>
                </c:pt>
                <c:pt idx="17">
                  <c:v>1.0901322992501218E-3</c:v>
                </c:pt>
                <c:pt idx="18">
                  <c:v>1.07192993840392E-3</c:v>
                </c:pt>
                <c:pt idx="19">
                  <c:v>0</c:v>
                </c:pt>
                <c:pt idx="20">
                  <c:v>4.8539077336512367E-2</c:v>
                </c:pt>
              </c:numCache>
            </c:numRef>
          </c:val>
          <c:extLst>
            <c:ext xmlns:c16="http://schemas.microsoft.com/office/drawing/2014/chart" uri="{C3380CC4-5D6E-409C-BE32-E72D297353CC}">
              <c16:uniqueId val="{0000002A-6121-4CC3-8D86-0BAC02FD7111}"/>
            </c:ext>
          </c:extLst>
        </c:ser>
        <c:ser>
          <c:idx val="1"/>
          <c:order val="1"/>
          <c:tx>
            <c:strRef>
              <c:f>'Other tables and graphs'!$C$3:$C$4</c:f>
              <c:strCache>
                <c:ptCount val="1"/>
                <c:pt idx="0">
                  <c:v>failed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C-6121-4CC3-8D86-0BAC02FD71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E-6121-4CC3-8D86-0BAC02FD711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30-6121-4CC3-8D86-0BAC02FD711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32-6121-4CC3-8D86-0BAC02FD711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34-6121-4CC3-8D86-0BAC02FD711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36-6121-4CC3-8D86-0BAC02FD711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8-6121-4CC3-8D86-0BAC02FD711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A-6121-4CC3-8D86-0BAC02FD711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C-6121-4CC3-8D86-0BAC02FD711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E-6121-4CC3-8D86-0BAC02FD711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40-6121-4CC3-8D86-0BAC02FD711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42-6121-4CC3-8D86-0BAC02FD7111}"/>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44-6121-4CC3-8D86-0BAC02FD7111}"/>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46-6121-4CC3-8D86-0BAC02FD7111}"/>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48-6121-4CC3-8D86-0BAC02FD7111}"/>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4A-6121-4CC3-8D86-0BAC02FD7111}"/>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4C-6121-4CC3-8D86-0BAC02FD7111}"/>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4E-6121-4CC3-8D86-0BAC02FD7111}"/>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50-6121-4CC3-8D86-0BAC02FD7111}"/>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52-6121-4CC3-8D86-0BAC02FD7111}"/>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54-6121-4CC3-8D86-0BAC02FD71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'Other tables and graphs'!$A$5:$A$26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'Other tables and graphs'!$C$5:$C$26</c:f>
              <c:numCache>
                <c:formatCode>0.00%</c:formatCode>
                <c:ptCount val="21"/>
                <c:pt idx="0">
                  <c:v>4.5163130385283696E-4</c:v>
                </c:pt>
                <c:pt idx="1">
                  <c:v>9.9713478292680017E-3</c:v>
                </c:pt>
                <c:pt idx="2">
                  <c:v>2.88401041978781E-4</c:v>
                </c:pt>
                <c:pt idx="3">
                  <c:v>1.407196149704253E-2</c:v>
                </c:pt>
                <c:pt idx="4">
                  <c:v>4.6534217306166427E-4</c:v>
                </c:pt>
                <c:pt idx="5">
                  <c:v>4.8238620185401685E-3</c:v>
                </c:pt>
                <c:pt idx="6">
                  <c:v>1.5646938498832389E-3</c:v>
                </c:pt>
                <c:pt idx="7">
                  <c:v>1.4951939266522867E-3</c:v>
                </c:pt>
                <c:pt idx="8">
                  <c:v>2.1670265178848243E-3</c:v>
                </c:pt>
                <c:pt idx="9">
                  <c:v>5.4945126382891861E-2</c:v>
                </c:pt>
                <c:pt idx="10">
                  <c:v>4.6085068142428983E-4</c:v>
                </c:pt>
                <c:pt idx="11">
                  <c:v>1.6156368208229334E-3</c:v>
                </c:pt>
                <c:pt idx="12">
                  <c:v>3.4950896767674405E-3</c:v>
                </c:pt>
                <c:pt idx="13">
                  <c:v>0</c:v>
                </c:pt>
                <c:pt idx="14">
                  <c:v>2.3247015137863379E-3</c:v>
                </c:pt>
                <c:pt idx="15">
                  <c:v>2.5847352401606486E-3</c:v>
                </c:pt>
                <c:pt idx="16">
                  <c:v>1.0675566439148976E-3</c:v>
                </c:pt>
                <c:pt idx="17">
                  <c:v>1.2842120168440393E-3</c:v>
                </c:pt>
                <c:pt idx="18">
                  <c:v>1.8478942173345337E-3</c:v>
                </c:pt>
                <c:pt idx="19">
                  <c:v>0</c:v>
                </c:pt>
                <c:pt idx="20">
                  <c:v>0.26381816267024377</c:v>
                </c:pt>
              </c:numCache>
            </c:numRef>
          </c:val>
          <c:extLst>
            <c:ext xmlns:c16="http://schemas.microsoft.com/office/drawing/2014/chart" uri="{C3380CC4-5D6E-409C-BE32-E72D297353CC}">
              <c16:uniqueId val="{00000055-6121-4CC3-8D86-0BAC02FD7111}"/>
            </c:ext>
          </c:extLst>
        </c:ser>
        <c:ser>
          <c:idx val="2"/>
          <c:order val="2"/>
          <c:tx>
            <c:strRef>
              <c:f>'Other tables and graphs'!$D$3:$D$4</c:f>
              <c:strCache>
                <c:ptCount val="1"/>
                <c:pt idx="0">
                  <c:v>live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57-6121-4CC3-8D86-0BAC02FD71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59-6121-4CC3-8D86-0BAC02FD711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5B-6121-4CC3-8D86-0BAC02FD711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5D-6121-4CC3-8D86-0BAC02FD711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5F-6121-4CC3-8D86-0BAC02FD711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61-6121-4CC3-8D86-0BAC02FD711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63-6121-4CC3-8D86-0BAC02FD711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65-6121-4CC3-8D86-0BAC02FD711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67-6121-4CC3-8D86-0BAC02FD711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69-6121-4CC3-8D86-0BAC02FD711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6B-6121-4CC3-8D86-0BAC02FD711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6D-6121-4CC3-8D86-0BAC02FD7111}"/>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6F-6121-4CC3-8D86-0BAC02FD7111}"/>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71-6121-4CC3-8D86-0BAC02FD7111}"/>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73-6121-4CC3-8D86-0BAC02FD7111}"/>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75-6121-4CC3-8D86-0BAC02FD7111}"/>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77-6121-4CC3-8D86-0BAC02FD7111}"/>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79-6121-4CC3-8D86-0BAC02FD7111}"/>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7B-6121-4CC3-8D86-0BAC02FD7111}"/>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7D-6121-4CC3-8D86-0BAC02FD7111}"/>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7F-6121-4CC3-8D86-0BAC02FD71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'Other tables and graphs'!$A$5:$A$26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'Other tables and graphs'!$D$5:$D$26</c:f>
              <c:numCache>
                <c:formatCode>0.00%</c:formatCode>
                <c:ptCount val="21"/>
                <c:pt idx="0">
                  <c:v>2.7433558132489784E-4</c:v>
                </c:pt>
                <c:pt idx="1">
                  <c:v>0</c:v>
                </c:pt>
                <c:pt idx="2">
                  <c:v>0</c:v>
                </c:pt>
                <c:pt idx="3">
                  <c:v>1.992803921214036E-4</c:v>
                </c:pt>
                <c:pt idx="4">
                  <c:v>0</c:v>
                </c:pt>
                <c:pt idx="5">
                  <c:v>0</c:v>
                </c:pt>
                <c:pt idx="6">
                  <c:v>0</c:v>
                </c:pt>
                <c:pt idx="7">
                  <c:v>0</c:v>
                </c:pt>
                <c:pt idx="8">
                  <c:v>5.7006484650150031E-4</c:v>
                </c:pt>
                <c:pt idx="9">
                  <c:v>2.6999774598038093E-3</c:v>
                </c:pt>
                <c:pt idx="10">
                  <c:v>0</c:v>
                </c:pt>
                <c:pt idx="11">
                  <c:v>3.1925049769864242E-4</c:v>
                </c:pt>
                <c:pt idx="12">
                  <c:v>0</c:v>
                </c:pt>
                <c:pt idx="13">
                  <c:v>0</c:v>
                </c:pt>
                <c:pt idx="14">
                  <c:v>1.0623559693874113E-3</c:v>
                </c:pt>
                <c:pt idx="15">
                  <c:v>3.712572429735046E-4</c:v>
                </c:pt>
                <c:pt idx="16">
                  <c:v>0</c:v>
                </c:pt>
                <c:pt idx="17">
                  <c:v>0</c:v>
                </c:pt>
                <c:pt idx="18">
                  <c:v>0</c:v>
                </c:pt>
                <c:pt idx="19">
                  <c:v>0</c:v>
                </c:pt>
                <c:pt idx="20">
                  <c:v>8.7898491343418143E-3</c:v>
                </c:pt>
              </c:numCache>
            </c:numRef>
          </c:val>
          <c:extLst>
            <c:ext xmlns:c16="http://schemas.microsoft.com/office/drawing/2014/chart" uri="{C3380CC4-5D6E-409C-BE32-E72D297353CC}">
              <c16:uniqueId val="{00000080-6121-4CC3-8D86-0BAC02FD7111}"/>
            </c:ext>
          </c:extLst>
        </c:ser>
        <c:ser>
          <c:idx val="3"/>
          <c:order val="3"/>
          <c:tx>
            <c:strRef>
              <c:f>'Other tables and graphs'!$E$3:$E$4</c:f>
              <c:strCache>
                <c:ptCount val="1"/>
                <c:pt idx="0">
                  <c:v>successful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82-6121-4CC3-8D86-0BAC02FD71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84-6121-4CC3-8D86-0BAC02FD711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86-6121-4CC3-8D86-0BAC02FD711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88-6121-4CC3-8D86-0BAC02FD711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8A-6121-4CC3-8D86-0BAC02FD711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8C-6121-4CC3-8D86-0BAC02FD711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8E-6121-4CC3-8D86-0BAC02FD711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90-6121-4CC3-8D86-0BAC02FD711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92-6121-4CC3-8D86-0BAC02FD711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94-6121-4CC3-8D86-0BAC02FD711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96-6121-4CC3-8D86-0BAC02FD711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98-6121-4CC3-8D86-0BAC02FD7111}"/>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9A-6121-4CC3-8D86-0BAC02FD7111}"/>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9C-6121-4CC3-8D86-0BAC02FD7111}"/>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9E-6121-4CC3-8D86-0BAC02FD7111}"/>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A0-6121-4CC3-8D86-0BAC02FD7111}"/>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A2-6121-4CC3-8D86-0BAC02FD7111}"/>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A4-6121-4CC3-8D86-0BAC02FD7111}"/>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A6-6121-4CC3-8D86-0BAC02FD7111}"/>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A8-6121-4CC3-8D86-0BAC02FD7111}"/>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AA-6121-4CC3-8D86-0BAC02FD71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'Other tables and graphs'!$A$5:$A$26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'Other tables and graphs'!$E$5:$E$26</c:f>
              <c:numCache>
                <c:formatCode>0.00%</c:formatCode>
                <c:ptCount val="21"/>
                <c:pt idx="0">
                  <c:v>5.7656568966085806E-4</c:v>
                </c:pt>
                <c:pt idx="1">
                  <c:v>4.4016618046269695E-3</c:v>
                </c:pt>
                <c:pt idx="2">
                  <c:v>1.7765031397299502E-4</c:v>
                </c:pt>
                <c:pt idx="3">
                  <c:v>1.7183265033111159E-2</c:v>
                </c:pt>
                <c:pt idx="4">
                  <c:v>4.3212877437476369E-4</c:v>
                </c:pt>
                <c:pt idx="5">
                  <c:v>5.4116564372944627E-3</c:v>
                </c:pt>
                <c:pt idx="6">
                  <c:v>1.0443900028379136E-3</c:v>
                </c:pt>
                <c:pt idx="7">
                  <c:v>2.1002451290659673E-3</c:v>
                </c:pt>
                <c:pt idx="8">
                  <c:v>1.7138586511034118E-3</c:v>
                </c:pt>
                <c:pt idx="9">
                  <c:v>0.11749836681090264</c:v>
                </c:pt>
                <c:pt idx="10">
                  <c:v>0</c:v>
                </c:pt>
                <c:pt idx="11">
                  <c:v>2.5730337224738049E-3</c:v>
                </c:pt>
                <c:pt idx="12">
                  <c:v>1.7116129052847245E-3</c:v>
                </c:pt>
                <c:pt idx="13">
                  <c:v>6.0268725944664112E-4</c:v>
                </c:pt>
                <c:pt idx="14">
                  <c:v>0</c:v>
                </c:pt>
                <c:pt idx="15">
                  <c:v>3.2835167812174328E-4</c:v>
                </c:pt>
                <c:pt idx="16">
                  <c:v>2.4218595697316487E-4</c:v>
                </c:pt>
                <c:pt idx="17">
                  <c:v>7.4523302035910425E-4</c:v>
                </c:pt>
                <c:pt idx="18">
                  <c:v>1.5185969620259748E-3</c:v>
                </c:pt>
                <c:pt idx="19">
                  <c:v>3.9714241846258366E-4</c:v>
                </c:pt>
                <c:pt idx="20">
                  <c:v>0.39097453667013338</c:v>
                </c:pt>
              </c:numCache>
            </c:numRef>
          </c:val>
          <c:extLst>
            <c:ext xmlns:c16="http://schemas.microsoft.com/office/drawing/2014/chart" uri="{C3380CC4-5D6E-409C-BE32-E72D297353CC}">
              <c16:uniqueId val="{000000AB-6121-4CC3-8D86-0BAC02FD7111}"/>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[StarterBook.xlsx]Other tables and graphs!PivotTable7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most popular category by country</a:t>
            </a:r>
          </a:p>
        </c:rich>
      </c:tx>
      <c:layout>
        <c:manualLayout>
          <c:xMode val="edge"/>
          <c:yMode val="edge"/>
          <c:x val="0.26223467258900329"/>
          <c:y val="2.93644184578545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'Other tables and graphs'!$C$30</c:f>
              <c:strCache>
                <c:ptCount val="1"/>
                <c:pt idx="0">
                  <c:v>Total</c:v>
                </c:pt>
              </c:strCache>
            </c:strRef>
          </c:tx>
          <c:spPr>
            <a:solidFill>
              <a:schemeClr val="accent1"/>
            </a:solidFill>
            <a:ln>
              <a:noFill/>
            </a:ln>
            <a:effectLst/>
          </c:spPr>
          <c:invertIfNegative val="0"/>
          <c:cat>
            <c:multiLvlStrRef>
              <c:f>'Other tables and graphs'!$A$31:$B$73</c:f>
              <c:multiLvlStrCache>
                <c:ptCount val="21"/>
                <c:lvl>
                  <c:pt idx="0">
                    <c:v>theater</c:v>
                  </c:pt>
                  <c:pt idx="1">
                    <c:v>theater</c:v>
                  </c:pt>
                  <c:pt idx="2">
                    <c:v>theater</c:v>
                  </c:pt>
                  <c:pt idx="3">
                    <c:v>theater</c:v>
                  </c:pt>
                  <c:pt idx="4">
                    <c:v>theater</c:v>
                  </c:pt>
                  <c:pt idx="5">
                    <c:v>technology</c:v>
                  </c:pt>
                  <c:pt idx="6">
                    <c:v>theater</c:v>
                  </c:pt>
                  <c:pt idx="7">
                    <c:v>theater</c:v>
                  </c:pt>
                  <c:pt idx="8">
                    <c:v>theater</c:v>
                  </c:pt>
                  <c:pt idx="9">
                    <c:v>technology</c:v>
                  </c:pt>
                  <c:pt idx="10">
                    <c:v>theater</c:v>
                  </c:pt>
                  <c:pt idx="11">
                    <c:v>publishing</c:v>
                  </c:pt>
                  <c:pt idx="12">
                    <c:v>theater</c:v>
                  </c:pt>
                  <c:pt idx="13">
                    <c:v>technology</c:v>
                  </c:pt>
                  <c:pt idx="14">
                    <c:v>technology</c:v>
                  </c:pt>
                  <c:pt idx="15">
                    <c:v>theater</c:v>
                  </c:pt>
                  <c:pt idx="16">
                    <c:v>theater</c:v>
                  </c:pt>
                  <c:pt idx="17">
                    <c:v>theater</c:v>
                  </c:pt>
                  <c:pt idx="18">
                    <c:v>technology</c:v>
                  </c:pt>
                  <c:pt idx="19">
                    <c:v>food</c:v>
                  </c:pt>
                  <c:pt idx="20">
                    <c:v>photography</c:v>
                  </c:pt>
                </c:lvl>
                <c:lvl>
                  <c:pt idx="0">
                    <c:v>US</c:v>
                  </c:pt>
                  <c:pt idx="1">
                    <c:v>GB</c:v>
                  </c:pt>
                  <c:pt idx="2">
                    <c:v>CA</c:v>
                  </c:pt>
                  <c:pt idx="3">
                    <c:v>AU</c:v>
                  </c:pt>
                  <c:pt idx="4">
                    <c:v>IE</c:v>
                  </c:pt>
                  <c:pt idx="5">
                    <c:v>DE</c:v>
                  </c:pt>
                  <c:pt idx="6">
                    <c:v>MX</c:v>
                  </c:pt>
                  <c:pt idx="7">
                    <c:v>FR</c:v>
                  </c:pt>
                  <c:pt idx="8">
                    <c:v>NZ</c:v>
                  </c:pt>
                  <c:pt idx="9">
                    <c:v>NL</c:v>
                  </c:pt>
                  <c:pt idx="10">
                    <c:v>DK</c:v>
                  </c:pt>
                  <c:pt idx="11">
                    <c:v>IT</c:v>
                  </c:pt>
                  <c:pt idx="12">
                    <c:v>SE</c:v>
                  </c:pt>
                  <c:pt idx="13">
                    <c:v>ES</c:v>
                  </c:pt>
                  <c:pt idx="14">
                    <c:v>CH</c:v>
                  </c:pt>
                  <c:pt idx="15">
                    <c:v>NO</c:v>
                  </c:pt>
                  <c:pt idx="16">
                    <c:v>SG</c:v>
                  </c:pt>
                  <c:pt idx="17">
                    <c:v>LU</c:v>
                  </c:pt>
                  <c:pt idx="18">
                    <c:v>AT</c:v>
                  </c:pt>
                  <c:pt idx="19">
                    <c:v>BE</c:v>
                  </c:pt>
                  <c:pt idx="20">
                    <c:v>HK</c:v>
                  </c:pt>
                </c:lvl>
              </c:multiLvlStrCache>
            </c:multiLvlStrRef>
          </c:cat>
          <c:val>
            <c:numRef>
              <c:f>'Other tables and graphs'!$C$31:$C$73</c:f>
              <c:numCache>
                <c:formatCode>General</c:formatCode>
                <c:ptCount val="21"/>
                <c:pt idx="0">
                  <c:v>3070198</c:v>
                </c:pt>
                <c:pt idx="1">
                  <c:v>1202839</c:v>
                </c:pt>
                <c:pt idx="2">
                  <c:v>147837</c:v>
                </c:pt>
                <c:pt idx="3">
                  <c:v>74379</c:v>
                </c:pt>
                <c:pt idx="4">
                  <c:v>29973</c:v>
                </c:pt>
                <c:pt idx="5">
                  <c:v>25069</c:v>
                </c:pt>
                <c:pt idx="6">
                  <c:v>24116</c:v>
                </c:pt>
                <c:pt idx="7">
                  <c:v>20023</c:v>
                </c:pt>
                <c:pt idx="8">
                  <c:v>17116</c:v>
                </c:pt>
                <c:pt idx="9">
                  <c:v>15366</c:v>
                </c:pt>
                <c:pt idx="10">
                  <c:v>14646</c:v>
                </c:pt>
                <c:pt idx="11">
                  <c:v>14219</c:v>
                </c:pt>
                <c:pt idx="12">
                  <c:v>13260</c:v>
                </c:pt>
                <c:pt idx="13">
                  <c:v>11770</c:v>
                </c:pt>
                <c:pt idx="14">
                  <c:v>4743</c:v>
                </c:pt>
                <c:pt idx="15">
                  <c:v>3731</c:v>
                </c:pt>
                <c:pt idx="16">
                  <c:v>3360</c:v>
                </c:pt>
                <c:pt idx="17">
                  <c:v>3350</c:v>
                </c:pt>
                <c:pt idx="18">
                  <c:v>2988</c:v>
                </c:pt>
                <c:pt idx="19">
                  <c:v>2440</c:v>
                </c:pt>
                <c:pt idx="20">
                  <c:v>1982</c:v>
                </c:pt>
              </c:numCache>
            </c:numRef>
          </c:val>
          <c:extLst>
            <c:ext xmlns:c16="http://schemas.microsoft.com/office/drawing/2014/chart" uri="{C3380CC4-5D6E-409C-BE32-E72D297353CC}">
              <c16:uniqueId val="{00000000-B9EB-47E3-9AC3-97A0243CB1A6}"/>
            </c:ext>
          </c:extLst>
        </c:ser>
        <c:dLbls>
          <c:showLegendKey val="0"/>
          <c:showVal val="0"/>
          <c:showCatName val="0"/>
          <c:showSerName val="0"/>
          <c:showPercent val="0"/>
          <c:showBubbleSize val="0"/>
        </c:dLbls>
        <c:gapWidth val="219"/>
        <c:overlap val="-27"/>
        <c:axId val="2062780879"/>
        <c:axId val="2062782959"/>
      </c:barChart>
      <c:catAx>
        <c:axId val="2062780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82959"/>
        <c:crosses val="autoZero"/>
        <c:auto val="1"/>
        <c:lblAlgn val="ctr"/>
        <c:lblOffset val="100"/>
        <c:noMultiLvlLbl val="0"/>
      </c:catAx>
      <c:valAx>
        <c:axId val="206278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80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[StarterBook.xlsx]Other tables and graphs!PivotTable8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backers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s>
    <c:plotArea>
      <c:layout/>
      <c:barChart>
        <c:barDir val="col"/>
        <c:grouping val="clustered"/>
        <c:varyColors val="0"/>
        <c:ser>
          <c:idx val="0"/>
          <c:order val="0"/>
          <c:tx>
            <c:strRef>
              <c:f>'Other tables and graphs'!$B$58</c:f>
              <c:strCache>
                <c:ptCount val="1"/>
                <c:pt idx="0">
                  <c:v>Total</c:v>
                </c:pt>
              </c:strCache>
            </c:strRef>
          </c:tx>
          <c:spPr>
            <a:solidFill>
              <a:schemeClr val="accent2"/>
            </a:solidFill>
            <a:ln>
              <a:noFill/>
            </a:ln>
            <a:effectLst/>
          </c:spPr>
          <c:invertIfNegative val="0"/>
          <c:cat>
            <c:strRef>
              <c:f>'Other tables and graphs'!$A$59:$A$68</c:f>
              <c:strCache>
                <c:ptCount val="9"/>
                <c:pt idx="0">
                  <c:v>technology</c:v>
                </c:pt>
                <c:pt idx="1">
                  <c:v>theater</c:v>
                </c:pt>
                <c:pt idx="2">
                  <c:v>film &amp; video</c:v>
                </c:pt>
                <c:pt idx="3">
                  <c:v>games</c:v>
                </c:pt>
                <c:pt idx="4">
                  <c:v>music</c:v>
                </c:pt>
                <c:pt idx="5">
                  <c:v>publishing</c:v>
                </c:pt>
                <c:pt idx="6">
                  <c:v>photography</c:v>
                </c:pt>
                <c:pt idx="7">
                  <c:v>food</c:v>
                </c:pt>
                <c:pt idx="8">
                  <c:v>journalism</c:v>
                </c:pt>
              </c:strCache>
            </c:strRef>
          </c:cat>
          <c:val>
            <c:numRef>
              <c:f>'Other tables and graphs'!$B$59:$B$68</c:f>
              <c:numCache>
                <c:formatCode>General</c:formatCode>
                <c:ptCount val="9"/>
                <c:pt idx="0">
                  <c:v>174797</c:v>
                </c:pt>
                <c:pt idx="1">
                  <c:v>64196</c:v>
                </c:pt>
                <c:pt idx="2">
                  <c:v>58346</c:v>
                </c:pt>
                <c:pt idx="3">
                  <c:v>48822</c:v>
                </c:pt>
                <c:pt idx="4">
                  <c:v>47297</c:v>
                </c:pt>
                <c:pt idx="5">
                  <c:v>34672</c:v>
                </c:pt>
                <c:pt idx="6">
                  <c:v>21803</c:v>
                </c:pt>
                <c:pt idx="7">
                  <c:v>12998</c:v>
                </c:pt>
                <c:pt idx="8">
                  <c:v>315</c:v>
                </c:pt>
              </c:numCache>
            </c:numRef>
          </c:val>
          <c:extLst>
            <c:ext xmlns:c16="http://schemas.microsoft.com/office/drawing/2014/chart" uri="{C3380CC4-5D6E-409C-BE32-E72D297353CC}">
              <c16:uniqueId val="{00000000-9FE5-497B-8EC3-07D4E73FB442}"/>
            </c:ext>
          </c:extLst>
        </c:ser>
        <c:dLbls>
          <c:showLegendKey val="0"/>
          <c:showVal val="0"/>
          <c:showCatName val="0"/>
          <c:showSerName val="0"/>
          <c:showPercent val="0"/>
          <c:showBubbleSize val="0"/>
        </c:dLbls>
        <c:gapWidth val="219"/>
        <c:overlap val="-27"/>
        <c:axId val="323504527"/>
        <c:axId val="323504943"/>
      </c:barChart>
      <c:catAx>
        <c:axId val="323504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4943"/>
        <c:crosses val="autoZero"/>
        <c:auto val="1"/>
        <c:lblAlgn val="ctr"/>
        <c:lblOffset val="100"/>
        <c:noMultiLvlLbl val="0"/>
      </c:catAx>
      <c:valAx>
        <c:axId val="32350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4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A5162-E577-4AAF-8EAE-4F25D356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10</cp:revision>
  <dcterms:created xsi:type="dcterms:W3CDTF">2019-02-14T01:05:00Z</dcterms:created>
  <dcterms:modified xsi:type="dcterms:W3CDTF">2019-02-14T23:12:00Z</dcterms:modified>
</cp:coreProperties>
</file>