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66FB6" w14:textId="0F67ECF9" w:rsidR="00B87B4E" w:rsidRPr="00B87B4E" w:rsidRDefault="00B87B4E" w:rsidP="00B87B4E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87B4E">
        <w:rPr>
          <w:rFonts w:ascii="Garamond" w:eastAsia="Times New Roman" w:hAnsi="Garamond" w:cs="Segoe UI"/>
          <w:color w:val="0F4761"/>
          <w:kern w:val="0"/>
          <w:sz w:val="28"/>
          <w:szCs w:val="28"/>
          <w:lang w:eastAsia="en-GB"/>
          <w14:ligatures w14:val="none"/>
        </w:rPr>
        <w:t> </w:t>
      </w:r>
      <w:r w:rsidRPr="00B87B4E">
        <w:rPr>
          <w:rFonts w:ascii="Times New Roman" w:eastAsia="Times New Roman" w:hAnsi="Times New Roman" w:cs="Times New Roman"/>
          <w:color w:val="0F4761"/>
          <w:kern w:val="0"/>
          <w:sz w:val="40"/>
          <w:szCs w:val="40"/>
          <w:lang w:val="en-GB" w:eastAsia="en-GB"/>
          <w14:ligatures w14:val="none"/>
        </w:rPr>
        <w:t>Parameter</w:t>
      </w:r>
      <w:r>
        <w:rPr>
          <w:rFonts w:ascii="Times New Roman" w:eastAsia="Times New Roman" w:hAnsi="Times New Roman" w:cs="Times New Roman"/>
          <w:color w:val="0F4761"/>
          <w:kern w:val="0"/>
          <w:sz w:val="40"/>
          <w:szCs w:val="40"/>
          <w:lang w:val="en-GB" w:eastAsia="en-GB"/>
          <w14:ligatures w14:val="none"/>
        </w:rPr>
        <w:t>s</w:t>
      </w:r>
      <w:r w:rsidRPr="00B87B4E">
        <w:rPr>
          <w:rFonts w:ascii="Times New Roman" w:eastAsia="Times New Roman" w:hAnsi="Times New Roman" w:cs="Times New Roman"/>
          <w:color w:val="0F4761"/>
          <w:kern w:val="0"/>
          <w:sz w:val="40"/>
          <w:szCs w:val="40"/>
          <w:lang w:val="en-GB" w:eastAsia="en-GB"/>
          <w14:ligatures w14:val="none"/>
        </w:rPr>
        <w:t xml:space="preserve"> table: </w:t>
      </w:r>
      <w:r w:rsidRPr="00B87B4E">
        <w:rPr>
          <w:rFonts w:ascii="Times New Roman" w:eastAsia="Times New Roman" w:hAnsi="Times New Roman" w:cs="Times New Roman"/>
          <w:color w:val="0F4761"/>
          <w:kern w:val="0"/>
          <w:sz w:val="40"/>
          <w:szCs w:val="40"/>
          <w:lang w:eastAsia="en-GB"/>
          <w14:ligatures w14:val="none"/>
        </w:rPr>
        <w:t> </w:t>
      </w:r>
    </w:p>
    <w:tbl>
      <w:tblPr>
        <w:tblW w:w="9498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1173"/>
        <w:gridCol w:w="7123"/>
      </w:tblGrid>
      <w:tr w:rsidR="00B87B4E" w:rsidRPr="00B87B4E" w14:paraId="331F6BCA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89101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s(</w:t>
            </w:r>
            <w:proofErr w:type="gramEnd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0)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F9ED2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~26 % 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C8E65" w14:textId="77777777" w:rsidR="00B87B4E" w:rsidRPr="00B87B4E" w:rsidRDefault="00B87B4E" w:rsidP="00B87B4E">
            <w:pPr>
              <w:pStyle w:val="ListParagraph"/>
              <w:numPr>
                <w:ilvl w:val="0"/>
                <w:numId w:val="35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RVO reports that 32% of registered NTA labels meet the insulation standard in 2025 (RVO, 2025).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09F83B2" w14:textId="77777777" w:rsidR="00B87B4E" w:rsidRPr="00B87B4E" w:rsidRDefault="00B87B4E" w:rsidP="00B87B4E">
            <w:pPr>
              <w:pStyle w:val="ListParagraph"/>
              <w:numPr>
                <w:ilvl w:val="0"/>
                <w:numId w:val="35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Separate CPB/TNO study agrees roughly: about 5.4M of 8M homes still need work, so around a third don’t (Mot et al., 2024).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28C16B0" w14:textId="77777777" w:rsidR="00B87B4E" w:rsidRPr="00B87B4E" w:rsidRDefault="00B87B4E" w:rsidP="00B87B4E">
            <w:pPr>
              <w:pStyle w:val="ListParagraph"/>
              <w:numPr>
                <w:ilvl w:val="0"/>
                <w:numId w:val="35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No source measures compliance in 2020, so we back-cast the figure using energy labels as a proxy: the share of homes with label C or better rose from 68% in 2020 (RVO, 2021, p. 25) to 74% in 2025 (RVO, 2025, p. 19), a gain of 6 percentage points. 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34F1B4E" w14:textId="77777777" w:rsidR="00B87B4E" w:rsidRPr="00B87B4E" w:rsidRDefault="00B87B4E" w:rsidP="00B87B4E">
            <w:pPr>
              <w:pStyle w:val="ListParagraph"/>
              <w:numPr>
                <w:ilvl w:val="0"/>
                <w:numId w:val="35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32% − 6 points = 26%, which is about 2.1M of the roughly 8.0M homes in 2020.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2CD7501C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ESTIMATE!!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B2914AB" w14:textId="582144DB" w:rsidR="00B87B4E" w:rsidRPr="00B87B4E" w:rsidRDefault="00B87B4E" w:rsidP="00B87B4E">
            <w:pPr>
              <w:pStyle w:val="ListParagraph"/>
              <w:numPr>
                <w:ilvl w:val="0"/>
                <w:numId w:val="36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The 6-point gain is borrowed from labels, not measured for the standard. So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,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 this is an assumption.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20ABD6F" w14:textId="77777777" w:rsidR="00B87B4E" w:rsidRPr="00B87B4E" w:rsidRDefault="00B87B4E" w:rsidP="00B87B4E">
            <w:pPr>
              <w:pStyle w:val="ListParagraph"/>
              <w:numPr>
                <w:ilvl w:val="0"/>
                <w:numId w:val="36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Labels changed method in 2021, so the 68% and 74% aren’t perfectly comparable (RVO, 2024).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11238F3" w14:textId="77777777" w:rsidR="00B87B4E" w:rsidRPr="00B87B4E" w:rsidRDefault="00B87B4E" w:rsidP="00B87B4E">
            <w:pPr>
              <w:pStyle w:val="ListParagraph"/>
              <w:numPr>
                <w:ilvl w:val="0"/>
                <w:numId w:val="36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RVO states its 32% isn’t representative of the whole housing stock (RVO, 2025).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77D81849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6EFFC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8675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~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3.2%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FE196" w14:textId="77777777" w:rsidR="00B87B4E" w:rsidRPr="00B87B4E" w:rsidRDefault="00B87B4E" w:rsidP="00B87B4E">
            <w:pPr>
              <w:pStyle w:val="ListParagraph"/>
              <w:numPr>
                <w:ilvl w:val="0"/>
                <w:numId w:val="34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RVO estimates that between 2022 and 2026 around 200k houses per year have been brought up to insulation standards (RVO, 2025)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3AE2257" w14:textId="77777777" w:rsidR="00B87B4E" w:rsidRPr="00B87B4E" w:rsidRDefault="00B87B4E" w:rsidP="00B87B4E">
            <w:pPr>
              <w:pStyle w:val="ListParagraph"/>
              <w:numPr>
                <w:ilvl w:val="0"/>
                <w:numId w:val="34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According to CBS (2026), the Netherlands had approximately 8.345 million homes at the beginning of 2026, with approximately 69,200 newly built homes completed during 2025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C26CECA" w14:textId="34221D33" w:rsidR="00B87B4E" w:rsidRPr="00B87B4E" w:rsidRDefault="00B87B4E" w:rsidP="00B87B4E">
            <w:pPr>
              <w:pStyle w:val="ListParagraph"/>
              <w:numPr>
                <w:ilvl w:val="0"/>
                <w:numId w:val="34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So, accounting for both the conversion of existing houses and assuming that all new buildings are up to the insulation standards, we get a growth rate of 3.2% annually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 </w:t>
            </w:r>
          </w:p>
        </w:tc>
      </w:tr>
      <w:tr w:rsidR="00B87B4E" w:rsidRPr="00B87B4E" w14:paraId="7ABBAD5F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8A0EE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2A068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~32%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0765F" w14:textId="77777777" w:rsidR="00B87B4E" w:rsidRPr="00B87B4E" w:rsidRDefault="00B87B4E" w:rsidP="00B87B4E">
            <w:pPr>
              <w:pStyle w:val="ListParagraph"/>
              <w:numPr>
                <w:ilvl w:val="0"/>
                <w:numId w:val="33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CPB &amp; TNO (2024) models going from pre-1992 gas-heated homes to the standard. The reduction is 32% of gas use, about 400 m³ per home (gas savings of about 32% of original gas use).  Sensitivity test varies it by ±25%, which gives a range of 24–40%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0689E405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Measured real-world results are lower (!!!):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2FD4E8F" w14:textId="77777777" w:rsidR="00B87B4E" w:rsidRPr="00B87B4E" w:rsidRDefault="00B87B4E" w:rsidP="00B87B4E">
            <w:pPr>
              <w:pStyle w:val="ListParagraph"/>
              <w:numPr>
                <w:ilvl w:val="0"/>
                <w:numId w:val="32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The paper mentions that other real-world results find about 20% lower gas use after insulation.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3E8361EF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7053C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K - baseline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7BAD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70%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5947B" w14:textId="77777777" w:rsidR="00B87B4E" w:rsidRPr="00B87B4E" w:rsidRDefault="00B87B4E" w:rsidP="00B87B4E">
            <w:pPr>
              <w:pStyle w:val="ListParagraph"/>
              <w:numPr>
                <w:ilvl w:val="0"/>
                <w:numId w:val="31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K allows the function to reach the goal of 2.5mln houses by 2030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27E1D75" w14:textId="77777777" w:rsidR="00B87B4E" w:rsidRPr="00B87B4E" w:rsidRDefault="00B87B4E" w:rsidP="00B87B4E">
            <w:pPr>
              <w:pStyle w:val="ListParagraph"/>
              <w:numPr>
                <w:ilvl w:val="0"/>
                <w:numId w:val="31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value assumes that the calculation for the stock of well-insulated houses in 2026 was correct (32%)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A31AB3E" w14:textId="38D5EB87" w:rsidR="00B87B4E" w:rsidRPr="00B87B4E" w:rsidRDefault="00B87B4E" w:rsidP="00B87B4E">
            <w:pPr>
              <w:pStyle w:val="ListParagraph"/>
              <w:numPr>
                <w:ilvl w:val="0"/>
                <w:numId w:val="31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The well-insulated stock reaches around 46% by 2050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31C36B59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E3B1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K – pessimistic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BDD49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50%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50725" w14:textId="77777777" w:rsidR="00B87B4E" w:rsidRPr="00B87B4E" w:rsidRDefault="00B87B4E" w:rsidP="00B87B4E">
            <w:pPr>
              <w:pStyle w:val="ListParagraph"/>
              <w:numPr>
                <w:ilvl w:val="0"/>
                <w:numId w:val="30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K does not allow the function to reach the goal of 2.5mln houses by 2030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5C0FF72C" w14:textId="77777777" w:rsidR="00B87B4E" w:rsidRPr="00B87B4E" w:rsidRDefault="00B87B4E" w:rsidP="00B87B4E">
            <w:pPr>
              <w:pStyle w:val="ListParagraph"/>
              <w:numPr>
                <w:ilvl w:val="0"/>
                <w:numId w:val="30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value assumes that the calculation for the stock of well-insulated houses in 2026 was overestimated (around 29% instead of 32%)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6B8A3FEE" w14:textId="77777777" w:rsidR="00B87B4E" w:rsidRPr="00B87B4E" w:rsidRDefault="00B87B4E" w:rsidP="00B87B4E">
            <w:pPr>
              <w:pStyle w:val="ListParagraph"/>
              <w:numPr>
                <w:ilvl w:val="0"/>
                <w:numId w:val="30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The well-insulated stock reaches around 40% by 2050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1510F250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FFBD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K – optimistic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4B74D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90%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8BCF1" w14:textId="77777777" w:rsidR="00B87B4E" w:rsidRPr="00B87B4E" w:rsidRDefault="00B87B4E" w:rsidP="00B87B4E">
            <w:pPr>
              <w:pStyle w:val="ListParagraph"/>
              <w:numPr>
                <w:ilvl w:val="0"/>
                <w:numId w:val="29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K allows the function to reach the goal of 2.5mln houses by 2030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10C55DB2" w14:textId="77777777" w:rsidR="00B87B4E" w:rsidRPr="00B87B4E" w:rsidRDefault="00B87B4E" w:rsidP="00B87B4E">
            <w:pPr>
              <w:pStyle w:val="ListParagraph"/>
              <w:numPr>
                <w:ilvl w:val="0"/>
                <w:numId w:val="29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This value assumes that the calculation for the stock of well-insulated houses in 2026 was underestimated (around 35% instead of 32%)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EA82E9B" w14:textId="77777777" w:rsidR="00B87B4E" w:rsidRPr="00B87B4E" w:rsidRDefault="00B87B4E" w:rsidP="00B87B4E">
            <w:pPr>
              <w:pStyle w:val="ListParagraph"/>
              <w:numPr>
                <w:ilvl w:val="0"/>
                <w:numId w:val="29"/>
              </w:num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lastRenderedPageBreak/>
              <w:t>The well-insulated stock reaches around 63% by 2050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602DDFB4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CA03C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lastRenderedPageBreak/>
              <w:t>Subsidy growth – baseline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BE7FA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- 0.50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F34EB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Subsidy would stay consistent through 2030 (up to 30%), but would likely be lower in the coming decade, as the government is already considering lowering it by almost half (so it would go to 15%) (RVO, 2026; </w:t>
            </w:r>
            <w:proofErr w:type="spellStart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Overheid</w:t>
            </w:r>
            <w:proofErr w:type="spellEnd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, 2025)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06F0C6E3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EF67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Subsidy growth – pessimistic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C3BA7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 xml:space="preserve">- 1.0 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94B77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Subsidy (up to 30%) would stop at 2030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2B77EB69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A9DD9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Subsidy growth – optimistic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66E30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+ 0.0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17E9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Subsidy (up to 30%) would last through 2050 in line with the Dutch goal to phase-out gas and fossil fuels by 2050 (</w:t>
            </w:r>
            <w:proofErr w:type="spellStart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Rijksoverheid</w:t>
            </w:r>
            <w:proofErr w:type="spellEnd"/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, 2026)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40E8357B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E39A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Efficiency heat pumps 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E5739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3.0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FC19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Heat pumps typically deliver 3–5 units of heat for every unit of electricity consumed, whereas modern condensing gas boilers deliver approximately 0.90 - 0.98 units of heat for every unit of gas energy consumed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B87B4E" w:rsidRPr="00B87B4E" w14:paraId="710F53EA" w14:textId="77777777" w:rsidTr="00B87B4E">
        <w:trPr>
          <w:trHeight w:val="285"/>
        </w:trPr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86D4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Efficiency gas boilers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93003" w14:textId="77777777" w:rsidR="00B87B4E" w:rsidRPr="00B87B4E" w:rsidRDefault="00B87B4E" w:rsidP="00B87B4E">
            <w:pPr>
              <w:spacing w:before="24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  <w:t>0.90</w:t>
            </w:r>
            <w:r w:rsidRPr="00B87B4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39105" w14:textId="77777777" w:rsidR="00B87B4E" w:rsidRPr="00B87B4E" w:rsidRDefault="00B87B4E" w:rsidP="00B87B4E">
            <w:pPr>
              <w:spacing w:before="24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Heat pumps typically deliver 3–5 units of heat for every unit of electricity consumed, whereas modern condensing gas boilers deliver approximately 0.90 - 0.98 units of heat for every unit of gas energy consumed</w:t>
            </w:r>
            <w:r w:rsidRPr="00B87B4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741335CF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87B4E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20044581" w14:textId="3854DA20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87B4E">
        <w:rPr>
          <w:rFonts w:ascii="Garamond" w:eastAsia="Times New Roman" w:hAnsi="Garamond" w:cs="Segoe UI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 xml:space="preserve">Other </w:t>
      </w:r>
      <w:r>
        <w:rPr>
          <w:rFonts w:ascii="Garamond" w:eastAsia="Times New Roman" w:hAnsi="Garamond" w:cs="Segoe UI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 xml:space="preserve">important </w:t>
      </w:r>
      <w:r w:rsidRPr="00B87B4E">
        <w:rPr>
          <w:rFonts w:ascii="Garamond" w:eastAsia="Times New Roman" w:hAnsi="Garamond" w:cs="Segoe UI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 xml:space="preserve">parameters </w:t>
      </w:r>
      <w:r>
        <w:rPr>
          <w:rFonts w:ascii="Garamond" w:eastAsia="Times New Roman" w:hAnsi="Garamond" w:cs="Segoe UI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>changed in technologies.xlsx</w:t>
      </w:r>
      <w:r w:rsidRPr="00B87B4E">
        <w:rPr>
          <w:rFonts w:ascii="Garamond" w:eastAsia="Times New Roman" w:hAnsi="Garamond" w:cs="Segoe UI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>: </w:t>
      </w:r>
      <w:r w:rsidRPr="00B87B4E">
        <w:rPr>
          <w:rFonts w:ascii="Garamond" w:eastAsia="Times New Roman" w:hAnsi="Garamond" w:cs="Segoe UI"/>
          <w:color w:val="0F4761"/>
          <w:kern w:val="0"/>
          <w:sz w:val="32"/>
          <w:szCs w:val="32"/>
          <w:lang w:eastAsia="en-GB"/>
          <w14:ligatures w14:val="none"/>
        </w:rPr>
        <w:t> </w:t>
      </w:r>
    </w:p>
    <w:p w14:paraId="5EEB30B7" w14:textId="649CA38C" w:rsidR="00B87B4E" w:rsidRPr="00B87B4E" w:rsidRDefault="00B87B4E" w:rsidP="00B87B4E">
      <w:pPr>
        <w:pStyle w:val="ListParagraph"/>
        <w:numPr>
          <w:ilvl w:val="0"/>
          <w:numId w:val="27"/>
        </w:numPr>
        <w:spacing w:before="24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CAPEX Heat pumps: contrasting data regarding the real reduction in CAPEX for heat pumps, so we kept i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</w:t>
      </w:r>
      <w:r w:rsidRPr="00B87B4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to around 5% every 10 years </w:t>
      </w:r>
      <w:r w:rsidRPr="00B87B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FB8C7ED" w14:textId="77777777" w:rsidR="00B87B4E" w:rsidRPr="00B87B4E" w:rsidRDefault="00B87B4E" w:rsidP="00B87B4E">
      <w:pPr>
        <w:numPr>
          <w:ilvl w:val="0"/>
          <w:numId w:val="23"/>
        </w:numPr>
        <w:spacing w:before="24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gtFrame="_blank" w:history="1">
        <w:r w:rsidRPr="00B87B4E">
          <w:rPr>
            <w:rFonts w:ascii="Times New Roman" w:eastAsia="Times New Roman" w:hAnsi="Times New Roman" w:cs="Times New Roman"/>
            <w:color w:val="467886"/>
            <w:kern w:val="0"/>
            <w:u w:val="single"/>
            <w:lang w:eastAsia="en-GB"/>
            <w14:ligatures w14:val="none"/>
          </w:rPr>
          <w:t>https://research.cbs.dk/en/publications/experience-rates-of-low-carbon-domestic-heating-technologies-in-t/</w:t>
        </w:r>
      </w:hyperlink>
      <w:r w:rsidRPr="00B87B4E">
        <w:rPr>
          <w:rFonts w:ascii="Times New Roman" w:eastAsia="Times New Roman" w:hAnsi="Times New Roman" w:cs="Times New Roman"/>
          <w:color w:val="467886"/>
          <w:kern w:val="0"/>
          <w:lang w:eastAsia="en-GB"/>
          <w14:ligatures w14:val="none"/>
        </w:rPr>
        <w:t> </w:t>
      </w:r>
    </w:p>
    <w:p w14:paraId="6EDABB11" w14:textId="77777777" w:rsidR="00B87B4E" w:rsidRPr="00B87B4E" w:rsidRDefault="00B87B4E" w:rsidP="00B87B4E">
      <w:pPr>
        <w:numPr>
          <w:ilvl w:val="0"/>
          <w:numId w:val="24"/>
        </w:numPr>
        <w:spacing w:before="24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tgtFrame="_blank" w:history="1">
        <w:r w:rsidRPr="00B87B4E">
          <w:rPr>
            <w:rFonts w:ascii="Times New Roman" w:eastAsia="Times New Roman" w:hAnsi="Times New Roman" w:cs="Times New Roman"/>
            <w:color w:val="467886"/>
            <w:kern w:val="0"/>
            <w:u w:val="single"/>
            <w:lang w:eastAsia="en-GB"/>
            <w14:ligatures w14:val="none"/>
          </w:rPr>
          <w:t>https://ukerc.ac.uk/publications/heat-pump-cost-review/</w:t>
        </w:r>
      </w:hyperlink>
      <w:r w:rsidRPr="00B87B4E">
        <w:rPr>
          <w:rFonts w:ascii="Times New Roman" w:eastAsia="Times New Roman" w:hAnsi="Times New Roman" w:cs="Times New Roman"/>
          <w:color w:val="467886"/>
          <w:kern w:val="0"/>
          <w:lang w:eastAsia="en-GB"/>
          <w14:ligatures w14:val="none"/>
        </w:rPr>
        <w:t> </w:t>
      </w:r>
    </w:p>
    <w:p w14:paraId="584771A3" w14:textId="25B8C4E1" w:rsidR="00B87B4E" w:rsidRPr="00B87B4E" w:rsidRDefault="00B87B4E" w:rsidP="00B87B4E">
      <w:pPr>
        <w:pStyle w:val="ListParagraph"/>
        <w:numPr>
          <w:ilvl w:val="0"/>
          <w:numId w:val="27"/>
        </w:numPr>
        <w:spacing w:before="24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Subsidy for Heat Pumps: around 30% of investment </w:t>
      </w:r>
      <w:r w:rsidRPr="00B87B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7DF5ACC" w14:textId="77777777" w:rsidR="00B87B4E" w:rsidRPr="00B87B4E" w:rsidRDefault="00B87B4E" w:rsidP="00B87B4E">
      <w:pPr>
        <w:numPr>
          <w:ilvl w:val="0"/>
          <w:numId w:val="26"/>
        </w:numPr>
        <w:spacing w:before="24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tgtFrame="_blank" w:history="1">
        <w:r w:rsidRPr="00B87B4E">
          <w:rPr>
            <w:rFonts w:ascii="Times New Roman" w:eastAsia="Times New Roman" w:hAnsi="Times New Roman" w:cs="Times New Roman"/>
            <w:color w:val="467886"/>
            <w:kern w:val="0"/>
            <w:u w:val="single"/>
            <w:lang w:eastAsia="en-GB"/>
            <w14:ligatures w14:val="none"/>
          </w:rPr>
          <w:t>https://www.rijksoverheid.nl/themas/klimaat-milieu-en-natuur/duurzame-energie/vraag-en-antwoord/energie-thuis/krijg-ik-subsidie-voor-een-warmtepomp</w:t>
        </w:r>
      </w:hyperlink>
      <w:r w:rsidRPr="00B87B4E">
        <w:rPr>
          <w:rFonts w:ascii="Times New Roman" w:eastAsia="Times New Roman" w:hAnsi="Times New Roman" w:cs="Times New Roman"/>
          <w:color w:val="467886"/>
          <w:kern w:val="0"/>
          <w:lang w:eastAsia="en-GB"/>
          <w14:ligatures w14:val="none"/>
        </w:rPr>
        <w:t> </w:t>
      </w:r>
    </w:p>
    <w:p w14:paraId="5EAB231E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b/>
          <w:bCs/>
          <w:color w:val="0F4761"/>
          <w:kern w:val="0"/>
          <w:sz w:val="32"/>
          <w:szCs w:val="32"/>
          <w:lang w:val="en-GB" w:eastAsia="en-GB"/>
          <w14:ligatures w14:val="none"/>
        </w:rPr>
        <w:t>Sources</w:t>
      </w:r>
      <w:r w:rsidRPr="00B87B4E">
        <w:rPr>
          <w:rFonts w:ascii="Times New Roman" w:eastAsia="Times New Roman" w:hAnsi="Times New Roman" w:cs="Times New Roman"/>
          <w:color w:val="0F4761"/>
          <w:kern w:val="0"/>
          <w:sz w:val="32"/>
          <w:szCs w:val="32"/>
          <w:lang w:eastAsia="en-GB"/>
          <w14:ligatures w14:val="none"/>
        </w:rPr>
        <w:t> </w:t>
      </w:r>
    </w:p>
    <w:p w14:paraId="666F1C06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CBS. (2026). Growth of housing stock slows for third year in a row. </w:t>
      </w:r>
      <w:hyperlink r:id="rId8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https://www.cbs.nl/en-gb/news/2026/05/growth-of-housing-stock-slows-for-third-year-in-a-row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4F93021F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International Energy Agency. (2022). The Future of Heat Pumps. </w:t>
      </w:r>
      <w:hyperlink r:id="rId9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https://www.iea.org/reports/the-future-of-heat-pumps/how-a-heat-pump-works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55C54756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Ministerie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Klimaat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Groene Groei. (2025).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Regeling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de Minister van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Klimaat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Groene Groei van 4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december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2025, nr. WJZ/100257243, tot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wijziging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de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Regeling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lastRenderedPageBreak/>
        <w:t>nationale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EZ-, LVVN-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KGG-subsidies in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verband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met de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verlenging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de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subsidiemodule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Investeringssubsidie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duurzame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energie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energiebesparing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(ISDE),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titel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4.5.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Staatscourant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2025, 42053. </w:t>
      </w:r>
      <w:hyperlink r:id="rId10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https://zoek.officielebekendmakingen.nl/stcrt-2025-42053.html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0C4E938C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Mot, E., Mulder, P., Schippers, V., Phan, N.,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Tigchelaar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, C.,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Zwamborn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, A., Fernández Gómez, K., Schulenberg, R., &amp; Griffioen, E. (2024).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Inkomenseffecten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woningisolatie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naar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de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isolatiestandaard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Centraal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Planbureau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&amp; TNO. </w:t>
      </w:r>
      <w:hyperlink r:id="rId11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https://www.cpb.nl/system/files/cpbmedia/omnidownload/CPB-TNO-Publicatie-inkomenseffecten-van-woningisoliatie-naar-de-isolatiestandaard.pdf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3D7F2B84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Rijksdienst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voor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Ondernemend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Nederland. (2021). Monitor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Energiebesparing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Gebouwde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Omgeving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2021.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Ministerie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Binnenlandse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Zaken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Koninkrijksrelaties. </w:t>
      </w:r>
      <w:hyperlink r:id="rId12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https://www.rvo.nl/sites/default/files/2021/12/monitor-energiebesparing-gebouwde-omgeving-2021.pdf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52B52FA2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Rijksdienst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voor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Ondernemend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Nederland. (2024).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Standaard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streefwaarden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voor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woningisolatie. </w:t>
      </w:r>
      <w:hyperlink r:id="rId13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https://www.rvo.nl/onderwerpen/wetten-en-regels-gebouwen/standaard-streefwaarden-woningisolatie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0BF13B09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Rijksdienst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voor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Ondernemend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Nederland. (2025). Monitor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Verduurzaming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Gebouwde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Omgeving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2025.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Ministerie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van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Volkshuisvesting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Ruimtelijke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Ordening. </w:t>
      </w:r>
      <w:hyperlink r:id="rId14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https://www.rvo.nl/sites/default/files/2025-12/Monitor%20Verduurzaming%20Gebouwde%20Omgeving%202025.pdf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4072924D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Rijksdienst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voor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Ondernemend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Nederland. (2026). ISDE: wat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wijzigt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er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vanaf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2027? </w:t>
      </w:r>
      <w:hyperlink r:id="rId15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https://www.rvo.nl/subsidies-financiering/isde/isde-wat-wijzigt-er-2027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06635923" w14:textId="77777777" w:rsidR="00B87B4E" w:rsidRPr="00B87B4E" w:rsidRDefault="00B87B4E" w:rsidP="00B87B4E">
      <w:pPr>
        <w:spacing w:before="24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Rijksoverheid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. (2026). Hoe lang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kan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ik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nog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koken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</w:t>
      </w:r>
      <w:proofErr w:type="spellStart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>stoken</w:t>
      </w:r>
      <w:proofErr w:type="spellEnd"/>
      <w:r w:rsidRPr="00B87B4E">
        <w:rPr>
          <w:rFonts w:ascii="Times New Roman" w:eastAsia="Times New Roman" w:hAnsi="Times New Roman" w:cs="Times New Roman"/>
          <w:color w:val="000000"/>
          <w:kern w:val="0"/>
          <w:lang w:val="en-GB" w:eastAsia="en-GB"/>
          <w14:ligatures w14:val="none"/>
        </w:rPr>
        <w:t xml:space="preserve"> op gas? </w:t>
      </w:r>
      <w:hyperlink r:id="rId16" w:tgtFrame="_blank" w:history="1">
        <w:r w:rsidRPr="00B87B4E">
          <w:rPr>
            <w:rFonts w:ascii="Times New Roman" w:eastAsia="Times New Roman" w:hAnsi="Times New Roman" w:cs="Times New Roman"/>
            <w:color w:val="000000"/>
            <w:kern w:val="0"/>
            <w:u w:val="single"/>
            <w:lang w:val="en-GB" w:eastAsia="en-GB"/>
            <w14:ligatures w14:val="none"/>
          </w:rPr>
          <w:t>https://www.rijksoverheid.nl/themas/klimaat-milieu-en-natuur/energie-thuis/vraag-en-antwoord/duurzame-energie/hoe-lang-kan-ik-nog-koken-op-gas</w:t>
        </w:r>
      </w:hyperlink>
      <w:r w:rsidRPr="00B87B4E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 </w:t>
      </w:r>
    </w:p>
    <w:p w14:paraId="24818972" w14:textId="77777777" w:rsidR="00B87B4E" w:rsidRPr="00B87B4E" w:rsidRDefault="00B87B4E">
      <w:pPr>
        <w:rPr>
          <w:lang w:val="en-US"/>
        </w:rPr>
      </w:pPr>
    </w:p>
    <w:sectPr w:rsidR="00B87B4E" w:rsidRPr="00B8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A2DCA"/>
    <w:multiLevelType w:val="multilevel"/>
    <w:tmpl w:val="AEC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B59C2"/>
    <w:multiLevelType w:val="hybridMultilevel"/>
    <w:tmpl w:val="74426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B7AD7"/>
    <w:multiLevelType w:val="hybridMultilevel"/>
    <w:tmpl w:val="C0144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66544"/>
    <w:multiLevelType w:val="multilevel"/>
    <w:tmpl w:val="3F5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276A3"/>
    <w:multiLevelType w:val="multilevel"/>
    <w:tmpl w:val="16D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47F79"/>
    <w:multiLevelType w:val="multilevel"/>
    <w:tmpl w:val="157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B211C"/>
    <w:multiLevelType w:val="multilevel"/>
    <w:tmpl w:val="B43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C232C"/>
    <w:multiLevelType w:val="multilevel"/>
    <w:tmpl w:val="186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DB5DDC"/>
    <w:multiLevelType w:val="hybridMultilevel"/>
    <w:tmpl w:val="3866F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47447"/>
    <w:multiLevelType w:val="hybridMultilevel"/>
    <w:tmpl w:val="40EE6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63E80"/>
    <w:multiLevelType w:val="multilevel"/>
    <w:tmpl w:val="D04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782705"/>
    <w:multiLevelType w:val="multilevel"/>
    <w:tmpl w:val="394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1D7F45"/>
    <w:multiLevelType w:val="multilevel"/>
    <w:tmpl w:val="BBD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AD146E"/>
    <w:multiLevelType w:val="multilevel"/>
    <w:tmpl w:val="D0A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D03987"/>
    <w:multiLevelType w:val="hybridMultilevel"/>
    <w:tmpl w:val="1FC2B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7550A"/>
    <w:multiLevelType w:val="multilevel"/>
    <w:tmpl w:val="342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2608B7"/>
    <w:multiLevelType w:val="multilevel"/>
    <w:tmpl w:val="03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583201"/>
    <w:multiLevelType w:val="multilevel"/>
    <w:tmpl w:val="40C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9540B1"/>
    <w:multiLevelType w:val="hybridMultilevel"/>
    <w:tmpl w:val="2EC47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D62A6"/>
    <w:multiLevelType w:val="multilevel"/>
    <w:tmpl w:val="AEF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430629"/>
    <w:multiLevelType w:val="hybridMultilevel"/>
    <w:tmpl w:val="03FE7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E7D1E"/>
    <w:multiLevelType w:val="multilevel"/>
    <w:tmpl w:val="539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3110B8"/>
    <w:multiLevelType w:val="hybridMultilevel"/>
    <w:tmpl w:val="2B420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4D4BCF"/>
    <w:multiLevelType w:val="multilevel"/>
    <w:tmpl w:val="24F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52434A"/>
    <w:multiLevelType w:val="multilevel"/>
    <w:tmpl w:val="42B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B22103"/>
    <w:multiLevelType w:val="multilevel"/>
    <w:tmpl w:val="3E8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D71B17"/>
    <w:multiLevelType w:val="multilevel"/>
    <w:tmpl w:val="051A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F57999"/>
    <w:multiLevelType w:val="multilevel"/>
    <w:tmpl w:val="730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279B7"/>
    <w:multiLevelType w:val="hybridMultilevel"/>
    <w:tmpl w:val="4B80036C"/>
    <w:lvl w:ilvl="0" w:tplc="CFE873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114A0"/>
    <w:multiLevelType w:val="multilevel"/>
    <w:tmpl w:val="DBB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E21372"/>
    <w:multiLevelType w:val="multilevel"/>
    <w:tmpl w:val="6E10D2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2F85D8E"/>
    <w:multiLevelType w:val="multilevel"/>
    <w:tmpl w:val="A39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C0266A"/>
    <w:multiLevelType w:val="multilevel"/>
    <w:tmpl w:val="C3DA34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DA279D9"/>
    <w:multiLevelType w:val="multilevel"/>
    <w:tmpl w:val="8F4E04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E8E5749"/>
    <w:multiLevelType w:val="multilevel"/>
    <w:tmpl w:val="ABD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16F3C"/>
    <w:multiLevelType w:val="hybridMultilevel"/>
    <w:tmpl w:val="597C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88421">
    <w:abstractNumId w:val="17"/>
  </w:num>
  <w:num w:numId="2" w16cid:durableId="1496608307">
    <w:abstractNumId w:val="3"/>
  </w:num>
  <w:num w:numId="3" w16cid:durableId="102070686">
    <w:abstractNumId w:val="27"/>
  </w:num>
  <w:num w:numId="4" w16cid:durableId="594634079">
    <w:abstractNumId w:val="25"/>
  </w:num>
  <w:num w:numId="5" w16cid:durableId="1777938827">
    <w:abstractNumId w:val="15"/>
  </w:num>
  <w:num w:numId="6" w16cid:durableId="652415241">
    <w:abstractNumId w:val="21"/>
  </w:num>
  <w:num w:numId="7" w16cid:durableId="914780312">
    <w:abstractNumId w:val="12"/>
  </w:num>
  <w:num w:numId="8" w16cid:durableId="848326584">
    <w:abstractNumId w:val="13"/>
  </w:num>
  <w:num w:numId="9" w16cid:durableId="484054617">
    <w:abstractNumId w:val="11"/>
  </w:num>
  <w:num w:numId="10" w16cid:durableId="1484278898">
    <w:abstractNumId w:val="0"/>
  </w:num>
  <w:num w:numId="11" w16cid:durableId="437409565">
    <w:abstractNumId w:val="29"/>
  </w:num>
  <w:num w:numId="12" w16cid:durableId="649095358">
    <w:abstractNumId w:val="16"/>
  </w:num>
  <w:num w:numId="13" w16cid:durableId="510335436">
    <w:abstractNumId w:val="5"/>
  </w:num>
  <w:num w:numId="14" w16cid:durableId="1737511171">
    <w:abstractNumId w:val="26"/>
  </w:num>
  <w:num w:numId="15" w16cid:durableId="1032077293">
    <w:abstractNumId w:val="6"/>
  </w:num>
  <w:num w:numId="16" w16cid:durableId="274286424">
    <w:abstractNumId w:val="10"/>
  </w:num>
  <w:num w:numId="17" w16cid:durableId="1787120567">
    <w:abstractNumId w:val="19"/>
  </w:num>
  <w:num w:numId="18" w16cid:durableId="97603979">
    <w:abstractNumId w:val="24"/>
  </w:num>
  <w:num w:numId="19" w16cid:durableId="447897396">
    <w:abstractNumId w:val="7"/>
  </w:num>
  <w:num w:numId="20" w16cid:durableId="135805904">
    <w:abstractNumId w:val="4"/>
  </w:num>
  <w:num w:numId="21" w16cid:durableId="536818503">
    <w:abstractNumId w:val="23"/>
  </w:num>
  <w:num w:numId="22" w16cid:durableId="1298603956">
    <w:abstractNumId w:val="34"/>
  </w:num>
  <w:num w:numId="23" w16cid:durableId="2123725191">
    <w:abstractNumId w:val="30"/>
  </w:num>
  <w:num w:numId="24" w16cid:durableId="893737275">
    <w:abstractNumId w:val="33"/>
  </w:num>
  <w:num w:numId="25" w16cid:durableId="1780636734">
    <w:abstractNumId w:val="31"/>
  </w:num>
  <w:num w:numId="26" w16cid:durableId="802188223">
    <w:abstractNumId w:val="32"/>
  </w:num>
  <w:num w:numId="27" w16cid:durableId="1529367558">
    <w:abstractNumId w:val="14"/>
  </w:num>
  <w:num w:numId="28" w16cid:durableId="502665856">
    <w:abstractNumId w:val="28"/>
  </w:num>
  <w:num w:numId="29" w16cid:durableId="1340884496">
    <w:abstractNumId w:val="1"/>
  </w:num>
  <w:num w:numId="30" w16cid:durableId="22170922">
    <w:abstractNumId w:val="2"/>
  </w:num>
  <w:num w:numId="31" w16cid:durableId="1053382842">
    <w:abstractNumId w:val="8"/>
  </w:num>
  <w:num w:numId="32" w16cid:durableId="622617186">
    <w:abstractNumId w:val="9"/>
  </w:num>
  <w:num w:numId="33" w16cid:durableId="581109142">
    <w:abstractNumId w:val="35"/>
  </w:num>
  <w:num w:numId="34" w16cid:durableId="1829515585">
    <w:abstractNumId w:val="22"/>
  </w:num>
  <w:num w:numId="35" w16cid:durableId="1181309986">
    <w:abstractNumId w:val="20"/>
  </w:num>
  <w:num w:numId="36" w16cid:durableId="39158511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4E"/>
    <w:rsid w:val="007D7A7C"/>
    <w:rsid w:val="00B8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ED570D"/>
  <w15:chartTrackingRefBased/>
  <w15:docId w15:val="{43A0F89E-9256-D74B-88D1-ADFDBDCC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4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8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eop">
    <w:name w:val="eop"/>
    <w:basedOn w:val="DefaultParagraphFont"/>
    <w:rsid w:val="00B87B4E"/>
  </w:style>
  <w:style w:type="character" w:customStyle="1" w:styleId="normaltextrun">
    <w:name w:val="normaltextrun"/>
    <w:basedOn w:val="DefaultParagraphFont"/>
    <w:rsid w:val="00B8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s.nl/en-gb/news/2026/05/growth-of-housing-stock-slows-for-third-year-in-a-row" TargetMode="External"/><Relationship Id="rId13" Type="http://schemas.openxmlformats.org/officeDocument/2006/relationships/hyperlink" Target="https://www.rvo.nl/onderwerpen/wetten-en-regels-gebouwen/standaard-streefwaarden-woningisolati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ijksoverheid.nl/themas/klimaat-milieu-en-natuur/duurzame-energie/vraag-en-antwoord/energie-thuis/krijg-ik-subsidie-voor-een-warmtepomp" TargetMode="External"/><Relationship Id="rId12" Type="http://schemas.openxmlformats.org/officeDocument/2006/relationships/hyperlink" Target="https://www.rvo.nl/sites/default/files/2021/12/monitor-energiebesparing-gebouwde-omgeving-2021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ijksoverheid.nl/themas/klimaat-milieu-en-natuur/energie-thuis/vraag-en-antwoord/duurzame-energie/hoe-lang-kan-ik-nog-koken-op-g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kerc.ac.uk/publications/heat-pump-cost-review/" TargetMode="External"/><Relationship Id="rId11" Type="http://schemas.openxmlformats.org/officeDocument/2006/relationships/hyperlink" Target="https://www.cpb.nl/system/files/cpbmedia/omnidownload/CPB-TNO-Publicatie-inkomenseffecten-van-woningisoliatie-naar-de-isolatiestandaard.pdf" TargetMode="External"/><Relationship Id="rId5" Type="http://schemas.openxmlformats.org/officeDocument/2006/relationships/hyperlink" Target="https://research.cbs.dk/en/publications/experience-rates-of-low-carbon-domestic-heating-technologies-in-t/" TargetMode="External"/><Relationship Id="rId15" Type="http://schemas.openxmlformats.org/officeDocument/2006/relationships/hyperlink" Target="https://www.rvo.nl/subsidies-financiering/isde/isde-wat-wijzigt-er-2027" TargetMode="External"/><Relationship Id="rId10" Type="http://schemas.openxmlformats.org/officeDocument/2006/relationships/hyperlink" Target="https://zoek.officielebekendmakingen.nl/stcrt-2025-4205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ea.org/reports/the-future-of-heat-pumps/how-a-heat-pump-works" TargetMode="External"/><Relationship Id="rId14" Type="http://schemas.openxmlformats.org/officeDocument/2006/relationships/hyperlink" Target="https://www.rvo.nl/sites/default/files/2025-12/Monitor%20Verduurzaming%20Gebouwde%20Omgeving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Cerato</dc:creator>
  <cp:keywords/>
  <dc:description/>
  <cp:lastModifiedBy>Anna Cerato</cp:lastModifiedBy>
  <cp:revision>1</cp:revision>
  <dcterms:created xsi:type="dcterms:W3CDTF">2026-10-18T16:37:00Z</dcterms:created>
  <dcterms:modified xsi:type="dcterms:W3CDTF">2026-10-18T16:44:00Z</dcterms:modified>
</cp:coreProperties>
</file>