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2E76" w14:textId="77777777" w:rsidR="00022584" w:rsidRPr="00022584" w:rsidRDefault="00022584" w:rsidP="00022584">
      <w:pPr>
        <w:rPr>
          <w:b/>
          <w:bCs/>
          <w:caps/>
        </w:rPr>
      </w:pPr>
      <w:r w:rsidRPr="00022584">
        <w:rPr>
          <w:b/>
          <w:bCs/>
          <w:caps/>
        </w:rPr>
        <w:t>TCS Financial Statement Analysis</w:t>
      </w:r>
    </w:p>
    <w:p w14:paraId="45E430D8" w14:textId="77777777" w:rsidR="00022584" w:rsidRPr="00022584" w:rsidRDefault="00022584" w:rsidP="00022584">
      <w:pPr>
        <w:rPr>
          <w:b/>
          <w:bCs/>
          <w:caps/>
        </w:rPr>
      </w:pPr>
      <w:r w:rsidRPr="00022584">
        <w:rPr>
          <w:b/>
          <w:bCs/>
          <w:caps/>
        </w:rPr>
        <w:t>Company</w:t>
      </w:r>
    </w:p>
    <w:p w14:paraId="5E32AF59" w14:textId="77777777" w:rsidR="00022584" w:rsidRPr="00022584" w:rsidRDefault="00022584" w:rsidP="00022584">
      <w:pPr>
        <w:rPr>
          <w:caps/>
        </w:rPr>
      </w:pPr>
      <w:r w:rsidRPr="00022584">
        <w:rPr>
          <w:b/>
          <w:bCs/>
          <w:caps/>
        </w:rPr>
        <w:t>Tata Consultancy Services Limited (TCS)</w:t>
      </w:r>
    </w:p>
    <w:p w14:paraId="597DE437" w14:textId="77777777" w:rsidR="00022584" w:rsidRPr="00022584" w:rsidRDefault="00022584" w:rsidP="00022584">
      <w:pPr>
        <w:rPr>
          <w:b/>
          <w:bCs/>
          <w:caps/>
        </w:rPr>
      </w:pPr>
      <w:r w:rsidRPr="00022584">
        <w:rPr>
          <w:b/>
          <w:bCs/>
          <w:caps/>
        </w:rPr>
        <w:t>Reporting Period</w:t>
      </w:r>
    </w:p>
    <w:p w14:paraId="4DA8E79F" w14:textId="77777777" w:rsidR="00022584" w:rsidRPr="00022584" w:rsidRDefault="00022584" w:rsidP="00022584">
      <w:pPr>
        <w:rPr>
          <w:caps/>
        </w:rPr>
      </w:pPr>
      <w:r w:rsidRPr="00022584">
        <w:rPr>
          <w:b/>
          <w:bCs/>
          <w:caps/>
        </w:rPr>
        <w:t>FY 2025-26</w:t>
      </w:r>
    </w:p>
    <w:p w14:paraId="63CAB034" w14:textId="77777777" w:rsidR="00022584" w:rsidRPr="00022584" w:rsidRDefault="00022584" w:rsidP="00022584">
      <w:pPr>
        <w:rPr>
          <w:b/>
          <w:bCs/>
          <w:caps/>
        </w:rPr>
      </w:pPr>
      <w:r w:rsidRPr="00022584">
        <w:rPr>
          <w:b/>
          <w:bCs/>
          <w:caps/>
        </w:rPr>
        <w:t>Source</w:t>
      </w:r>
    </w:p>
    <w:p w14:paraId="71D694E0" w14:textId="77777777" w:rsidR="00022584" w:rsidRPr="00022584" w:rsidRDefault="00022584" w:rsidP="00022584">
      <w:pPr>
        <w:rPr>
          <w:caps/>
        </w:rPr>
      </w:pPr>
      <w:r w:rsidRPr="00022584">
        <w:rPr>
          <w:b/>
          <w:bCs/>
          <w:caps/>
        </w:rPr>
        <w:t>TCS Integrated Annual Report 2025-26</w:t>
      </w:r>
    </w:p>
    <w:p w14:paraId="501A5B59" w14:textId="77777777" w:rsidR="00022584" w:rsidRPr="00022584" w:rsidRDefault="00022584" w:rsidP="00022584">
      <w:pPr>
        <w:rPr>
          <w:caps/>
        </w:rPr>
      </w:pPr>
      <w:r w:rsidRPr="00022584">
        <w:rPr>
          <w:caps/>
        </w:rPr>
        <w:pict w14:anchorId="713E592A">
          <v:rect id="_x0000_i1061" style="width:0;height:1.5pt" o:hralign="center" o:hrstd="t" o:hr="t" fillcolor="#a0a0a0" stroked="f"/>
        </w:pict>
      </w:r>
    </w:p>
    <w:p w14:paraId="1E2F367B" w14:textId="77777777" w:rsidR="00022584" w:rsidRPr="00022584" w:rsidRDefault="00022584" w:rsidP="00022584">
      <w:pPr>
        <w:rPr>
          <w:b/>
          <w:bCs/>
          <w:caps/>
        </w:rPr>
      </w:pPr>
      <w:r w:rsidRPr="00022584">
        <w:rPr>
          <w:b/>
          <w:bCs/>
          <w:caps/>
        </w:rPr>
        <w:t>1. Company Overview</w:t>
      </w:r>
    </w:p>
    <w:p w14:paraId="1449DBA9" w14:textId="77777777" w:rsidR="00022584" w:rsidRPr="00022584" w:rsidRDefault="00022584" w:rsidP="00022584">
      <w:pPr>
        <w:rPr>
          <w:caps/>
        </w:rPr>
      </w:pPr>
      <w:r w:rsidRPr="00022584">
        <w:rPr>
          <w:caps/>
        </w:rPr>
        <w:t xml:space="preserve">Tata Consultancy Services Limited (TCS) is a listed Indian company. This analysis uses the company's </w:t>
      </w:r>
      <w:r w:rsidRPr="00022584">
        <w:rPr>
          <w:b/>
          <w:bCs/>
          <w:caps/>
        </w:rPr>
        <w:t>consolidated financial statements</w:t>
      </w:r>
      <w:r w:rsidRPr="00022584">
        <w:rPr>
          <w:caps/>
        </w:rPr>
        <w:t xml:space="preserve"> for the years ended March 31, 2026 and March 31, 2025.</w:t>
      </w:r>
    </w:p>
    <w:p w14:paraId="707CA71A" w14:textId="77777777" w:rsidR="00022584" w:rsidRPr="00022584" w:rsidRDefault="00022584" w:rsidP="00022584">
      <w:pPr>
        <w:rPr>
          <w:caps/>
        </w:rPr>
      </w:pPr>
      <w:r w:rsidRPr="00022584">
        <w:rPr>
          <w:caps/>
        </w:rPr>
        <w:pict w14:anchorId="7FEFA58D">
          <v:rect id="_x0000_i1062" style="width:0;height:1.5pt" o:hralign="center" o:hrstd="t" o:hr="t" fillcolor="#a0a0a0" stroked="f"/>
        </w:pict>
      </w:r>
    </w:p>
    <w:p w14:paraId="79237FEF" w14:textId="77777777" w:rsidR="00022584" w:rsidRPr="00022584" w:rsidRDefault="00022584" w:rsidP="00022584">
      <w:pPr>
        <w:rPr>
          <w:b/>
          <w:bCs/>
          <w:caps/>
        </w:rPr>
      </w:pPr>
      <w:r w:rsidRPr="00022584">
        <w:rPr>
          <w:b/>
          <w:bCs/>
          <w:caps/>
        </w:rPr>
        <w:t>2. Financial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1455"/>
        <w:gridCol w:w="1470"/>
      </w:tblGrid>
      <w:tr w:rsidR="00022584" w:rsidRPr="00022584" w14:paraId="757AF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FFED1" w14:textId="77777777" w:rsidR="00022584" w:rsidRPr="00022584" w:rsidRDefault="00022584" w:rsidP="00022584">
            <w:pPr>
              <w:rPr>
                <w:b/>
                <w:bCs/>
                <w:caps/>
              </w:rPr>
            </w:pPr>
            <w:r w:rsidRPr="00022584">
              <w:rPr>
                <w:b/>
                <w:bCs/>
                <w:cap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0F6FAB" w14:textId="77777777" w:rsidR="00022584" w:rsidRPr="00022584" w:rsidRDefault="00022584" w:rsidP="00022584">
            <w:pPr>
              <w:rPr>
                <w:b/>
                <w:bCs/>
                <w:caps/>
              </w:rPr>
            </w:pPr>
            <w:r w:rsidRPr="00022584">
              <w:rPr>
                <w:b/>
                <w:bCs/>
                <w:caps/>
              </w:rPr>
              <w:t>FY2024-25</w:t>
            </w:r>
          </w:p>
        </w:tc>
        <w:tc>
          <w:tcPr>
            <w:tcW w:w="0" w:type="auto"/>
            <w:vAlign w:val="center"/>
            <w:hideMark/>
          </w:tcPr>
          <w:p w14:paraId="1E3BC180" w14:textId="77777777" w:rsidR="00022584" w:rsidRPr="00022584" w:rsidRDefault="00022584" w:rsidP="00022584">
            <w:pPr>
              <w:rPr>
                <w:b/>
                <w:bCs/>
                <w:caps/>
              </w:rPr>
            </w:pPr>
            <w:r w:rsidRPr="00022584">
              <w:rPr>
                <w:b/>
                <w:bCs/>
                <w:caps/>
              </w:rPr>
              <w:t>FY2025-26</w:t>
            </w:r>
          </w:p>
        </w:tc>
      </w:tr>
      <w:tr w:rsidR="00022584" w:rsidRPr="00022584" w14:paraId="45536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CEC1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Revenue from Operations</w:t>
            </w:r>
          </w:p>
        </w:tc>
        <w:tc>
          <w:tcPr>
            <w:tcW w:w="0" w:type="auto"/>
            <w:vAlign w:val="center"/>
            <w:hideMark/>
          </w:tcPr>
          <w:p w14:paraId="239E7D62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₹2,55,324 Cr</w:t>
            </w:r>
          </w:p>
        </w:tc>
        <w:tc>
          <w:tcPr>
            <w:tcW w:w="0" w:type="auto"/>
            <w:vAlign w:val="center"/>
            <w:hideMark/>
          </w:tcPr>
          <w:p w14:paraId="123CE615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₹2,67,021 Cr</w:t>
            </w:r>
          </w:p>
        </w:tc>
      </w:tr>
      <w:tr w:rsidR="00022584" w:rsidRPr="00022584" w14:paraId="51B84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14A4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Total Income</w:t>
            </w:r>
          </w:p>
        </w:tc>
        <w:tc>
          <w:tcPr>
            <w:tcW w:w="0" w:type="auto"/>
            <w:vAlign w:val="center"/>
            <w:hideMark/>
          </w:tcPr>
          <w:p w14:paraId="4DB98E5A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₹2,59,286 Cr</w:t>
            </w:r>
          </w:p>
        </w:tc>
        <w:tc>
          <w:tcPr>
            <w:tcW w:w="0" w:type="auto"/>
            <w:vAlign w:val="center"/>
            <w:hideMark/>
          </w:tcPr>
          <w:p w14:paraId="6296E411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₹2,71,423 Cr</w:t>
            </w:r>
          </w:p>
        </w:tc>
      </w:tr>
      <w:tr w:rsidR="00022584" w:rsidRPr="00022584" w14:paraId="11C40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ABCC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Total Expenses</w:t>
            </w:r>
          </w:p>
        </w:tc>
        <w:tc>
          <w:tcPr>
            <w:tcW w:w="0" w:type="auto"/>
            <w:vAlign w:val="center"/>
            <w:hideMark/>
          </w:tcPr>
          <w:p w14:paraId="18267B5E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₹1,93,955 Cr</w:t>
            </w:r>
          </w:p>
        </w:tc>
        <w:tc>
          <w:tcPr>
            <w:tcW w:w="0" w:type="auto"/>
            <w:vAlign w:val="center"/>
            <w:hideMark/>
          </w:tcPr>
          <w:p w14:paraId="175778DA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₹2,01,410 Cr</w:t>
            </w:r>
          </w:p>
        </w:tc>
      </w:tr>
      <w:tr w:rsidR="00022584" w:rsidRPr="00022584" w14:paraId="2BDEE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A02C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Profit Before Tax</w:t>
            </w:r>
          </w:p>
        </w:tc>
        <w:tc>
          <w:tcPr>
            <w:tcW w:w="0" w:type="auto"/>
            <w:vAlign w:val="center"/>
            <w:hideMark/>
          </w:tcPr>
          <w:p w14:paraId="16E48756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₹65,331 Cr</w:t>
            </w:r>
          </w:p>
        </w:tc>
        <w:tc>
          <w:tcPr>
            <w:tcW w:w="0" w:type="auto"/>
            <w:vAlign w:val="center"/>
            <w:hideMark/>
          </w:tcPr>
          <w:p w14:paraId="5828AF6E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₹65,487 Cr</w:t>
            </w:r>
          </w:p>
        </w:tc>
      </w:tr>
      <w:tr w:rsidR="00022584" w:rsidRPr="00022584" w14:paraId="35E6A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1056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Profit for the Year</w:t>
            </w:r>
          </w:p>
        </w:tc>
        <w:tc>
          <w:tcPr>
            <w:tcW w:w="0" w:type="auto"/>
            <w:vAlign w:val="center"/>
            <w:hideMark/>
          </w:tcPr>
          <w:p w14:paraId="1385794E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₹48,797 Cr</w:t>
            </w:r>
          </w:p>
        </w:tc>
        <w:tc>
          <w:tcPr>
            <w:tcW w:w="0" w:type="auto"/>
            <w:vAlign w:val="center"/>
            <w:hideMark/>
          </w:tcPr>
          <w:p w14:paraId="028B5272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₹49,454 Cr</w:t>
            </w:r>
          </w:p>
        </w:tc>
      </w:tr>
      <w:tr w:rsidR="00022584" w:rsidRPr="00022584" w14:paraId="6F787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AF7B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EPS</w:t>
            </w:r>
          </w:p>
        </w:tc>
        <w:tc>
          <w:tcPr>
            <w:tcW w:w="0" w:type="auto"/>
            <w:vAlign w:val="center"/>
            <w:hideMark/>
          </w:tcPr>
          <w:p w14:paraId="1B61ED6F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₹134.19</w:t>
            </w:r>
          </w:p>
        </w:tc>
        <w:tc>
          <w:tcPr>
            <w:tcW w:w="0" w:type="auto"/>
            <w:vAlign w:val="center"/>
            <w:hideMark/>
          </w:tcPr>
          <w:p w14:paraId="16DE7698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₹136.01</w:t>
            </w:r>
          </w:p>
        </w:tc>
      </w:tr>
    </w:tbl>
    <w:p w14:paraId="7AD4E975" w14:textId="77777777" w:rsidR="00022584" w:rsidRPr="00022584" w:rsidRDefault="00022584" w:rsidP="00022584">
      <w:pPr>
        <w:rPr>
          <w:caps/>
        </w:rPr>
      </w:pPr>
      <w:r w:rsidRPr="00022584">
        <w:rPr>
          <w:caps/>
        </w:rPr>
        <w:t xml:space="preserve">These figures come from TCS's consolidated statement of profit and loss. </w:t>
      </w:r>
    </w:p>
    <w:p w14:paraId="550D22C4" w14:textId="77777777" w:rsidR="00022584" w:rsidRPr="00022584" w:rsidRDefault="00022584" w:rsidP="00022584">
      <w:pPr>
        <w:rPr>
          <w:caps/>
        </w:rPr>
      </w:pPr>
      <w:r w:rsidRPr="00022584">
        <w:rPr>
          <w:caps/>
        </w:rPr>
        <w:pict w14:anchorId="27AF17D2">
          <v:rect id="_x0000_i1063" style="width:0;height:1.5pt" o:hralign="center" o:hrstd="t" o:hr="t" fillcolor="#a0a0a0" stroked="f"/>
        </w:pict>
      </w:r>
    </w:p>
    <w:p w14:paraId="73FB9D61" w14:textId="77777777" w:rsidR="00022584" w:rsidRPr="00022584" w:rsidRDefault="00022584" w:rsidP="00022584">
      <w:pPr>
        <w:rPr>
          <w:b/>
          <w:bCs/>
          <w:caps/>
        </w:rPr>
      </w:pPr>
      <w:r w:rsidRPr="00022584">
        <w:rPr>
          <w:b/>
          <w:bCs/>
          <w:caps/>
        </w:rPr>
        <w:t>3. Balance Sheet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1455"/>
        <w:gridCol w:w="1470"/>
      </w:tblGrid>
      <w:tr w:rsidR="00022584" w:rsidRPr="00022584" w14:paraId="0A74E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18CD3" w14:textId="77777777" w:rsidR="00022584" w:rsidRPr="00022584" w:rsidRDefault="00022584" w:rsidP="00022584">
            <w:pPr>
              <w:rPr>
                <w:b/>
                <w:bCs/>
                <w:caps/>
              </w:rPr>
            </w:pPr>
            <w:r w:rsidRPr="00022584">
              <w:rPr>
                <w:b/>
                <w:bCs/>
                <w:cap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014346D" w14:textId="77777777" w:rsidR="00022584" w:rsidRPr="00022584" w:rsidRDefault="00022584" w:rsidP="00022584">
            <w:pPr>
              <w:rPr>
                <w:b/>
                <w:bCs/>
                <w:caps/>
              </w:rPr>
            </w:pPr>
            <w:r w:rsidRPr="00022584">
              <w:rPr>
                <w:b/>
                <w:bCs/>
                <w:caps/>
              </w:rPr>
              <w:t>FY2024-25</w:t>
            </w:r>
          </w:p>
        </w:tc>
        <w:tc>
          <w:tcPr>
            <w:tcW w:w="0" w:type="auto"/>
            <w:vAlign w:val="center"/>
            <w:hideMark/>
          </w:tcPr>
          <w:p w14:paraId="222BEECD" w14:textId="77777777" w:rsidR="00022584" w:rsidRPr="00022584" w:rsidRDefault="00022584" w:rsidP="00022584">
            <w:pPr>
              <w:rPr>
                <w:b/>
                <w:bCs/>
                <w:caps/>
              </w:rPr>
            </w:pPr>
            <w:r w:rsidRPr="00022584">
              <w:rPr>
                <w:b/>
                <w:bCs/>
                <w:caps/>
              </w:rPr>
              <w:t>FY2025-26</w:t>
            </w:r>
          </w:p>
        </w:tc>
      </w:tr>
      <w:tr w:rsidR="00022584" w:rsidRPr="00022584" w14:paraId="117B6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48EA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Total Assets</w:t>
            </w:r>
          </w:p>
        </w:tc>
        <w:tc>
          <w:tcPr>
            <w:tcW w:w="0" w:type="auto"/>
            <w:vAlign w:val="center"/>
            <w:hideMark/>
          </w:tcPr>
          <w:p w14:paraId="6ACF1218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₹1,59,629 Cr</w:t>
            </w:r>
          </w:p>
        </w:tc>
        <w:tc>
          <w:tcPr>
            <w:tcW w:w="0" w:type="auto"/>
            <w:vAlign w:val="center"/>
            <w:hideMark/>
          </w:tcPr>
          <w:p w14:paraId="24F621CD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₹1,82,372 Cr</w:t>
            </w:r>
          </w:p>
        </w:tc>
      </w:tr>
      <w:tr w:rsidR="00022584" w:rsidRPr="00022584" w14:paraId="4149A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FFD0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lastRenderedPageBreak/>
              <w:t>Total Equity</w:t>
            </w:r>
          </w:p>
        </w:tc>
        <w:tc>
          <w:tcPr>
            <w:tcW w:w="0" w:type="auto"/>
            <w:vAlign w:val="center"/>
            <w:hideMark/>
          </w:tcPr>
          <w:p w14:paraId="014F972C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₹95,771 Cr</w:t>
            </w:r>
          </w:p>
        </w:tc>
        <w:tc>
          <w:tcPr>
            <w:tcW w:w="0" w:type="auto"/>
            <w:vAlign w:val="center"/>
            <w:hideMark/>
          </w:tcPr>
          <w:p w14:paraId="656726D5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₹1,08,478 Cr</w:t>
            </w:r>
          </w:p>
        </w:tc>
      </w:tr>
      <w:tr w:rsidR="00022584" w:rsidRPr="00022584" w14:paraId="7AE87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FA71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Current Assets</w:t>
            </w:r>
          </w:p>
        </w:tc>
        <w:tc>
          <w:tcPr>
            <w:tcW w:w="0" w:type="auto"/>
            <w:vAlign w:val="center"/>
            <w:hideMark/>
          </w:tcPr>
          <w:p w14:paraId="34B48922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₹1,23,011 Cr</w:t>
            </w:r>
          </w:p>
        </w:tc>
        <w:tc>
          <w:tcPr>
            <w:tcW w:w="0" w:type="auto"/>
            <w:vAlign w:val="center"/>
            <w:hideMark/>
          </w:tcPr>
          <w:p w14:paraId="0CFDAD27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₹1,35,705 Cr</w:t>
            </w:r>
          </w:p>
        </w:tc>
      </w:tr>
      <w:tr w:rsidR="00022584" w:rsidRPr="00022584" w14:paraId="33D3E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21FF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Current Liabilities</w:t>
            </w:r>
          </w:p>
        </w:tc>
        <w:tc>
          <w:tcPr>
            <w:tcW w:w="0" w:type="auto"/>
            <w:vAlign w:val="center"/>
            <w:hideMark/>
          </w:tcPr>
          <w:p w14:paraId="5DB11C76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₹53,001 Cr</w:t>
            </w:r>
          </w:p>
        </w:tc>
        <w:tc>
          <w:tcPr>
            <w:tcW w:w="0" w:type="auto"/>
            <w:vAlign w:val="center"/>
            <w:hideMark/>
          </w:tcPr>
          <w:p w14:paraId="6E9DB920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₹60,914 Cr</w:t>
            </w:r>
          </w:p>
        </w:tc>
      </w:tr>
    </w:tbl>
    <w:p w14:paraId="6456779C" w14:textId="77777777" w:rsidR="00022584" w:rsidRPr="00022584" w:rsidRDefault="00022584" w:rsidP="00022584">
      <w:pPr>
        <w:rPr>
          <w:caps/>
        </w:rPr>
      </w:pPr>
      <w:r w:rsidRPr="00022584">
        <w:rPr>
          <w:caps/>
        </w:rPr>
        <w:t xml:space="preserve">The balance sheet shows that total assets and total equity increased during FY2025-26. </w:t>
      </w:r>
    </w:p>
    <w:p w14:paraId="643786F8" w14:textId="77777777" w:rsidR="00022584" w:rsidRPr="00022584" w:rsidRDefault="00022584" w:rsidP="00022584">
      <w:pPr>
        <w:rPr>
          <w:caps/>
        </w:rPr>
      </w:pPr>
      <w:r w:rsidRPr="00022584">
        <w:rPr>
          <w:caps/>
        </w:rPr>
        <w:pict w14:anchorId="0331A809">
          <v:rect id="_x0000_i1064" style="width:0;height:1.5pt" o:hralign="center" o:hrstd="t" o:hr="t" fillcolor="#a0a0a0" stroked="f"/>
        </w:pict>
      </w:r>
    </w:p>
    <w:p w14:paraId="4141B621" w14:textId="77777777" w:rsidR="00022584" w:rsidRPr="00022584" w:rsidRDefault="00022584" w:rsidP="00022584">
      <w:pPr>
        <w:rPr>
          <w:b/>
          <w:bCs/>
          <w:caps/>
        </w:rPr>
      </w:pPr>
      <w:r w:rsidRPr="00022584">
        <w:rPr>
          <w:b/>
          <w:bCs/>
          <w:caps/>
        </w:rPr>
        <w:t>4. Ratio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904"/>
      </w:tblGrid>
      <w:tr w:rsidR="00022584" w:rsidRPr="00022584" w14:paraId="0426F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4E842" w14:textId="77777777" w:rsidR="00022584" w:rsidRPr="00022584" w:rsidRDefault="00022584" w:rsidP="00022584">
            <w:pPr>
              <w:rPr>
                <w:b/>
                <w:bCs/>
                <w:caps/>
              </w:rPr>
            </w:pPr>
            <w:r w:rsidRPr="00022584">
              <w:rPr>
                <w:b/>
                <w:bCs/>
                <w:caps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1E7EDE68" w14:textId="77777777" w:rsidR="00022584" w:rsidRPr="00022584" w:rsidRDefault="00022584" w:rsidP="00022584">
            <w:pPr>
              <w:rPr>
                <w:b/>
                <w:bCs/>
                <w:caps/>
              </w:rPr>
            </w:pPr>
            <w:r w:rsidRPr="00022584">
              <w:rPr>
                <w:b/>
                <w:bCs/>
                <w:caps/>
              </w:rPr>
              <w:t>Result</w:t>
            </w:r>
          </w:p>
        </w:tc>
      </w:tr>
      <w:tr w:rsidR="00022584" w:rsidRPr="00022584" w14:paraId="3D84A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D87B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Revenue Growth</w:t>
            </w:r>
          </w:p>
        </w:tc>
        <w:tc>
          <w:tcPr>
            <w:tcW w:w="0" w:type="auto"/>
            <w:vAlign w:val="center"/>
            <w:hideMark/>
          </w:tcPr>
          <w:p w14:paraId="7BA9D606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b/>
                <w:bCs/>
                <w:caps/>
              </w:rPr>
              <w:t>4.58%</w:t>
            </w:r>
          </w:p>
        </w:tc>
      </w:tr>
      <w:tr w:rsidR="00022584" w:rsidRPr="00022584" w14:paraId="22B84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5AC8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Net Profit Growth</w:t>
            </w:r>
          </w:p>
        </w:tc>
        <w:tc>
          <w:tcPr>
            <w:tcW w:w="0" w:type="auto"/>
            <w:vAlign w:val="center"/>
            <w:hideMark/>
          </w:tcPr>
          <w:p w14:paraId="07E97849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b/>
                <w:bCs/>
                <w:caps/>
              </w:rPr>
              <w:t>1.35%</w:t>
            </w:r>
          </w:p>
        </w:tc>
      </w:tr>
      <w:tr w:rsidR="00022584" w:rsidRPr="00022584" w14:paraId="093F7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EB6A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Net Profit Margin</w:t>
            </w:r>
          </w:p>
        </w:tc>
        <w:tc>
          <w:tcPr>
            <w:tcW w:w="0" w:type="auto"/>
            <w:vAlign w:val="center"/>
            <w:hideMark/>
          </w:tcPr>
          <w:p w14:paraId="7C55F907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b/>
                <w:bCs/>
                <w:caps/>
              </w:rPr>
              <w:t>18.52%</w:t>
            </w:r>
          </w:p>
        </w:tc>
      </w:tr>
      <w:tr w:rsidR="00022584" w:rsidRPr="00022584" w14:paraId="5B802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48D4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Current Ratio</w:t>
            </w:r>
          </w:p>
        </w:tc>
        <w:tc>
          <w:tcPr>
            <w:tcW w:w="0" w:type="auto"/>
            <w:vAlign w:val="center"/>
            <w:hideMark/>
          </w:tcPr>
          <w:p w14:paraId="590CCF78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b/>
                <w:bCs/>
                <w:caps/>
              </w:rPr>
              <w:t>2.23</w:t>
            </w:r>
          </w:p>
        </w:tc>
      </w:tr>
    </w:tbl>
    <w:p w14:paraId="5DB2EF3F" w14:textId="77777777" w:rsidR="00022584" w:rsidRPr="00022584" w:rsidRDefault="00022584" w:rsidP="00022584">
      <w:pPr>
        <w:rPr>
          <w:b/>
          <w:bCs/>
          <w:caps/>
        </w:rPr>
      </w:pPr>
      <w:r w:rsidRPr="00022584">
        <w:rPr>
          <w:b/>
          <w:bCs/>
          <w:caps/>
        </w:rPr>
        <w:t>Interpretation</w:t>
      </w:r>
    </w:p>
    <w:p w14:paraId="34913D32" w14:textId="77777777" w:rsidR="00022584" w:rsidRPr="00022584" w:rsidRDefault="00022584" w:rsidP="00022584">
      <w:pPr>
        <w:rPr>
          <w:caps/>
        </w:rPr>
      </w:pPr>
      <w:r w:rsidRPr="00022584">
        <w:rPr>
          <w:caps/>
        </w:rPr>
        <w:t xml:space="preserve">TCS's revenue increased by </w:t>
      </w:r>
      <w:r w:rsidRPr="00022584">
        <w:rPr>
          <w:b/>
          <w:bCs/>
          <w:caps/>
        </w:rPr>
        <w:t>4.58%</w:t>
      </w:r>
      <w:r w:rsidRPr="00022584">
        <w:rPr>
          <w:caps/>
        </w:rPr>
        <w:t xml:space="preserve"> compared with FY2024-25. Net profit increased by approximately </w:t>
      </w:r>
      <w:r w:rsidRPr="00022584">
        <w:rPr>
          <w:b/>
          <w:bCs/>
          <w:caps/>
        </w:rPr>
        <w:t>1.35%</w:t>
      </w:r>
      <w:r w:rsidRPr="00022584">
        <w:rPr>
          <w:caps/>
        </w:rPr>
        <w:t xml:space="preserve">. The net profit margin of </w:t>
      </w:r>
      <w:r w:rsidRPr="00022584">
        <w:rPr>
          <w:b/>
          <w:bCs/>
          <w:caps/>
        </w:rPr>
        <w:t>18.52%</w:t>
      </w:r>
      <w:r w:rsidRPr="00022584">
        <w:rPr>
          <w:caps/>
        </w:rPr>
        <w:t xml:space="preserve"> indicates that TCS generated approximately ₹18.52 of profit for every ₹100 of revenue.</w:t>
      </w:r>
    </w:p>
    <w:p w14:paraId="42E583ED" w14:textId="77777777" w:rsidR="00022584" w:rsidRPr="00022584" w:rsidRDefault="00022584" w:rsidP="00022584">
      <w:pPr>
        <w:rPr>
          <w:caps/>
        </w:rPr>
      </w:pPr>
      <w:r w:rsidRPr="00022584">
        <w:rPr>
          <w:caps/>
        </w:rPr>
        <w:t xml:space="preserve">The current ratio of </w:t>
      </w:r>
      <w:r w:rsidRPr="00022584">
        <w:rPr>
          <w:b/>
          <w:bCs/>
          <w:caps/>
        </w:rPr>
        <w:t>2.23</w:t>
      </w:r>
      <w:r w:rsidRPr="00022584">
        <w:rPr>
          <w:caps/>
        </w:rPr>
        <w:t xml:space="preserve"> means that the company had approximately ₹2.23 of current assets for every ₹1 of current liabilities.</w:t>
      </w:r>
    </w:p>
    <w:p w14:paraId="7A02EFFD" w14:textId="77777777" w:rsidR="00022584" w:rsidRPr="00022584" w:rsidRDefault="00022584" w:rsidP="00022584">
      <w:pPr>
        <w:rPr>
          <w:caps/>
        </w:rPr>
      </w:pPr>
      <w:r w:rsidRPr="00022584">
        <w:rPr>
          <w:caps/>
        </w:rPr>
        <w:pict w14:anchorId="23082575">
          <v:rect id="_x0000_i1065" style="width:0;height:1.5pt" o:hralign="center" o:hrstd="t" o:hr="t" fillcolor="#a0a0a0" stroked="f"/>
        </w:pict>
      </w:r>
    </w:p>
    <w:p w14:paraId="5DBDB565" w14:textId="77777777" w:rsidR="00022584" w:rsidRPr="00022584" w:rsidRDefault="00022584" w:rsidP="00022584">
      <w:pPr>
        <w:rPr>
          <w:b/>
          <w:bCs/>
          <w:caps/>
        </w:rPr>
      </w:pPr>
      <w:r w:rsidRPr="00022584">
        <w:rPr>
          <w:b/>
          <w:bCs/>
          <w:caps/>
        </w:rPr>
        <w:t>5. Cash Flow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1369"/>
      </w:tblGrid>
      <w:tr w:rsidR="00022584" w:rsidRPr="00022584" w14:paraId="4DD35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4C087" w14:textId="77777777" w:rsidR="00022584" w:rsidRPr="00022584" w:rsidRDefault="00022584" w:rsidP="00022584">
            <w:pPr>
              <w:rPr>
                <w:b/>
                <w:bCs/>
                <w:caps/>
              </w:rPr>
            </w:pPr>
            <w:r w:rsidRPr="00022584">
              <w:rPr>
                <w:b/>
                <w:bCs/>
                <w:cap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FBAD6E8" w14:textId="77777777" w:rsidR="00022584" w:rsidRPr="00022584" w:rsidRDefault="00022584" w:rsidP="00022584">
            <w:pPr>
              <w:rPr>
                <w:b/>
                <w:bCs/>
                <w:caps/>
              </w:rPr>
            </w:pPr>
            <w:r w:rsidRPr="00022584">
              <w:rPr>
                <w:b/>
                <w:bCs/>
                <w:caps/>
              </w:rPr>
              <w:t>FY2025-26</w:t>
            </w:r>
          </w:p>
        </w:tc>
      </w:tr>
      <w:tr w:rsidR="00022584" w:rsidRPr="00022584" w14:paraId="53B9C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B75E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Operating Cash Flow</w:t>
            </w:r>
          </w:p>
        </w:tc>
        <w:tc>
          <w:tcPr>
            <w:tcW w:w="0" w:type="auto"/>
            <w:vAlign w:val="center"/>
            <w:hideMark/>
          </w:tcPr>
          <w:p w14:paraId="4276697D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b/>
                <w:bCs/>
                <w:caps/>
              </w:rPr>
              <w:t>₹52,094 Cr</w:t>
            </w:r>
          </w:p>
        </w:tc>
      </w:tr>
      <w:tr w:rsidR="00022584" w:rsidRPr="00022584" w14:paraId="199C9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10B5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Investing Cash Flow</w:t>
            </w:r>
          </w:p>
        </w:tc>
        <w:tc>
          <w:tcPr>
            <w:tcW w:w="0" w:type="auto"/>
            <w:vAlign w:val="center"/>
            <w:hideMark/>
          </w:tcPr>
          <w:p w14:paraId="6EA3B67C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b/>
                <w:bCs/>
                <w:caps/>
              </w:rPr>
              <w:t>-₹12,845 Cr</w:t>
            </w:r>
          </w:p>
        </w:tc>
      </w:tr>
      <w:tr w:rsidR="00022584" w:rsidRPr="00022584" w14:paraId="6D37E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932D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Financing Cash Flow</w:t>
            </w:r>
          </w:p>
        </w:tc>
        <w:tc>
          <w:tcPr>
            <w:tcW w:w="0" w:type="auto"/>
            <w:vAlign w:val="center"/>
            <w:hideMark/>
          </w:tcPr>
          <w:p w14:paraId="7425E7BB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b/>
                <w:bCs/>
                <w:caps/>
              </w:rPr>
              <w:t>-₹42,133 Cr</w:t>
            </w:r>
          </w:p>
        </w:tc>
      </w:tr>
      <w:tr w:rsidR="00022584" w:rsidRPr="00022584" w14:paraId="0EA7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E1DD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caps/>
              </w:rPr>
              <w:t>Closing Cash &amp; Cash Equivalents</w:t>
            </w:r>
          </w:p>
        </w:tc>
        <w:tc>
          <w:tcPr>
            <w:tcW w:w="0" w:type="auto"/>
            <w:vAlign w:val="center"/>
            <w:hideMark/>
          </w:tcPr>
          <w:p w14:paraId="568D8804" w14:textId="77777777" w:rsidR="00022584" w:rsidRPr="00022584" w:rsidRDefault="00022584" w:rsidP="00022584">
            <w:pPr>
              <w:rPr>
                <w:caps/>
              </w:rPr>
            </w:pPr>
            <w:r w:rsidRPr="00022584">
              <w:rPr>
                <w:b/>
                <w:bCs/>
                <w:caps/>
              </w:rPr>
              <w:t>₹6,417 Cr</w:t>
            </w:r>
          </w:p>
        </w:tc>
      </w:tr>
    </w:tbl>
    <w:p w14:paraId="5B1B60D1" w14:textId="77777777" w:rsidR="00022584" w:rsidRPr="00022584" w:rsidRDefault="00022584" w:rsidP="00022584">
      <w:pPr>
        <w:rPr>
          <w:caps/>
        </w:rPr>
      </w:pPr>
      <w:r w:rsidRPr="00022584">
        <w:rPr>
          <w:caps/>
        </w:rPr>
        <w:lastRenderedPageBreak/>
        <w:t xml:space="preserve">TCS generated ₹52,094 crore from operating activities. Investing activities resulted in a ₹12,845 crore cash outflow, while financing activities resulted in a ₹42,133 crore cash outflow. The financing outflow included ₹39,437 crore of dividends paid. </w:t>
      </w:r>
    </w:p>
    <w:p w14:paraId="445E2B29" w14:textId="77777777" w:rsidR="00022584" w:rsidRPr="00022584" w:rsidRDefault="00022584" w:rsidP="00022584">
      <w:pPr>
        <w:rPr>
          <w:caps/>
        </w:rPr>
      </w:pPr>
      <w:r w:rsidRPr="00022584">
        <w:rPr>
          <w:caps/>
        </w:rPr>
        <w:pict w14:anchorId="0A91B83A">
          <v:rect id="_x0000_i1066" style="width:0;height:1.5pt" o:hralign="center" o:hrstd="t" o:hr="t" fillcolor="#a0a0a0" stroked="f"/>
        </w:pict>
      </w:r>
    </w:p>
    <w:p w14:paraId="6BAA99AF" w14:textId="77777777" w:rsidR="00022584" w:rsidRPr="00022584" w:rsidRDefault="00022584" w:rsidP="00022584">
      <w:pPr>
        <w:rPr>
          <w:b/>
          <w:bCs/>
          <w:caps/>
        </w:rPr>
      </w:pPr>
      <w:r w:rsidRPr="00022584">
        <w:rPr>
          <w:b/>
          <w:bCs/>
          <w:caps/>
        </w:rPr>
        <w:t>6. Overall Conclusion</w:t>
      </w:r>
    </w:p>
    <w:p w14:paraId="0AD6CDF5" w14:textId="77777777" w:rsidR="00022584" w:rsidRPr="00022584" w:rsidRDefault="00022584" w:rsidP="00022584">
      <w:pPr>
        <w:rPr>
          <w:caps/>
        </w:rPr>
      </w:pPr>
      <w:r w:rsidRPr="00022584">
        <w:rPr>
          <w:caps/>
        </w:rPr>
        <w:t>TCS demonstrated moderate revenue growth during FY2025-26, with revenue increasing by 4.58% and profit for the year increasing by approximately 1.35%. The company maintained a net profit margin of 18.52% and a current ratio of 2.23. Operating activities generated strong positive cash flow of ₹52,094 crore, while investing and financing activities resulted in cash outflows. This analysis demonstrates how financial statements and basic financial ratios can be used to understand a listed company's financial performance.</w:t>
      </w:r>
    </w:p>
    <w:p w14:paraId="0DC83151" w14:textId="77777777" w:rsidR="005F24CC" w:rsidRPr="00022584" w:rsidRDefault="005F24CC">
      <w:pPr>
        <w:rPr>
          <w:caps/>
        </w:rPr>
      </w:pPr>
    </w:p>
    <w:sectPr w:rsidR="005F24CC" w:rsidRPr="00022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84"/>
    <w:rsid w:val="00022584"/>
    <w:rsid w:val="00457492"/>
    <w:rsid w:val="004D3B2B"/>
    <w:rsid w:val="005C30D0"/>
    <w:rsid w:val="005F24CC"/>
    <w:rsid w:val="00BA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9628"/>
  <w15:chartTrackingRefBased/>
  <w15:docId w15:val="{59138945-7870-4F32-9785-AAE32D27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harsha vardhan</cp:lastModifiedBy>
  <cp:revision>1</cp:revision>
  <dcterms:created xsi:type="dcterms:W3CDTF">2026-08-17T11:42:00Z</dcterms:created>
  <dcterms:modified xsi:type="dcterms:W3CDTF">2026-08-17T11:47:00Z</dcterms:modified>
</cp:coreProperties>
</file>