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4EE66" w14:textId="63FABF03" w:rsidR="009636AF" w:rsidRDefault="00135DC9">
      <w:r>
        <w:t>Anna Drake</w:t>
      </w:r>
    </w:p>
    <w:p w14:paraId="0B662A26" w14:textId="5D54202C" w:rsidR="00135DC9" w:rsidRDefault="00135DC9">
      <w:r>
        <w:t>American Healthcare</w:t>
      </w:r>
    </w:p>
    <w:p w14:paraId="175935B2" w14:textId="067D96AD" w:rsidR="00135DC9" w:rsidRDefault="00135DC9">
      <w:r>
        <w:t>Week 10 – Public Health</w:t>
      </w:r>
    </w:p>
    <w:p w14:paraId="6FB596C0" w14:textId="77777777" w:rsidR="00135DC9" w:rsidRDefault="00135DC9"/>
    <w:p w14:paraId="5AD3060F" w14:textId="2FAAC9FC" w:rsidR="00135DC9" w:rsidRDefault="00161A06">
      <w:pPr>
        <w:rPr>
          <w:i/>
          <w:iCs/>
        </w:rPr>
      </w:pPr>
      <w:r w:rsidRPr="00161A06">
        <w:rPr>
          <w:i/>
          <w:iCs/>
        </w:rPr>
        <w:t xml:space="preserve">Read the Executive Summary </w:t>
      </w:r>
      <w:proofErr w:type="gramStart"/>
      <w:r w:rsidRPr="00161A06">
        <w:rPr>
          <w:i/>
          <w:iCs/>
        </w:rPr>
        <w:t>describing</w:t>
      </w:r>
      <w:proofErr w:type="gramEnd"/>
      <w:r w:rsidRPr="00161A06">
        <w:rPr>
          <w:i/>
          <w:iCs/>
        </w:rPr>
        <w:t xml:space="preserve"> the Core Attributes of a Robust Public Health System. Next: choose ONE Attribute that you consider </w:t>
      </w:r>
      <w:proofErr w:type="gramStart"/>
      <w:r w:rsidRPr="00161A06">
        <w:rPr>
          <w:i/>
          <w:iCs/>
        </w:rPr>
        <w:t>to have</w:t>
      </w:r>
      <w:proofErr w:type="gramEnd"/>
      <w:r w:rsidRPr="00161A06">
        <w:rPr>
          <w:i/>
          <w:iCs/>
        </w:rPr>
        <w:t xml:space="preserve"> great importance. In Assignments: Identify at least two milestones in reaching successful outcomes for the Core Attribute of your choice. Why did you choose this area of focus? Additional information is available within the full Blueprint report. You may use this to help form your analysis. Supply one additional resource that supports your position. Describe your interest in this Attribute and how you envision your future ability to impact this choice. Be sure to cite your sources.</w:t>
      </w:r>
    </w:p>
    <w:p w14:paraId="3DE63A69" w14:textId="77777777" w:rsidR="000402B1" w:rsidRDefault="000402B1" w:rsidP="00E06142"/>
    <w:p w14:paraId="6A86B61C" w14:textId="6669412C" w:rsidR="000402B1" w:rsidRPr="000402B1" w:rsidRDefault="000402B1" w:rsidP="000402B1">
      <w:r w:rsidRPr="000402B1">
        <w:t>I selected the core attribute of </w:t>
      </w:r>
      <w:r w:rsidRPr="000402B1">
        <w:rPr>
          <w:i/>
          <w:iCs/>
        </w:rPr>
        <w:t>policy development and support</w:t>
      </w:r>
      <w:r w:rsidRPr="000402B1">
        <w:t xml:space="preserve"> because effective policy is the most powerful instrument for shaping population health, particularly through its influence on the non-medical </w:t>
      </w:r>
      <w:r>
        <w:t xml:space="preserve">(social) </w:t>
      </w:r>
      <w:r w:rsidRPr="000402B1">
        <w:t>determinants of health such as housing affordability, nutrition quality, family supports, transportation, and work</w:t>
      </w:r>
      <w:r w:rsidR="003D568D">
        <w:t>-l</w:t>
      </w:r>
      <w:r w:rsidRPr="000402B1">
        <w:t xml:space="preserve">ife balance. While clinical care treats illness, policy determines whether people live in conditions that allow them to avoid illness in the first place. The Trust for America’s Health Blueprint </w:t>
      </w:r>
      <w:r w:rsidR="003D568D">
        <w:t xml:space="preserve">(2024) </w:t>
      </w:r>
      <w:r w:rsidRPr="000402B1">
        <w:t>emphasizes that strong public health systems must be able to “create, champion, and implement” policies that address these foundational conditions</w:t>
      </w:r>
      <w:r w:rsidR="003D568D">
        <w:t xml:space="preserve">. </w:t>
      </w:r>
      <w:r w:rsidR="003D568D" w:rsidRPr="003D568D">
        <w:t>My interest in this attribute is reinforced by what I</w:t>
      </w:r>
      <w:r w:rsidR="003D568D">
        <w:t xml:space="preserve"> ha</w:t>
      </w:r>
      <w:r w:rsidR="003D568D" w:rsidRPr="003D568D">
        <w:t xml:space="preserve">ve </w:t>
      </w:r>
      <w:r w:rsidR="003D568D">
        <w:t>experienced living, traveling, and volunteering as a nurse</w:t>
      </w:r>
      <w:r w:rsidR="003D568D" w:rsidRPr="003D568D">
        <w:t xml:space="preserve"> in </w:t>
      </w:r>
      <w:r w:rsidR="003D568D">
        <w:t xml:space="preserve">many </w:t>
      </w:r>
      <w:r w:rsidR="003D568D" w:rsidRPr="003D568D">
        <w:t>different countries</w:t>
      </w:r>
      <w:r w:rsidR="003D568D">
        <w:t>,</w:t>
      </w:r>
      <w:r w:rsidR="003D568D" w:rsidRPr="003D568D">
        <w:t xml:space="preserve"> </w:t>
      </w:r>
      <w:r w:rsidR="003D568D">
        <w:t>observing</w:t>
      </w:r>
      <w:r w:rsidR="003D568D" w:rsidRPr="003D568D">
        <w:t xml:space="preserve"> how their policy environment</w:t>
      </w:r>
      <w:r w:rsidR="003D568D">
        <w:t>s</w:t>
      </w:r>
      <w:r w:rsidR="00DA2F53">
        <w:t xml:space="preserve"> – </w:t>
      </w:r>
      <w:r w:rsidR="003D568D" w:rsidRPr="003D568D">
        <w:t>the rules and supports that govern everyday life</w:t>
      </w:r>
      <w:r w:rsidR="00DA2F53">
        <w:t xml:space="preserve"> – </w:t>
      </w:r>
      <w:r w:rsidR="003D568D" w:rsidRPr="003D568D">
        <w:t>directly influence stress, health, and quality of life.</w:t>
      </w:r>
      <w:r w:rsidR="003D568D">
        <w:t xml:space="preserve"> Having lived and raised a family in </w:t>
      </w:r>
      <w:r w:rsidRPr="000402B1">
        <w:t xml:space="preserve">Germany </w:t>
      </w:r>
      <w:r w:rsidR="003D568D">
        <w:t xml:space="preserve">for </w:t>
      </w:r>
      <w:r w:rsidR="00DA2F53">
        <w:t>five</w:t>
      </w:r>
      <w:r w:rsidR="003D568D">
        <w:t xml:space="preserve"> years, this country</w:t>
      </w:r>
      <w:r w:rsidR="0000242A">
        <w:t xml:space="preserve"> stands</w:t>
      </w:r>
      <w:r w:rsidRPr="000402B1">
        <w:t xml:space="preserve"> out as a model for how social policy can systematically reduce chronic stress, promote family stability, improve nutrition, and create a high baseline of well-being at a national scale (Smock, Bakari, &amp; Scott, n.d.).</w:t>
      </w:r>
    </w:p>
    <w:p w14:paraId="4D054CDA" w14:textId="64003A8D" w:rsidR="000402B1" w:rsidRPr="000402B1" w:rsidRDefault="000402B1" w:rsidP="000402B1">
      <w:r w:rsidRPr="000402B1">
        <w:t>Germany has a deeply embedded, multi-layered network of family-supportive policies that illustrate what this core public health attribute can achieve. First, parents are entitled to up to three years of job-protected parental leave (</w:t>
      </w:r>
      <w:proofErr w:type="spellStart"/>
      <w:r w:rsidRPr="000402B1">
        <w:t>Elternzeit</w:t>
      </w:r>
      <w:proofErr w:type="spellEnd"/>
      <w:r w:rsidRPr="000402B1">
        <w:t xml:space="preserve">) per child, which can be shared between mothers and fathers in flexible blocks until the child’s third birthday. During part of this leave, families receive </w:t>
      </w:r>
      <w:proofErr w:type="spellStart"/>
      <w:r w:rsidRPr="000402B1">
        <w:t>Elterngeld</w:t>
      </w:r>
      <w:proofErr w:type="spellEnd"/>
      <w:r w:rsidRPr="000402B1">
        <w:t xml:space="preserve">, a wage-replacement benefit that pays 65–67% of a parent's income for up to 12–14 months, with extensions for shared parenting and low-income households. These policies not only reduce financial stress during early parenthood but also promote bonding, reduce postpartum complications, and normalize </w:t>
      </w:r>
      <w:r w:rsidRPr="000402B1">
        <w:lastRenderedPageBreak/>
        <w:t>paternal involvement in caregiving</w:t>
      </w:r>
      <w:r w:rsidR="00475024">
        <w:t xml:space="preserve">, </w:t>
      </w:r>
      <w:r w:rsidRPr="000402B1">
        <w:t xml:space="preserve">demonstrating how policy can shape health trajectories in the earliest stages of life (Artiga &amp; Hinton, 2018). Complementing these policies is </w:t>
      </w:r>
      <w:proofErr w:type="spellStart"/>
      <w:r w:rsidRPr="000402B1">
        <w:t>Kindergeld</w:t>
      </w:r>
      <w:proofErr w:type="spellEnd"/>
      <w:r w:rsidRPr="000402B1">
        <w:t>, a universal monthly child allowance that helps families cover the routine costs of raising children, reinforcing a cultural message that children are a social good and that all families deserve support.</w:t>
      </w:r>
    </w:p>
    <w:p w14:paraId="5F622AA0" w14:textId="72F15BC7" w:rsidR="000402B1" w:rsidRPr="000402B1" w:rsidRDefault="000402B1" w:rsidP="000402B1">
      <w:r w:rsidRPr="000402B1">
        <w:t>Germany also invests in high-quality early childhood education and childcare (Kitas), which are heavily subsidized, capped in cost, and designed around developmental, nutritional, and social support principles. Because early childcare is affordable and accessible, parents face less economic pressure, and children benefit from stable, structured early learning environments. The country also has strong worker protections, including generous paid vacation, with many workers receiving 25</w:t>
      </w:r>
      <w:r w:rsidR="00475024">
        <w:t>-</w:t>
      </w:r>
      <w:r w:rsidRPr="000402B1">
        <w:t>30 days per year</w:t>
      </w:r>
      <w:r w:rsidR="00475024">
        <w:t xml:space="preserve">, </w:t>
      </w:r>
      <w:r w:rsidRPr="000402B1">
        <w:t>far above the American norm</w:t>
      </w:r>
      <w:r w:rsidR="00475024">
        <w:t xml:space="preserve">, </w:t>
      </w:r>
      <w:r w:rsidRPr="000402B1">
        <w:t>reflecting a culture that values downtime, family time, and low work-stress living (Trust for America’s Health, 2024). Schools also observe regular breaks, reducing stress for both students and families. These norms reflect a broader cultural philosophy that rest, family time, and leisure are essential components of health rather than optional luxuries.</w:t>
      </w:r>
    </w:p>
    <w:p w14:paraId="540A1763" w14:textId="6E9FB6F6" w:rsidR="000402B1" w:rsidRPr="000402B1" w:rsidRDefault="000402B1" w:rsidP="000402B1">
      <w:r w:rsidRPr="000402B1">
        <w:t>Nutrition is another area where Germany excels through both cultural norms and national standards. School food is often cooked on-site or catered using the DGE-</w:t>
      </w:r>
      <w:proofErr w:type="spellStart"/>
      <w:r w:rsidRPr="000402B1">
        <w:t>Qualitätsstandard</w:t>
      </w:r>
      <w:proofErr w:type="spellEnd"/>
      <w:r w:rsidRPr="000402B1">
        <w:t>, which emphasizes whole foods, seasonal vegetables, lean proteins, fish, soups, and minimally processed ingredients. This approach cultivates lifelong healthy eating patterns and reduces childhood obesity and related chronic diseases (Artiga &amp; Hinton, 2018). Food is generally affordable in Germany, supported by regulated markets, strong consumer protections, and subsidized staples. Housing and transportation are also comparatively affordable, with nationwide policies that regulate rent increases, limit exploitative pricing, and maintain efficient public transit systems. These factors combine to reduce financial strain</w:t>
      </w:r>
      <w:r w:rsidR="00BC491D">
        <w:t xml:space="preserve"> – </w:t>
      </w:r>
      <w:r w:rsidRPr="000402B1">
        <w:t>one of the strongest predictors of long-term health outcomes.</w:t>
      </w:r>
    </w:p>
    <w:p w14:paraId="223013F2" w14:textId="439DE43D" w:rsidR="000402B1" w:rsidRPr="000402B1" w:rsidRDefault="000402B1" w:rsidP="000402B1">
      <w:r w:rsidRPr="000402B1">
        <w:t xml:space="preserve">Additionally, wellness is woven into the cultural fabric. Germany has a long tradition of therapeutic and preventive health practices, including thermal spas, saunas, nature bathing, and state-supported preventative care, many of which are reimbursed or subsidized by insurance plans as part of preventive health (“Kur”) benefits. This reflects a cultural and governmental understanding that chronic stress is a health risk and that supporting physical and emotional restoration is a legitimate public health intervention (Smock et al., n.d.). These examples illustrate why policy development and support is such a crucial core attribute: it enables public health systems to shape the broader social conditions that determine quality of life. Policies can increase material security, reduce chronic stress, and create environments that make healthy choices accessible and </w:t>
      </w:r>
      <w:r w:rsidRPr="000402B1">
        <w:lastRenderedPageBreak/>
        <w:t>normal</w:t>
      </w:r>
      <w:r w:rsidR="00BC491D">
        <w:t xml:space="preserve">, </w:t>
      </w:r>
      <w:r w:rsidRPr="000402B1">
        <w:t>not burdensome. In my future work as a nurse leader and advocate, I hope to contribute to policy initiatives that move the U.S. closer to these standards, particularly in maternal health, family support, housing, nutrition, and community wellness. By leveraging clinical experience, nonprofit leadership, and the ability to build partnerships across sectors, I aim to push for policies that meaningfully improve the structural determinants of health, especially for vulnerable families</w:t>
      </w:r>
      <w:r w:rsidR="00BC491D">
        <w:t>.</w:t>
      </w:r>
    </w:p>
    <w:p w14:paraId="62C98323" w14:textId="77777777" w:rsidR="000402B1" w:rsidRDefault="000402B1" w:rsidP="00E06142"/>
    <w:p w14:paraId="1E5BE794" w14:textId="6195763F" w:rsidR="00E06142" w:rsidRPr="00E06142" w:rsidRDefault="00E06142" w:rsidP="00E06142">
      <w:r w:rsidRPr="00E06142">
        <w:t>References</w:t>
      </w:r>
    </w:p>
    <w:p w14:paraId="76433115" w14:textId="37C9081B" w:rsidR="00E06142" w:rsidRDefault="00E06142" w:rsidP="00E06142">
      <w:pPr>
        <w:spacing w:after="0"/>
      </w:pPr>
      <w:r w:rsidRPr="00E06142">
        <w:t>Artiga, S., &amp; Hinton, E. (2018). </w:t>
      </w:r>
      <w:r w:rsidRPr="00E06142">
        <w:rPr>
          <w:i/>
          <w:iCs/>
        </w:rPr>
        <w:t>Beyond health care: The role of social determinants in promoting health and health equity</w:t>
      </w:r>
      <w:r w:rsidR="00337B0C">
        <w:t xml:space="preserve">. </w:t>
      </w:r>
      <w:r w:rsidRPr="00E06142">
        <w:t>Kaiser Family Foundation</w:t>
      </w:r>
      <w:r>
        <w:t>.</w:t>
      </w:r>
    </w:p>
    <w:p w14:paraId="46CFC93F" w14:textId="35422642" w:rsidR="00E06142" w:rsidRPr="00E06142" w:rsidRDefault="00E06142" w:rsidP="00E06142">
      <w:pPr>
        <w:spacing w:after="0"/>
      </w:pPr>
      <w:hyperlink r:id="rId4" w:history="1">
        <w:r w:rsidRPr="00E06142">
          <w:rPr>
            <w:rStyle w:val="Hyperlink"/>
          </w:rPr>
          <w:t>https://collections.nlm.nih.gov/master/borndig/101740257/issue-brief-beyond-health-care.pdf</w:t>
        </w:r>
      </w:hyperlink>
    </w:p>
    <w:p w14:paraId="2C683D5F" w14:textId="2A039344" w:rsidR="00E06142" w:rsidRDefault="00E06142" w:rsidP="00E06142">
      <w:pPr>
        <w:spacing w:after="0"/>
      </w:pPr>
    </w:p>
    <w:p w14:paraId="71DC7039" w14:textId="0BBEC81E" w:rsidR="00337B0C" w:rsidRDefault="00337B0C" w:rsidP="00E06142">
      <w:pPr>
        <w:spacing w:after="0"/>
      </w:pPr>
      <w:r w:rsidRPr="00337B0C">
        <w:t>Smock, C. R., Bakari, M., &amp; Scott, K. (n.d.). </w:t>
      </w:r>
      <w:r w:rsidRPr="00337B0C">
        <w:rPr>
          <w:i/>
          <w:iCs/>
        </w:rPr>
        <w:t>Public health, prevention, &amp; wellness</w:t>
      </w:r>
      <w:r w:rsidRPr="00337B0C">
        <w:t>. In T. A. Clobes (Ed.), </w:t>
      </w:r>
      <w:r w:rsidRPr="00337B0C">
        <w:rPr>
          <w:i/>
          <w:iCs/>
        </w:rPr>
        <w:t>Introduction to the U.S. healthcare system</w:t>
      </w:r>
      <w:r w:rsidRPr="00337B0C">
        <w:t> (2nd ed.). Pressbooks. </w:t>
      </w:r>
    </w:p>
    <w:p w14:paraId="330F0C37" w14:textId="51BA0D6B" w:rsidR="00337B0C" w:rsidRDefault="00337B0C" w:rsidP="00E06142">
      <w:pPr>
        <w:spacing w:after="0"/>
      </w:pPr>
      <w:hyperlink r:id="rId5" w:history="1">
        <w:r w:rsidRPr="00866E39">
          <w:rPr>
            <w:rStyle w:val="Hyperlink"/>
          </w:rPr>
          <w:t>https://pressbooks.calstate.edu/ushealthcaresystem2ndedition/chapter/__unknown__-4/</w:t>
        </w:r>
      </w:hyperlink>
    </w:p>
    <w:p w14:paraId="2DB39123" w14:textId="77777777" w:rsidR="00E06142" w:rsidRDefault="00E06142" w:rsidP="00E06142">
      <w:pPr>
        <w:spacing w:after="0"/>
      </w:pPr>
    </w:p>
    <w:p w14:paraId="360723EE" w14:textId="617AE99D" w:rsidR="00E06142" w:rsidRPr="00E06142" w:rsidRDefault="00E06142" w:rsidP="00337B0C">
      <w:pPr>
        <w:spacing w:after="0"/>
      </w:pPr>
      <w:r w:rsidRPr="00E06142">
        <w:t>Trust for America’s Health. (2024). </w:t>
      </w:r>
      <w:r w:rsidRPr="00E06142">
        <w:rPr>
          <w:i/>
          <w:iCs/>
        </w:rPr>
        <w:t xml:space="preserve">Pathway to a </w:t>
      </w:r>
      <w:r>
        <w:rPr>
          <w:i/>
          <w:iCs/>
        </w:rPr>
        <w:t>h</w:t>
      </w:r>
      <w:r w:rsidRPr="00E06142">
        <w:rPr>
          <w:i/>
          <w:iCs/>
        </w:rPr>
        <w:t>ealthier America:</w:t>
      </w:r>
      <w:r>
        <w:t xml:space="preserve"> </w:t>
      </w:r>
      <w:r w:rsidRPr="00E06142">
        <w:rPr>
          <w:i/>
          <w:iCs/>
        </w:rPr>
        <w:t xml:space="preserve">A </w:t>
      </w:r>
      <w:r>
        <w:rPr>
          <w:i/>
          <w:iCs/>
        </w:rPr>
        <w:t>b</w:t>
      </w:r>
      <w:r w:rsidRPr="00E06142">
        <w:rPr>
          <w:i/>
          <w:iCs/>
        </w:rPr>
        <w:t>lueprint for strengthening public health for the next administration and Congress</w:t>
      </w:r>
      <w:r>
        <w:rPr>
          <w:i/>
          <w:iCs/>
        </w:rPr>
        <w:t xml:space="preserve">. </w:t>
      </w:r>
    </w:p>
    <w:p w14:paraId="1DE3620B" w14:textId="45503FA0" w:rsidR="00161A06" w:rsidRDefault="00337B0C">
      <w:hyperlink r:id="rId6" w:history="1">
        <w:r w:rsidRPr="00866E39">
          <w:rPr>
            <w:rStyle w:val="Hyperlink"/>
          </w:rPr>
          <w:t>https://www.tfah.org/wp-content/uploads/2024/10/TFAH-2024-Blueprint-FINALr.pdf</w:t>
        </w:r>
      </w:hyperlink>
    </w:p>
    <w:p w14:paraId="13AD04DA" w14:textId="77777777" w:rsidR="00337B0C" w:rsidRPr="00E06142" w:rsidRDefault="00337B0C"/>
    <w:p w14:paraId="04CF21BF" w14:textId="77777777" w:rsidR="00161A06" w:rsidRPr="00161A06" w:rsidRDefault="00161A06"/>
    <w:sectPr w:rsidR="00161A06" w:rsidRPr="00161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C9"/>
    <w:rsid w:val="0000242A"/>
    <w:rsid w:val="000402B1"/>
    <w:rsid w:val="00063168"/>
    <w:rsid w:val="001264AC"/>
    <w:rsid w:val="00135DC9"/>
    <w:rsid w:val="00161A06"/>
    <w:rsid w:val="002A2EA0"/>
    <w:rsid w:val="00337B0C"/>
    <w:rsid w:val="003D568D"/>
    <w:rsid w:val="00475024"/>
    <w:rsid w:val="00483A64"/>
    <w:rsid w:val="004D452C"/>
    <w:rsid w:val="009636AF"/>
    <w:rsid w:val="00B96621"/>
    <w:rsid w:val="00BA78D6"/>
    <w:rsid w:val="00BC491D"/>
    <w:rsid w:val="00CC5FF2"/>
    <w:rsid w:val="00DA2F53"/>
    <w:rsid w:val="00E06142"/>
    <w:rsid w:val="00E53127"/>
    <w:rsid w:val="00F06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EC3D"/>
  <w15:chartTrackingRefBased/>
  <w15:docId w15:val="{0B43D913-2130-4B43-A381-1875C1F7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DC9"/>
    <w:rPr>
      <w:rFonts w:eastAsiaTheme="majorEastAsia" w:cstheme="majorBidi"/>
      <w:color w:val="272727" w:themeColor="text1" w:themeTint="D8"/>
    </w:rPr>
  </w:style>
  <w:style w:type="paragraph" w:styleId="Title">
    <w:name w:val="Title"/>
    <w:basedOn w:val="Normal"/>
    <w:next w:val="Normal"/>
    <w:link w:val="TitleChar"/>
    <w:uiPriority w:val="10"/>
    <w:qFormat/>
    <w:rsid w:val="00135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DC9"/>
    <w:pPr>
      <w:spacing w:before="160"/>
      <w:jc w:val="center"/>
    </w:pPr>
    <w:rPr>
      <w:i/>
      <w:iCs/>
      <w:color w:val="404040" w:themeColor="text1" w:themeTint="BF"/>
    </w:rPr>
  </w:style>
  <w:style w:type="character" w:customStyle="1" w:styleId="QuoteChar">
    <w:name w:val="Quote Char"/>
    <w:basedOn w:val="DefaultParagraphFont"/>
    <w:link w:val="Quote"/>
    <w:uiPriority w:val="29"/>
    <w:rsid w:val="00135DC9"/>
    <w:rPr>
      <w:i/>
      <w:iCs/>
      <w:color w:val="404040" w:themeColor="text1" w:themeTint="BF"/>
    </w:rPr>
  </w:style>
  <w:style w:type="paragraph" w:styleId="ListParagraph">
    <w:name w:val="List Paragraph"/>
    <w:basedOn w:val="Normal"/>
    <w:uiPriority w:val="34"/>
    <w:qFormat/>
    <w:rsid w:val="00135DC9"/>
    <w:pPr>
      <w:ind w:left="720"/>
      <w:contextualSpacing/>
    </w:pPr>
  </w:style>
  <w:style w:type="character" w:styleId="IntenseEmphasis">
    <w:name w:val="Intense Emphasis"/>
    <w:basedOn w:val="DefaultParagraphFont"/>
    <w:uiPriority w:val="21"/>
    <w:qFormat/>
    <w:rsid w:val="00135DC9"/>
    <w:rPr>
      <w:i/>
      <w:iCs/>
      <w:color w:val="0F4761" w:themeColor="accent1" w:themeShade="BF"/>
    </w:rPr>
  </w:style>
  <w:style w:type="paragraph" w:styleId="IntenseQuote">
    <w:name w:val="Intense Quote"/>
    <w:basedOn w:val="Normal"/>
    <w:next w:val="Normal"/>
    <w:link w:val="IntenseQuoteChar"/>
    <w:uiPriority w:val="30"/>
    <w:qFormat/>
    <w:rsid w:val="00135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DC9"/>
    <w:rPr>
      <w:i/>
      <w:iCs/>
      <w:color w:val="0F4761" w:themeColor="accent1" w:themeShade="BF"/>
    </w:rPr>
  </w:style>
  <w:style w:type="character" w:styleId="IntenseReference">
    <w:name w:val="Intense Reference"/>
    <w:basedOn w:val="DefaultParagraphFont"/>
    <w:uiPriority w:val="32"/>
    <w:qFormat/>
    <w:rsid w:val="00135DC9"/>
    <w:rPr>
      <w:b/>
      <w:bCs/>
      <w:smallCaps/>
      <w:color w:val="0F4761" w:themeColor="accent1" w:themeShade="BF"/>
      <w:spacing w:val="5"/>
    </w:rPr>
  </w:style>
  <w:style w:type="character" w:styleId="Hyperlink">
    <w:name w:val="Hyperlink"/>
    <w:basedOn w:val="DefaultParagraphFont"/>
    <w:uiPriority w:val="99"/>
    <w:unhideWhenUsed/>
    <w:rsid w:val="00E06142"/>
    <w:rPr>
      <w:color w:val="467886" w:themeColor="hyperlink"/>
      <w:u w:val="single"/>
    </w:rPr>
  </w:style>
  <w:style w:type="character" w:styleId="UnresolvedMention">
    <w:name w:val="Unresolved Mention"/>
    <w:basedOn w:val="DefaultParagraphFont"/>
    <w:uiPriority w:val="99"/>
    <w:semiHidden/>
    <w:unhideWhenUsed/>
    <w:rsid w:val="00E06142"/>
    <w:rPr>
      <w:color w:val="605E5C"/>
      <w:shd w:val="clear" w:color="auto" w:fill="E1DFDD"/>
    </w:rPr>
  </w:style>
  <w:style w:type="character" w:styleId="FollowedHyperlink">
    <w:name w:val="FollowedHyperlink"/>
    <w:basedOn w:val="DefaultParagraphFont"/>
    <w:uiPriority w:val="99"/>
    <w:semiHidden/>
    <w:unhideWhenUsed/>
    <w:rsid w:val="00E061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fah.org/wp-content/uploads/2024/10/TFAH-2024-Blueprint-FINALr.pdf" TargetMode="External"/><Relationship Id="rId5" Type="http://schemas.openxmlformats.org/officeDocument/2006/relationships/hyperlink" Target="https://pressbooks.calstate.edu/ushealthcaresystem2ndedition/chapter/__unknown__-4/" TargetMode="External"/><Relationship Id="rId4" Type="http://schemas.openxmlformats.org/officeDocument/2006/relationships/hyperlink" Target="https://collections.nlm.nih.gov/master/borndig/101740257/issue-brief-beyond-health-ca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Drake</dc:creator>
  <cp:keywords/>
  <dc:description/>
  <cp:lastModifiedBy>Anna Drake</cp:lastModifiedBy>
  <cp:revision>5</cp:revision>
  <dcterms:created xsi:type="dcterms:W3CDTF">2025-11-16T19:50:00Z</dcterms:created>
  <dcterms:modified xsi:type="dcterms:W3CDTF">2025-11-17T02:20:00Z</dcterms:modified>
</cp:coreProperties>
</file>