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retrospective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After the second sprint we have noted the following issues: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still hard to accurately determine what issues that will need to be in the backlog. Issues are often discovered when you first encounter them.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issues gets added to the active sprint backlog during the sprint. This is considered necessary to be able to complete other issues during the active sprint.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Compared to the last sprint we are happy with: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Story point estimation is more precise.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new “Testing” column  in Jira removsapes the need to mark a task as done even though it might need some work later 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work load seems more evenly distributed.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getting more specific and predicting more issues when making the sprint backload.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next sprint we will start doing: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 to be even more precise and look further ahead when making the sprint backlog.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Project Software Engineering</w:t>
      <w:tab/>
      <w:t xml:space="preserve">Group 19</w:t>
      <w:tab/>
      <w:t xml:space="preserve">30-Sep-16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