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ТЕСТОВОЕ ЗАДАНИЕ ГЕЙМДИЗАЙНЕР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1.ОПИСАНИЕ ФУНКЦИОНАЛА SOLITAIRE CRUISE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структуры игрового уровня: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  <w:sectPr>
          <w:pgSz w:h="11909" w:w="16834" w:orient="landscape"/>
          <w:pgMar w:bottom="1440.0000000000002" w:top="1440.0000000000002" w:left="1440.0000000000002" w:right="1440.0000000000002" w:header="720" w:footer="720"/>
          <w:pgNumType w:start="1"/>
        </w:sectPr>
      </w:pPr>
      <w:r w:rsidDel="00000000" w:rsidR="00000000" w:rsidRPr="00000000">
        <w:rPr/>
        <w:drawing>
          <wp:inline distB="114300" distT="114300" distL="114300" distR="114300">
            <wp:extent cx="6673533" cy="4312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3533" cy="431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функционала при помощи блок-схем: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  <w:sectPr>
          <w:type w:val="nextPage"/>
          <w:pgSz w:h="16834" w:w="11909" w:orient="portrait"/>
          <w:pgMar w:bottom="1440.0000000000002" w:top="1440.0000000000002" w:left="1440.0000000000002" w:right="1440.0000000000002" w:header="720" w:footer="720"/>
        </w:sectPr>
      </w:pPr>
      <w:r w:rsidDel="00000000" w:rsidR="00000000" w:rsidRPr="00000000">
        <w:rPr/>
        <w:drawing>
          <wp:inline distB="114300" distT="114300" distL="114300" distR="114300">
            <wp:extent cx="4119563" cy="811038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8110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ПРИДУМАТЬ ВАРИАНТ ГЕЙМПЛЕЯ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Использование тематики </w:t>
      </w:r>
      <w:r w:rsidDel="00000000" w:rsidR="00000000" w:rsidRPr="00000000">
        <w:rPr>
          <w:u w:val="single"/>
          <w:rtl w:val="0"/>
        </w:rPr>
        <w:t xml:space="preserve">произведения искусств великих художников</w:t>
      </w:r>
      <w:r w:rsidDel="00000000" w:rsidR="00000000" w:rsidRPr="00000000">
        <w:rPr>
          <w:rtl w:val="0"/>
        </w:rPr>
        <w:t xml:space="preserve">: Моне, Вангог, Пикассо, Дали и др. Создание сюжетной линии, которая постепенно знакомит нас с творчеством каждого из художников (посещая их виртуальные галереи), дополнение основной игры мини-заданиями с сбором пазлов картин, раскрашивании картин за дополнительные бонусы. Посещение каждой из галереи оплачивается монетами, которые получает игрок за прохождение уровней и выполнении мини-задач.</w:t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