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5750"/>
        <w:gridCol w:w="2362"/>
        <w:gridCol w:w="278"/>
      </w:tblGrid>
      <w:tr>
        <w:trPr>
          <w:trHeight w:val="79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8390" w:h="1795" w:wrap="none" w:hAnchor="page" w:x="6" w:y="1"/>
              <w:widowControl w:val="0"/>
              <w:shd w:val="clear" w:color="auto" w:fill="auto"/>
              <w:tabs>
                <w:tab w:pos="2448" w:val="left"/>
              </w:tabs>
              <w:bidi w:val="0"/>
              <w:spacing w:before="0" w:after="0" w:line="240" w:lineRule="auto"/>
              <w:ind w:left="0" w:right="0" w:firstLine="0"/>
              <w:jc w:val="right"/>
              <w:rPr>
                <w:sz w:val="104"/>
                <w:szCs w:val="104"/>
              </w:rPr>
            </w:pPr>
            <w:r>
              <w:rPr>
                <w:rFonts w:ascii="Times New Roman" w:eastAsia="Times New Roman" w:hAnsi="Times New Roman" w:cs="Times New Roman"/>
                <w:color w:val="F89F49"/>
                <w:spacing w:val="0"/>
                <w:w w:val="100"/>
                <w:position w:val="0"/>
                <w:sz w:val="104"/>
                <w:szCs w:val="104"/>
                <w:shd w:val="clear" w:color="auto" w:fill="auto"/>
                <w:lang w:val="pt-BR" w:eastAsia="pt-BR" w:bidi="pt-BR"/>
              </w:rPr>
              <w:t>\</w:t>
              <w:tab/>
              <w:t>—u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framePr w:w="8390" w:h="1795" w:wrap="none" w:hAnchor="page" w:x="6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04"/>
                <w:szCs w:val="104"/>
              </w:rPr>
            </w:pPr>
            <w:r>
              <w:rPr>
                <w:rFonts w:ascii="Times New Roman" w:eastAsia="Times New Roman" w:hAnsi="Times New Roman" w:cs="Times New Roman"/>
                <w:color w:val="FEDFB0"/>
                <w:spacing w:val="0"/>
                <w:w w:val="100"/>
                <w:position w:val="0"/>
                <w:sz w:val="104"/>
                <w:szCs w:val="104"/>
                <w:shd w:val="clear" w:color="auto" w:fill="auto"/>
                <w:lang w:val="pt-BR" w:eastAsia="pt-BR" w:bidi="pt-BR"/>
              </w:rPr>
              <w:t>/ í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390" w:h="1795" w:wrap="none" w:hAnchor="page" w:x="6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9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8390" w:h="1795" w:wrap="none" w:hAnchor="page" w:x="6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390" w:h="1795" w:wrap="none" w:hAnchor="page" w:x="6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390" w:h="1795" w:wrap="none" w:hAnchor="page" w:x="6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8390" w:h="1795" w:wrap="none" w:hAnchor="page" w:x="6" w:y="1"/>
        <w:widowControl w:val="0"/>
        <w:spacing w:line="1" w:lineRule="exact"/>
      </w:pPr>
    </w:p>
    <w:p>
      <w:pPr>
        <w:framePr w:w="91" w:h="120" w:wrap="none" w:hAnchor="page" w:x="7686" w:y="1763"/>
        <w:widowControl w:val="0"/>
      </w:pPr>
    </w:p>
    <w:tbl>
      <w:tblPr>
        <w:tblOverlap w:val="never"/>
        <w:jc w:val="left"/>
        <w:tblLayout w:type="fixed"/>
      </w:tblPr>
      <w:tblGrid>
        <w:gridCol w:w="3979"/>
        <w:gridCol w:w="806"/>
        <w:gridCol w:w="806"/>
      </w:tblGrid>
      <w:tr>
        <w:trPr>
          <w:trHeight w:val="893" w:hRule="exact"/>
        </w:trPr>
        <w:tc>
          <w:tcPr>
            <w:gridSpan w:val="3"/>
            <w:tcBorders>
              <w:top w:val="single" w:sz="4"/>
            </w:tcBorders>
            <w:shd w:val="clear" w:color="auto" w:fill="B7E0CE"/>
            <w:vAlign w:val="bottom"/>
          </w:tcPr>
          <w:p>
            <w:pPr>
              <w:pStyle w:val="Style7"/>
              <w:keepNext w:val="0"/>
              <w:keepLines w:val="0"/>
              <w:framePr w:w="5592" w:h="3590" w:wrap="none" w:hAnchor="page" w:x="831" w:y="23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40"/>
              <w:jc w:val="left"/>
              <w:rPr>
                <w:sz w:val="82"/>
                <w:szCs w:val="82"/>
              </w:rPr>
            </w:pPr>
            <w:r>
              <w:rPr>
                <w:rFonts w:ascii="Lucida Sans Unicode" w:eastAsia="Lucida Sans Unicode" w:hAnsi="Lucida Sans Unicode" w:cs="Lucida Sans Unicode"/>
                <w:spacing w:val="0"/>
                <w:w w:val="100"/>
                <w:position w:val="0"/>
                <w:sz w:val="82"/>
                <w:szCs w:val="82"/>
                <w:shd w:val="clear" w:color="auto" w:fill="auto"/>
                <w:lang w:val="pt-BR" w:eastAsia="pt-BR" w:bidi="pt-BR"/>
              </w:rPr>
              <w:t>contratação</w:t>
            </w:r>
          </w:p>
        </w:tc>
      </w:tr>
      <w:tr>
        <w:trPr>
          <w:trHeight w:val="902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B7E0CE"/>
            <w:vAlign w:val="bottom"/>
          </w:tcPr>
          <w:p>
            <w:pPr>
              <w:pStyle w:val="Style7"/>
              <w:keepNext w:val="0"/>
              <w:keepLines w:val="0"/>
              <w:framePr w:w="5592" w:h="3590" w:wrap="none" w:hAnchor="page" w:x="831" w:y="23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82"/>
                <w:szCs w:val="82"/>
              </w:rPr>
            </w:pPr>
            <w:r>
              <w:rPr>
                <w:rFonts w:ascii="Lucida Sans Unicode" w:eastAsia="Lucida Sans Unicode" w:hAnsi="Lucida Sans Unicode" w:cs="Lucida Sans Unicode"/>
                <w:spacing w:val="0"/>
                <w:w w:val="100"/>
                <w:position w:val="0"/>
                <w:sz w:val="82"/>
                <w:szCs w:val="82"/>
                <w:shd w:val="clear" w:color="auto" w:fill="auto"/>
                <w:lang w:val="pt-BR" w:eastAsia="pt-BR" w:bidi="pt-BR"/>
              </w:rPr>
              <w:t>de pessoas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592" w:h="3590" w:wrap="none" w:hAnchor="page" w:x="831" w:y="2396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17" w:hRule="exact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B7E0CE"/>
            <w:vAlign w:val="bottom"/>
          </w:tcPr>
          <w:p>
            <w:pPr>
              <w:pStyle w:val="Style7"/>
              <w:keepNext w:val="0"/>
              <w:keepLines w:val="0"/>
              <w:framePr w:w="5592" w:h="3590" w:wrap="none" w:hAnchor="page" w:x="831" w:y="23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sz w:val="82"/>
                <w:szCs w:val="82"/>
              </w:rPr>
            </w:pPr>
            <w:r>
              <w:rPr>
                <w:rFonts w:ascii="Lucida Sans Unicode" w:eastAsia="Lucida Sans Unicode" w:hAnsi="Lucida Sans Unicode" w:cs="Lucida Sans Unicode"/>
                <w:spacing w:val="0"/>
                <w:w w:val="100"/>
                <w:position w:val="0"/>
                <w:sz w:val="82"/>
                <w:szCs w:val="82"/>
                <w:shd w:val="clear" w:color="auto" w:fill="auto"/>
                <w:lang w:val="pt-BR" w:eastAsia="pt-BR" w:bidi="pt-BR"/>
              </w:rPr>
              <w:t>refugiadas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5592" w:h="3590" w:wrap="none" w:hAnchor="page" w:x="831" w:y="2396"/>
            </w:pPr>
          </w:p>
        </w:tc>
      </w:tr>
      <w:tr>
        <w:trPr>
          <w:trHeight w:val="878" w:hRule="exact"/>
        </w:trPr>
        <w:tc>
          <w:tcPr>
            <w:tcBorders>
              <w:top w:val="single" w:sz="4"/>
              <w:bottom w:val="single" w:sz="4"/>
            </w:tcBorders>
            <w:shd w:val="clear" w:color="auto" w:fill="B7E0CE"/>
            <w:vAlign w:val="bottom"/>
          </w:tcPr>
          <w:p>
            <w:pPr>
              <w:pStyle w:val="Style7"/>
              <w:keepNext w:val="0"/>
              <w:keepLines w:val="0"/>
              <w:framePr w:w="5592" w:h="3590" w:wrap="none" w:hAnchor="page" w:x="831" w:y="2396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80"/>
              <w:jc w:val="left"/>
              <w:rPr>
                <w:sz w:val="82"/>
                <w:szCs w:val="82"/>
              </w:rPr>
            </w:pPr>
            <w:r>
              <w:rPr>
                <w:rFonts w:ascii="Lucida Sans Unicode" w:eastAsia="Lucida Sans Unicode" w:hAnsi="Lucida Sans Unicode" w:cs="Lucida Sans Unicode"/>
                <w:spacing w:val="0"/>
                <w:w w:val="100"/>
                <w:position w:val="0"/>
                <w:sz w:val="82"/>
                <w:szCs w:val="82"/>
                <w:shd w:val="clear" w:color="auto" w:fill="auto"/>
                <w:lang w:val="pt-BR" w:eastAsia="pt-BR" w:bidi="pt-BR"/>
              </w:rPr>
              <w:t>no BRasn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5592" w:h="3590" w:wrap="none" w:hAnchor="page" w:x="831" w:y="2396"/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framePr w:w="5592" w:h="3590" w:wrap="none" w:hAnchor="page" w:x="831" w:y="2396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592" w:h="3590" w:wrap="none" w:hAnchor="page" w:x="831" w:y="2396"/>
        <w:widowControl w:val="0"/>
        <w:spacing w:line="1" w:lineRule="exact"/>
      </w:pPr>
    </w:p>
    <w:p>
      <w:pPr>
        <w:framePr w:w="82" w:h="115" w:wrap="none" w:hAnchor="page" w:x="7566" w:y="5703"/>
        <w:widowControl w:val="0"/>
      </w:pPr>
    </w:p>
    <w:p>
      <w:pPr>
        <w:pStyle w:val="Style12"/>
        <w:keepNext w:val="0"/>
        <w:keepLines w:val="0"/>
        <w:framePr w:w="91" w:h="173" w:wrap="none" w:hAnchor="page" w:x="7571" w:y="60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8"/>
          <w:szCs w:val="8"/>
        </w:rPr>
      </w:pPr>
      <w:r>
        <w:rPr>
          <w:b/>
          <w:bCs/>
          <w:color w:val="FEC481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>I</w:t>
      </w:r>
    </w:p>
    <w:p>
      <w:pPr>
        <w:widowControl w:val="0"/>
        <w:spacing w:line="360" w:lineRule="exact"/>
      </w:pPr>
      <w:r>
        <w:drawing>
          <wp:anchor distT="115570" distB="0" distL="0" distR="0" simplePos="0" relativeHeight="62914690" behindDoc="1" locked="0" layoutInCell="1" allowOverlap="1">
            <wp:simplePos x="0" y="0"/>
            <wp:positionH relativeFrom="page">
              <wp:posOffset>3175</wp:posOffset>
            </wp:positionH>
            <wp:positionV relativeFrom="margin">
              <wp:posOffset>3968115</wp:posOffset>
            </wp:positionV>
            <wp:extent cx="5327650" cy="313944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5327650" cy="3139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9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0" w:left="5" w:right="5" w:bottom="0" w:header="0" w:footer="3" w:gutter="0"/>
          <w:pgNumType w:start="1"/>
          <w:cols w:space="720"/>
          <w:noEndnote/>
          <w:rtlGutter w:val="0"/>
          <w:docGrid w:linePitch="360"/>
        </w:sectPr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691" behindDoc="1" locked="0" layoutInCell="1" allowOverlap="1">
            <wp:simplePos x="0" y="0"/>
            <wp:positionH relativeFrom="page">
              <wp:posOffset>3175</wp:posOffset>
            </wp:positionH>
            <wp:positionV relativeFrom="margin">
              <wp:posOffset>0</wp:posOffset>
            </wp:positionV>
            <wp:extent cx="5327650" cy="1024255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5327650" cy="10242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3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8400" w:h="11900"/>
          <w:pgMar w:top="0" w:left="5" w:right="5" w:bottom="2066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3175</wp:posOffset>
            </wp:positionH>
            <wp:positionV relativeFrom="paragraph">
              <wp:posOffset>441960</wp:posOffset>
            </wp:positionV>
            <wp:extent cx="4004945" cy="1304290"/>
            <wp:wrapTopAndBottom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4004945" cy="13042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0" w:left="989" w:right="960" w:bottom="2066" w:header="0" w:footer="3" w:gutter="0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contratação De pessoas reFugiADAS no Brasil:</w:t>
        <w:br/>
      </w:r>
      <w:r>
        <w:rPr>
          <w:smallCaps/>
          <w:spacing w:val="0"/>
          <w:w w:val="100"/>
          <w:position w:val="0"/>
          <w:shd w:val="clear" w:color="auto" w:fill="auto"/>
          <w:lang w:val="pt-BR" w:eastAsia="pt-BR" w:bidi="pt-BR"/>
        </w:rPr>
        <w:t>dados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e perguntas Frequentes</w:t>
      </w:r>
      <w:bookmarkEnd w:id="0"/>
      <w:bookmarkEnd w:id="1"/>
    </w:p>
    <w:p>
      <w:pPr>
        <w:widowControl w:val="0"/>
        <w:spacing w:line="234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8400" w:h="11900"/>
          <w:pgMar w:top="0" w:left="0" w:right="0" w:bottom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No Brasil, historicamente, foram acolhidas como refugiadas 10.145 pessoas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footnoteReference w:id="2"/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 xml:space="preserve"> 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footnoteReference w:id="3"/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 xml:space="preserve"> 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footnoteReference w:id="4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, provenientes de países como Síria, República Democrática do Congo, Colômbia , Palestina e Pa</w:t>
        <w:softHyphen/>
        <w:t>quistão - por meio de solicitação de refúgio deferida, por reunião familiar e por reassentamento. Além da situ</w:t>
        <w:softHyphen/>
        <w:t>ação de grave e generalizada violação de direitos humanos, fundamentaram seu reconhecimento como refugia</w:t>
        <w:softHyphen/>
        <w:t>das as situações de perseguição re</w:t>
        <w:softHyphen/>
        <w:t>lacionadas a raça, religião, naciona</w:t>
        <w:softHyphen/>
        <w:t xml:space="preserve">lidade, pertencimento a determinado grupo social ou opinião política, com base na Convenção das Nações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Uni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das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de 1951 e em seu Protocolo de 1967 sobre o Estatuto dos Refugia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dos, refletidos no Brasil pela Lei n° 9.474/97. A maior parte das pesso</w:t>
        <w:softHyphen/>
        <w:t>as que solicitam reconhecimento da condição de refugiado no Brasil é do gênero masculino, mas as mulheres compõem a maioria das pessoas a quem é estendida a condição de refu</w:t>
        <w:softHyphen/>
        <w:t>giado por meio de reunião familiar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2,3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8400" w:h="11900"/>
          <w:pgMar w:top="0" w:left="989" w:right="984" w:bottom="0" w:header="0" w:footer="3" w:gutter="0"/>
          <w:cols w:num="2" w:space="153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Em 2017, foram registradas 33.866 novas solicitações de reconhe</w:t>
        <w:softHyphen/>
        <w:t>cimento da condição de refugiado, das quais, 17.865 foram protocoladas por pessoas nacionais da Venezuela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footnoteReference w:id="5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, con</w:t>
        <w:softHyphen/>
        <w:t>centradas, principalmente, no esta</w:t>
        <w:softHyphen/>
        <w:t>do de Roraima. O Estado de Roraima, em 2017, registrou o maior número de solicitações de reconhecimento da condição de refugiado, 47% do total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5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.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8400" w:h="11900"/>
          <w:pgMar w:top="0" w:left="989" w:right="984" w:bottom="0" w:header="0" w:footer="3" w:gutter="0"/>
          <w:cols w:num="2" w:space="153"/>
          <w:noEndnote/>
          <w:rtlGutter w:val="0"/>
          <w:docGrid w:linePitch="360"/>
        </w:sectPr>
      </w:pP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2.</w:t>
      </w:r>
      <w:bookmarkEnd w:id="2"/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center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pgSz w:w="8400" w:h="11900"/>
          <w:pgMar w:top="1585" w:left="989" w:right="984" w:bottom="203" w:header="0" w:footer="3" w:gutter="0"/>
          <w:cols w:space="720"/>
          <w:noEndnote/>
          <w:rtlGutter w:val="0"/>
          <w:docGrid w:linePitch="360"/>
        </w:sectPr>
      </w:pPr>
      <w:bookmarkStart w:id="3" w:name="bookmark3"/>
      <w:bookmarkStart w:id="4" w:name="bookmark4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Direito ao traBalho</w:t>
      </w:r>
      <w:bookmarkEnd w:id="3"/>
      <w:bookmarkEnd w:id="4"/>
    </w:p>
    <w:p>
      <w:pPr>
        <w:widowControl w:val="0"/>
        <w:spacing w:line="200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8400" w:h="11900"/>
          <w:pgMar w:top="1585" w:left="0" w:right="0" w:bottom="203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ordenamento jurídico brasilei</w:t>
        <w:softHyphen/>
        <w:t>ro garante o acesso aos direitos tra</w:t>
        <w:softHyphen/>
        <w:t>balhistas a pessoas em condição de refúgio, em consonância com o dis</w:t>
        <w:softHyphen/>
        <w:t xml:space="preserve">posto na Convenção de das Nações Unidas de 1951. Assim como os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bra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sileiros,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os refugiados e solicitantes de refúgio podem obter Carteira de Trabalho e Previdência Social (CTPS) e, portanto, podem trabalhar regular</w:t>
        <w:softHyphen/>
        <w:t>mente no país.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Quando uma pessoa requer o reconhecimento da condição de re</w:t>
        <w:softHyphen/>
        <w:t xml:space="preserve">fugiado em unidade da Polícia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Fede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ral,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essa instituição é encarregada de emitir o Protocolo de Solicitação de Refúgio, o primeiro documento de identificação que o solicitante de refú</w:t>
        <w:softHyphen/>
        <w:t xml:space="preserve">gio recebe no Brasil. Esse documento é válido em todo o território nacional e comprova que seu portador está no país em situação regular. É a posse do Protocolo que permite ao solicitante de refúgio a expedição da CTPS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des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sua chegada ao país. Embora esses documentos tenham validade inicial de um ano, serão renovados durante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todo o período em que o solicitante aguarda a decisão do seu processo, sem qualquer prejuízo ao seu </w:t>
      </w:r>
      <w:r>
        <w:rPr>
          <w:i/>
          <w:iCs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status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regular no país.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decisão do processo de refú</w:t>
        <w:softHyphen/>
        <w:t>gio é de competência do CONARE e tem caráter declaratório. Assim, a de</w:t>
        <w:softHyphen/>
        <w:t>cisão pelo reconhecimento como re</w:t>
        <w:softHyphen/>
        <w:t>fugiado garante a emissão da Carteira de Registro Nacional Migratório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6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(an- tigo Registro Nacional de Estrangeiro - RNE), que passa a ser o documento do refugiado no Brasil.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Finalmente, ainda que o reconhe</w:t>
        <w:softHyphen/>
        <w:t>cimento da condição de refugiado seja negado em primeira instância pelo CO- NARE, há a possibilidade de recurso ao Ministério da Justiça. Neste caso, enquanto espera a decisão de recurso, o solicitante de refúgio permanece em condição jurídica regular, incluindo a observância de seu direito ao trabalho.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80"/>
        <w:jc w:val="both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8400" w:h="11900"/>
          <w:pgMar w:top="1585" w:left="989" w:right="984" w:bottom="203" w:header="0" w:footer="3" w:gutter="0"/>
          <w:cols w:num="2" w:space="153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Segundo o Decreto n° 9.277/18, a partir de 1° de outubro de 2018, após a solicitação de refúgio, a pessoa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solicitan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te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também receberá o Documento Pro</w:t>
        <w:softHyphen/>
        <w:t>visório de Registro Nacional Migratório.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7" w:after="8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8400" w:h="11900"/>
          <w:pgMar w:top="1379" w:left="0" w:right="0" w:bottom="408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  <w:rPr>
          <w:sz w:val="11"/>
          <w:szCs w:val="11"/>
        </w:rPr>
      </w:pPr>
      <w:r>
        <w:rPr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portugues/wp-content/uploads/2018/04/refugio-em-numeros_1104.pdf&gt;. Acesso em: 13 de abril de 2018.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74" w:val="left"/>
        </w:tabs>
        <w:bidi w:val="0"/>
        <w:spacing w:before="0" w:after="0" w:line="264" w:lineRule="auto"/>
        <w:ind w:left="0" w:right="0" w:firstLine="0"/>
        <w:jc w:val="left"/>
        <w:rPr>
          <w:sz w:val="11"/>
          <w:szCs w:val="11"/>
        </w:rPr>
      </w:pPr>
      <w:r>
        <w:rPr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SECRETARIA NACIONAL DE JUSTIÇA. Refúgio em números - 3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S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 xml:space="preserve">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 xml:space="preserve">Edição. Disponível em: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&lt;</w:t>
      </w:r>
      <w:r>
        <w:fldChar w:fldCharType="begin"/>
      </w:r>
      <w:r>
        <w:rPr/>
        <w:instrText> HYPERLINK "http://www.acnur.org/portugues/wp-content/uploads/2018/04/refugio-em-numeros_1104.pdf" </w:instrText>
      </w:r>
      <w:r>
        <w:fldChar w:fldCharType="separate"/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http://www.acnur.org/portugues/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wp-content/uploads/2018/04/refugio-em-numeros_1104.pdf</w:t>
      </w:r>
      <w:r>
        <w:fldChar w:fldCharType="end"/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&gt;. Acesso em: 13 de abril de 2018.</w:t>
      </w:r>
    </w:p>
    <w:p>
      <w:pPr>
        <w:pStyle w:val="Style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78" w:val="left"/>
        </w:tabs>
        <w:bidi w:val="0"/>
        <w:spacing w:before="0" w:after="0" w:line="264" w:lineRule="auto"/>
        <w:ind w:left="0" w:right="0" w:firstLine="0"/>
        <w:jc w:val="left"/>
        <w:rPr>
          <w:sz w:val="11"/>
          <w:szCs w:val="11"/>
        </w:rPr>
      </w:pPr>
      <w:r>
        <w:rPr>
          <w:spacing w:val="0"/>
          <w:w w:val="100"/>
          <w:position w:val="0"/>
          <w:sz w:val="11"/>
          <w:szCs w:val="11"/>
          <w:shd w:val="clear" w:color="auto" w:fill="auto"/>
          <w:lang w:val="pt-BR" w:eastAsia="pt-BR" w:bidi="pt-BR"/>
        </w:rPr>
        <w:t>O termo “Carteira de Registro Nacional Migratório”, documento de identificação pessoal das pessoas imigrantes e refugiadas no Brasil, está previsto no Decreto n° 9.199, de 20 de novembro de 2017, que regulamenta a nova lei de migração,. n° 13.445, de 24 de maio de 2017. Essa lei entrou em vigor em novembro de 2017. Na “Carteira de Registro Nacional Migratório” consta o enquadramento jurídico da pessoa com base na lei de refúgio n. 9474/1997. Estse documento substitui, assim, o antigo Registro Nacional de Estrangeiro - RNE.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5" w:name="bookmark5"/>
      <w:r>
        <w:rPr>
          <w:spacing w:val="0"/>
          <w:w w:val="100"/>
          <w:position w:val="0"/>
          <w:shd w:val="clear" w:color="auto" w:fill="auto"/>
        </w:rPr>
        <w:t>3.</w:t>
      </w:r>
      <w:bookmarkEnd w:id="5"/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190" w:lineRule="auto"/>
        <w:ind w:left="0" w:right="0" w:firstLine="0"/>
        <w:jc w:val="center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8400" w:h="11900"/>
          <w:pgMar w:top="1379" w:left="988" w:right="981" w:bottom="408" w:header="0" w:footer="3" w:gutter="0"/>
          <w:cols w:space="720"/>
          <w:noEndnote/>
          <w:rtlGutter w:val="0"/>
          <w:docGrid w:linePitch="360"/>
        </w:sectPr>
      </w:pP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Perguntas Frequentes</w:t>
      </w:r>
      <w:bookmarkEnd w:id="6"/>
      <w:bookmarkEnd w:id="7"/>
    </w:p>
    <w:p>
      <w:pPr>
        <w:widowControl w:val="0"/>
        <w:spacing w:line="105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1"/>
            <w:numRestart w:val="continuous"/>
            <w15:footnoteColumns w:val="1"/>
          </w:footnotePr>
          <w:type w:val="continuous"/>
          <w:pgSz w:w="8400" w:h="11900"/>
          <w:pgMar w:top="1176" w:left="0" w:right="0" w:bottom="737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Como funciona a renovação do Protocolo de Solicitação de Refúgio? Caso recebamos um alerta um mês antes da data de vencimento do protocolo, é possível a renovação deste documento?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Em geral, as pessoas pedem a renovação do Protocolo de Solicitação de Refúgio com cerca de uma semana de antecedência, mas não há qualquer problema em fazê-lo um mês antes. O empregador pode orientar 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solici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tante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a comparecer à Polícia Federal, devendo-se verificar a necessidade de agendamento prévio no site da Polícia Federal, e, salvo imprevistos no aten</w:t>
        <w:softHyphen/>
        <w:t xml:space="preserve">dimento desta instituição, no mesmo dia ele deverá ter acesso ao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protoco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lo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renovado. É de responsabilidade do solicitante de refúgio renovar seu protocolo, assim como do refugiado reconhecido renovar sua Carteira de Registro Nacional Migratório.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left"/>
      </w:pPr>
      <w:bookmarkStart w:id="8" w:name="bookmark8"/>
      <w:bookmarkStart w:id="9" w:name="bookmark9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Os refugiados e solicitantes de refú</w:t>
        <w:softHyphen/>
        <w:t>gio podem abrir contas bancárias?</w:t>
      </w:r>
      <w:bookmarkEnd w:id="8"/>
      <w:bookmarkEnd w:id="9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 w:line="319" w:lineRule="auto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Sim, tanto o Protocolo de Soli</w:t>
        <w:softHyphen/>
        <w:t xml:space="preserve">citação de Refúgio como a Carteira de Registro Nacional Migratório são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documentos hábeis para a abertura de contas bancárias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footnoteReference w:id="6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. Apesar disso, o desconhecimento dos agentes ban</w:t>
        <w:softHyphen/>
        <w:t>cários em relação à legislação cor</w:t>
        <w:softHyphen/>
        <w:t>respondente pode resultar em difi</w:t>
        <w:softHyphen/>
        <w:t>culdades. Sugere-se, nesse sentido, que a empresa ofereça uma carta de encaminhamento para a abertura da conta para facilitar os trâmites.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Os refugiados e solicitantes de refúgio podem ser incluídos como jovens aprendizes?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Sim. É inclusive recomendada a inclusão de pessoas refugiadas em programas de jovens aprendizes,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des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de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que estejam devidamente matricu</w:t>
        <w:softHyphen/>
        <w:t>ladas no Ensino Fundamental ou En</w:t>
        <w:softHyphen/>
        <w:t>sino Médio ou que tenham concluído o Ensino Médio.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>Algumas pessoas refugiadas não possuem documentos que comprovem a condição escolar/ acadêmica. Como proceder?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Para a equivalência escolar de ensino médio, o refugiado deve ser orientado a procurar a Diretoria de Ensino de Escolas estaduais da sua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região de residência. A pessoa deve levar um documento de identificação pessoal, seus documentos escolares (pode ser exigida tradução) e compro</w:t>
        <w:softHyphen/>
        <w:t>vante de residência.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No caso do ensino superior, o ACNUR possui um projeto de apoio ao processo de revalidação de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diplo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mas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de graduação de pessoas refu</w:t>
        <w:softHyphen/>
        <w:t xml:space="preserve">giadas em parceria com a organização Compassiva. Contato: revalidacao@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compassiva.org.br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; (11) 94972-5347.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0" w:name="bookmark10"/>
      <w:bookmarkStart w:id="11" w:name="bookmark11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Quais são os benefícios em se contratar um refugiado?</w:t>
      </w:r>
      <w:bookmarkEnd w:id="10"/>
      <w:bookmarkEnd w:id="11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460"/>
        <w:jc w:val="both"/>
        <w:rPr>
          <w:sz w:val="10"/>
          <w:szCs w:val="10"/>
        </w:rPr>
      </w:pPr>
      <w:r>
        <w:rPr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Os benefícios relatados por em</w:t>
        <w:softHyphen/>
        <w:t>presas que promovem atividades para refugiados são múltiplos: melhoria da imagem corporativa, maior enga</w:t>
        <w:softHyphen/>
        <w:t>jamento de funcionários, desenvolvi</w:t>
        <w:softHyphen/>
        <w:t>mento de habilidades de liderança para os funcionários que atuam como men</w:t>
        <w:softHyphen/>
        <w:t xml:space="preserve">tores de refugiados, dentre outros. As empresas relatam que os refugiados contratados trazem diversidade ao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am</w:t>
        <w:softHyphen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biente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 xml:space="preserve"> de trabalho, motivam seus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cole</w:t>
        <w:softHyphen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gas,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 xml:space="preserve"> têm alto comprometimento com suas funções e costumam ficar mais tempo em seus cargos do que os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brasi</w:t>
        <w:softHyphen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de-DE" w:eastAsia="de-DE" w:bidi="de-DE"/>
        </w:rPr>
        <w:t>leiros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 xml:space="preserve"> (menores taxas de rotatividade).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8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2" w:name="bookmark12"/>
      <w:bookmarkStart w:id="13" w:name="bookmark13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que é o Programa de Apoio para</w:t>
      </w:r>
      <w:bookmarkEnd w:id="12"/>
      <w:bookmarkEnd w:id="13"/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4" w:name="bookmark14"/>
      <w:bookmarkStart w:id="15" w:name="bookmark15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Recolocação dos Refugiados (PARR)?</w:t>
      </w:r>
      <w:bookmarkEnd w:id="14"/>
      <w:bookmarkEnd w:id="1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Programa de Apoio para a Re- colocação dos Refugiados (PARR) é um projeto social, sem fins lucrativos, idealizado pela empresa de consulto</w:t>
        <w:softHyphen/>
        <w:t>ria jurídica em migrações EMDOC, com apoio do ACNUR e do Centro de Refe</w:t>
        <w:softHyphen/>
        <w:t>rência para Refugiados da Caritas Ar</w:t>
        <w:softHyphen/>
        <w:t>quidiocesana de São Paulo. Seu objeti</w:t>
        <w:softHyphen/>
        <w:t>vo é promover a inserção de refugiados e solicitantes de refúgio no mercado de trabalho brasileiro. Atua na sensibiliza</w:t>
        <w:softHyphen/>
        <w:t>ção do setor privado, no atendimento de refugiados e de solicitantes de re</w:t>
        <w:softHyphen/>
        <w:t>fúgio e na gestão de um banco de cur</w:t>
        <w:softHyphen/>
        <w:t>rículos, que hoje conta com cerca de 2 mil profissionais cadastrados.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Os dados que o PARR obtém são de caráter pessoal, incluindo informa</w:t>
        <w:softHyphen/>
        <w:t>ções sobre educação, experiências e objetivos profissionais. Além desses dados, o PARR detém uma série de outras informações obtidas por meio do atendimento presencial realizado individualmente com cada candidato cadastrado no programa.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 w:line="324" w:lineRule="auto"/>
        <w:ind w:left="0" w:right="0" w:firstLine="0"/>
        <w:jc w:val="left"/>
      </w:pPr>
      <w:bookmarkStart w:id="16" w:name="bookmark16"/>
      <w:bookmarkStart w:id="17" w:name="bookmark17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Quem é a Fox Time Recursos Humanos?</w:t>
      </w:r>
      <w:bookmarkEnd w:id="16"/>
      <w:bookmarkEnd w:id="17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24" w:lineRule="auto"/>
        <w:ind w:left="0" w:right="0" w:firstLine="460"/>
        <w:jc w:val="both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1176" w:left="985" w:right="978" w:bottom="737" w:header="0" w:footer="3" w:gutter="0"/>
          <w:cols w:num="2" w:space="149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Fox Time é uma consultoria de Recursos Humanos presente no mer-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2" w:after="8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1178" w:left="0" w:right="0" w:bottom="734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64" w:lineRule="auto"/>
        <w:ind w:left="0" w:right="0" w:firstLine="0"/>
        <w:jc w:val="left"/>
        <w:rPr>
          <w:sz w:val="11"/>
          <w:szCs w:val="11"/>
        </w:rPr>
      </w:pPr>
      <w:r>
        <w:rPr>
          <w:spacing w:val="0"/>
          <w:w w:val="100"/>
          <w:position w:val="0"/>
          <w:sz w:val="11"/>
          <w:szCs w:val="11"/>
          <w:shd w:val="clear" w:color="auto" w:fill="auto"/>
          <w:lang w:val="pt-PT" w:eastAsia="pt-PT" w:bidi="pt-PT"/>
        </w:rPr>
        <w:t>públicos no País, tais como: [...] V - Registro Nacional de Estrangeiros (RNE), de que trata a Lei n° 6.815, de 19 de agosto de 1980; VII - Protocolo do Pedido de Refúgio de que trata o art. 21 da Lei n° 9.474, de 22 de julho de 1997;</w:t>
      </w:r>
    </w:p>
    <w:p>
      <w:pPr>
        <w:pStyle w:val="Style7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78" w:val="left"/>
        </w:tabs>
        <w:bidi w:val="0"/>
        <w:spacing w:before="0" w:after="0" w:line="307" w:lineRule="auto"/>
        <w:ind w:left="0" w:right="0" w:firstLine="0"/>
        <w:jc w:val="left"/>
        <w:rPr>
          <w:sz w:val="11"/>
          <w:szCs w:val="11"/>
        </w:rPr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1178" w:left="984" w:right="979" w:bottom="734" w:header="0" w:footer="3" w:gutter="0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1"/>
          <w:szCs w:val="11"/>
          <w:shd w:val="clear" w:color="auto" w:fill="auto"/>
          <w:lang w:val="pt-PT" w:eastAsia="pt-PT" w:bidi="pt-PT"/>
        </w:rPr>
        <w:t>Dados retirados da dissertação de mestrado: “A Integração local dos refugiados no Brasil e os direitos humanos: o papel das empresas”, de autoria de Vanessa Celano Tarantini (Universidade de São Paulo, 2016).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pgSz w:w="8400" w:h="11900"/>
          <w:pgMar w:top="1197" w:left="989" w:right="984" w:bottom="710" w:header="0" w:footer="3" w:gutter="0"/>
          <w:cols w:num="2" w:space="158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cado desde 1995, realizando contra</w:t>
        <w:softHyphen/>
        <w:t xml:space="preserve">tação de pessoal e administração de contratos temporários e terceirizados. Desde 2013 é signatária do Pacto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Glo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bal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da Rede Brasil do Pacto Global da ONU, firmando o compromisso com “Os 10 Princípios”, especialmente nas áreas de Direitos Humanos e de Rela</w:t>
        <w:softHyphen/>
        <w:t>ções de Trabalho. Por entender que tais áreas não podem caminhar sepa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radas, desde 2015, a Foxtime participa do Grupo de Trabalho de Direitos Hu</w:t>
        <w:softHyphen/>
        <w:t xml:space="preserve">manos da Rede Brasil do Pacto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Glo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bal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e, tornou-se parceira estratégica do Empoderando Refugiadas. Neste projeto, realiza sessões de </w:t>
      </w:r>
      <w:r>
        <w:rPr>
          <w:i/>
          <w:iCs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coaching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 </w:t>
      </w:r>
      <w:r>
        <w:rPr>
          <w:i/>
          <w:iCs/>
          <w:spacing w:val="0"/>
          <w:w w:val="100"/>
          <w:position w:val="0"/>
          <w:shd w:val="clear" w:color="auto" w:fill="auto"/>
          <w:lang w:val="pt-BR" w:eastAsia="pt-BR" w:bidi="pt-BR"/>
        </w:rPr>
        <w:t>mentoring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com as mulheres refu</w:t>
        <w:softHyphen/>
        <w:t>giadas, além de preparar um dossiê individual para encaminhamento ao mercado de trabalho.</w:t>
      </w:r>
    </w:p>
    <w:p>
      <w:pPr>
        <w:widowControl w:val="0"/>
        <w:spacing w:line="173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1197" w:left="0" w:right="0" w:bottom="71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1197" w:left="989" w:right="984" w:bottom="710" w:header="0" w:footer="3" w:gutter="0"/>
          <w:cols w:space="720"/>
          <w:noEndnote/>
          <w:rtlGutter w:val="0"/>
          <w:docGrid w:linePitch="360"/>
        </w:sectPr>
      </w:pPr>
      <w:bookmarkStart w:id="18" w:name="bookmark18"/>
      <w:bookmarkStart w:id="19" w:name="bookmark19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4.</w:t>
        <w:br/>
        <w:t>exPeriênCias na</w:t>
        <w:br/>
        <w:t>Contratação De reFugiaDos</w:t>
      </w:r>
      <w:bookmarkEnd w:id="18"/>
      <w:bookmarkEnd w:id="19"/>
    </w:p>
    <w:p>
      <w:pPr>
        <w:widowControl w:val="0"/>
        <w:spacing w:line="158" w:lineRule="exact"/>
        <w:rPr>
          <w:sz w:val="13"/>
          <w:szCs w:val="13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1177" w:left="0" w:right="0" w:bottom="712" w:header="0" w:footer="3" w:gutter="0"/>
          <w:cols w:space="720"/>
          <w:noEndnote/>
          <w:rtlGutter w:val="0"/>
          <w:docGrid w:linePitch="360"/>
        </w:sectPr>
      </w:pP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20" w:name="bookmark20"/>
      <w:bookmarkStart w:id="21" w:name="bookmark21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Lojas Renner</w:t>
      </w:r>
      <w:bookmarkEnd w:id="20"/>
      <w:bookmarkEnd w:id="21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As Lojas Renner assumiram um compromisso em 2015 com a ONU Mu</w:t>
        <w:softHyphen/>
        <w:t>lheres para promover ações com o ob</w:t>
        <w:softHyphen/>
        <w:t>jetivo de empoderar as mulheres em sua cadeia de valor. Neste sentido, e a partir de sua participação no Projeto Empoderando Refugiadas, a empre</w:t>
        <w:softHyphen/>
        <w:t xml:space="preserve">sa criou um grupo de trabalho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inter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para analisar o processo de con</w:t>
        <w:softHyphen/>
        <w:t>tratação de pessoas refugiadas. Este grupo promoveu adequações e novos procedimentos para a contratação de refugiados, sanando eventuais obstá</w:t>
        <w:softHyphen/>
        <w:t>culos, como a falta de documentos de comprovação de escolaridade. Em um ano de projeto, as Lojas Renner e a Ca- micado contrataram cinco refugiados.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Além da contratação direta, o Instituto Lojas Renner ofereceu ati</w:t>
        <w:softHyphen/>
        <w:t xml:space="preserve">vidades de qualificação profissional a mulheres refugiadas. Desde 2016,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foram realizadas quatro turmas de costura industrial e duas turmas de atendimento e vendas para o varejo. As alunas formadas são encaminhadas para processos seletivos nas Lojas da Renner, Camicado e de outras empre</w:t>
        <w:softHyphen/>
        <w:t>sas do grupo.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22" w:name="bookmark22"/>
      <w:bookmarkStart w:id="23" w:name="bookmark23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Sodexo Serviços</w:t>
      </w:r>
      <w:bookmarkEnd w:id="22"/>
      <w:bookmarkEnd w:id="23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diversidade e a inclusão fazem parte da cultura da Sodexo há cerca de 20 anos. A empresa promove ações em cinco pilares: gênero, cultura e origens, gerações, pessoas com deficiência e orientação sexual.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No ano de 2016, a Sodexo iniciou o seu trabalho com a Rede Brasil do Pacto Global e a ONU Mulheres no Pro</w:t>
        <w:softHyphen/>
        <w:t>jeto Empoderando Refugiadas. Desde então, a empresa realizou a contra</w:t>
        <w:softHyphen/>
        <w:t>tação de duas mulheres refugiadas, uma experiência que pretende expan</w:t>
        <w:softHyphen/>
        <w:br w:type="page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dir. Segundo a organização, há um re</w:t>
        <w:softHyphen/>
        <w:t>torno muito positivo das equipes em relação a estas colaboradoras, além de um excelente trabalho entregue. O plano da empresa agora é promover o crescimento profissional e pessoal dessas mulheres.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22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A empresa acredita que a con</w:t>
        <w:softHyphen/>
        <w:t>tratação de mulheres em situação de refúgio gera um benefício não apenas às contratadas, que têm uma oportu</w:t>
        <w:softHyphen/>
        <w:t>nidade de recolocação no mercado de trabalho, mas também para a empre</w:t>
        <w:softHyphen/>
        <w:t>sa, que pode aprender com a nova cul</w:t>
        <w:softHyphen/>
        <w:t>tura e tornar sua equipe mais diversa, produtiva e comprometida.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24" w:name="bookmark24"/>
      <w:bookmarkStart w:id="25" w:name="bookmark25"/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Grupo Carrefour</w:t>
      </w:r>
      <w:bookmarkEnd w:id="24"/>
      <w:bookmarkEnd w:id="25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Em 2012, o Grupo Carrefour lan</w:t>
        <w:softHyphen/>
        <w:t xml:space="preserve">çou o “Programa de Valorização da Diversidade” no Brasil, cujo objetivo foi garantir que todos os funcionários, clientes e parceiros fossem tratados da mesma forma e beneficiados pelas mesmas oportunidades,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independen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te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de raça, gênero, orientação sexual,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nacionalidade etc. O setor de respon</w:t>
        <w:softHyphen/>
        <w:t>sabilidade social e diversidade do Gru</w:t>
        <w:softHyphen/>
        <w:t>po Carrefour no Brasil relatou que a companhia passou a incluir imigrantes e refugiados como um grupo vulnerá</w:t>
        <w:softHyphen/>
        <w:t>vel dentro seu escopo de atuação, em razão das dificuldades que enfrentam para inserção no mercado de trabalho.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1177" w:left="989" w:right="984" w:bottom="712" w:header="0" w:footer="3" w:gutter="0"/>
          <w:cols w:num="2" w:space="158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Desde 2014, a empresa possui parceria com a Missão Paz para a con</w:t>
        <w:softHyphen/>
        <w:t>tratação de imigrantes e refugiados e o oferecimento de cursos, por meio da inclusão no projeto “Conexão Varejo”, que oferece curso de capacitação pro</w:t>
        <w:softHyphen/>
        <w:t>fissional em varejo alimentar. Em 2015, após aproximação com o ACNUR, a empresa ajustou os procedimentos internos de contratação, passando a aceitar o Protocolo de Solicitação de Refúgio como documento válido, além da Carteira de Registro Nacional Mi</w:t>
        <w:softHyphen/>
        <w:t>gratório. A empresa também criou um alerta no sistema de folha de pa</w:t>
        <w:softHyphen/>
        <w:t>gamento para poder acompanhar os prazos de vencimento da documen</w:t>
        <w:softHyphen/>
        <w:t>tação e garantir a devida renovação.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26" w:name="bookmark26"/>
      <w:r>
        <w:rPr>
          <w:spacing w:val="0"/>
          <w:w w:val="100"/>
          <w:position w:val="0"/>
          <w:shd w:val="clear" w:color="auto" w:fill="auto"/>
        </w:rPr>
        <w:t>5.</w:t>
      </w:r>
      <w:bookmarkEnd w:id="26"/>
    </w:p>
    <w:p>
      <w:pPr>
        <w:pStyle w:val="Style15"/>
        <w:keepNext/>
        <w:keepLines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center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977" w:left="989" w:right="984" w:bottom="0" w:header="0" w:footer="3" w:gutter="0"/>
          <w:cols w:space="720"/>
          <w:noEndnote/>
          <w:rtlGutter w:val="0"/>
          <w:docGrid w:linePitch="360"/>
        </w:sectPr>
      </w:pPr>
      <w:bookmarkStart w:id="27" w:name="bookmark27"/>
      <w:bookmarkStart w:id="28" w:name="bookmark28"/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DoCumentos Para reFerênCia</w:t>
      </w:r>
      <w:bookmarkEnd w:id="27"/>
      <w:bookmarkEnd w:id="28"/>
    </w:p>
    <w:p>
      <w:pPr>
        <w:widowControl w:val="0"/>
        <w:spacing w:line="219" w:lineRule="exact"/>
        <w:rPr>
          <w:sz w:val="18"/>
          <w:szCs w:val="1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977" w:left="0" w:right="0" w:bottom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framePr w:w="3408" w:h="571" w:wrap="none" w:vAnchor="text" w:hAnchor="page" w:x="2497" w:y="25"/>
        <w:widowControl w:val="0"/>
        <w:shd w:val="clear" w:color="auto" w:fill="auto"/>
        <w:bidi w:val="0"/>
        <w:spacing w:before="0" w:after="0" w:line="319" w:lineRule="auto"/>
        <w:ind w:left="0" w:right="0" w:firstLine="0"/>
        <w:jc w:val="center"/>
        <w:rPr>
          <w:sz w:val="16"/>
          <w:szCs w:val="16"/>
        </w:rPr>
      </w:pPr>
      <w:r>
        <w:rPr>
          <w:b/>
          <w:bCs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Cartilha do ACNUR sobre contratação</w:t>
        <w:br/>
        <w:t xml:space="preserve">de refugiados: </w:t>
      </w:r>
      <w:r>
        <w:fldChar w:fldCharType="begin"/>
      </w:r>
      <w:r>
        <w:rPr/>
        <w:instrText> HYPERLINK "https://goo.gl/FQmCsa" </w:instrText>
      </w:r>
      <w:r>
        <w:fldChar w:fldCharType="separate"/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pt-BR" w:eastAsia="pt-BR" w:bidi="pt-BR"/>
        </w:rPr>
        <w:t>https://goo.gl/FQmCsa</w:t>
      </w:r>
      <w:r>
        <w:fldChar w:fldCharType="end"/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3175</wp:posOffset>
            </wp:positionH>
            <wp:positionV relativeFrom="paragraph">
              <wp:posOffset>12700</wp:posOffset>
            </wp:positionV>
            <wp:extent cx="1450975" cy="45085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1450975" cy="4508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3" behindDoc="1" locked="0" layoutInCell="1" allowOverlap="1">
            <wp:simplePos x="0" y="0"/>
            <wp:positionH relativeFrom="page">
              <wp:posOffset>3175</wp:posOffset>
            </wp:positionH>
            <wp:positionV relativeFrom="paragraph">
              <wp:posOffset>560705</wp:posOffset>
            </wp:positionV>
            <wp:extent cx="1542415" cy="36830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542415" cy="368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4" behindDoc="1" locked="0" layoutInCell="1" allowOverlap="1">
            <wp:simplePos x="0" y="0"/>
            <wp:positionH relativeFrom="page">
              <wp:posOffset>3175</wp:posOffset>
            </wp:positionH>
            <wp:positionV relativeFrom="paragraph">
              <wp:posOffset>579120</wp:posOffset>
            </wp:positionV>
            <wp:extent cx="3810000" cy="1249680"/>
            <wp:wrapNone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3810000" cy="12496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3913505</wp:posOffset>
            </wp:positionH>
            <wp:positionV relativeFrom="paragraph">
              <wp:posOffset>73025</wp:posOffset>
            </wp:positionV>
            <wp:extent cx="457200" cy="652145"/>
            <wp:wrapNone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457200" cy="6521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4617720</wp:posOffset>
            </wp:positionH>
            <wp:positionV relativeFrom="paragraph">
              <wp:posOffset>12700</wp:posOffset>
            </wp:positionV>
            <wp:extent cx="713105" cy="1828800"/>
            <wp:wrapNone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713105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67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Start w:val="3"/>
            <w:numRestart w:val="continuous"/>
            <w15:footnoteColumns w:val="1"/>
          </w:footnotePr>
          <w:type w:val="continuous"/>
          <w:pgSz w:w="8400" w:h="11900"/>
          <w:pgMar w:top="977" w:left="5" w:right="5" w:bottom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8"/>
        <w:keepNext w:val="0"/>
        <w:keepLines w:val="0"/>
        <w:framePr w:w="6019" w:h="2390" w:wrap="none" w:hAnchor="page" w:x="1191" w:y="55"/>
        <w:widowControl w:val="0"/>
        <w:pBdr>
          <w:top w:val="single" w:sz="0" w:space="14" w:color="B7E0CE"/>
          <w:left w:val="single" w:sz="0" w:space="17" w:color="B7E0CE"/>
          <w:bottom w:val="single" w:sz="0" w:space="14" w:color="B7E0CE"/>
          <w:right w:val="single" w:sz="0" w:space="17" w:color="B7E0CE"/>
        </w:pBdr>
        <w:shd w:val="clear" w:color="auto" w:fill="B7E0CE"/>
        <w:bidi w:val="0"/>
        <w:spacing w:before="0" w:after="0" w:line="312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18"/>
          <w:szCs w:val="18"/>
          <w:shd w:val="clear" w:color="auto" w:fill="auto"/>
          <w:lang w:val="pt-BR" w:eastAsia="pt-BR" w:bidi="pt-BR"/>
        </w:rPr>
        <w:t>o empoderando refugiadas é um projeto coordenado pela rede Brasil do Pacto Global* - por meio de seu Grupo Temático de direi</w:t>
        <w:softHyphen/>
        <w:t xml:space="preserve">tos Humanos e Trabalho -, numa iniciativa conjunta com o acnUr e a onU Mulheres.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O projeto tem os seguintes parceiros estratégi</w:t>
        <w:softHyphen/>
        <w:t xml:space="preserve">cos: Caritas Arquidiocesana de São Paulo, Consulado da Mulher, Fox Time Recursos Humanos, ISAE, Migraflix e Programa de Apoio para a Recolocação dos Refugiados (PARR). Além disso, em suas duas edições, o projeto contou com os seguintes parceiros: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Carre</w:t>
        <w:softHyphen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four,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 EMDOC, Facebook, Itaipu Binacional, Lojas Renner e Sodexo.</w:t>
      </w:r>
    </w:p>
    <w:p>
      <w:pPr>
        <w:pStyle w:val="Style28"/>
        <w:keepNext/>
        <w:keepLines/>
        <w:framePr w:w="2098" w:h="792" w:wrap="none" w:hAnchor="page" w:x="1302" w:y="4063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left"/>
        <w:rPr>
          <w:sz w:val="19"/>
          <w:szCs w:val="19"/>
        </w:rPr>
      </w:pPr>
      <w:bookmarkStart w:id="29" w:name="bookmark29"/>
      <w:bookmarkStart w:id="30" w:name="bookmark30"/>
      <w:r>
        <w:rPr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/M&amp;Vq Pacto Global</w:t>
      </w:r>
      <w:bookmarkEnd w:id="29"/>
      <w:bookmarkEnd w:id="30"/>
    </w:p>
    <w:p>
      <w:pPr>
        <w:pStyle w:val="Style18"/>
        <w:keepNext w:val="0"/>
        <w:keepLines w:val="0"/>
        <w:framePr w:w="2098" w:h="792" w:wrap="none" w:hAnchor="page" w:x="1302" w:y="4063"/>
        <w:widowControl w:val="0"/>
        <w:shd w:val="clear" w:color="auto" w:fill="auto"/>
        <w:bidi w:val="0"/>
        <w:spacing w:before="0" w:after="100" w:line="240" w:lineRule="auto"/>
        <w:ind w:left="0" w:right="0" w:firstLine="860"/>
        <w:jc w:val="left"/>
        <w:rPr>
          <w:sz w:val="18"/>
          <w:szCs w:val="18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pt-BR" w:eastAsia="pt-BR" w:bidi="pt-BR"/>
        </w:rPr>
        <w:t>Rede Brasil</w:t>
      </w:r>
    </w:p>
    <w:p>
      <w:pPr>
        <w:pStyle w:val="Style7"/>
        <w:keepNext w:val="0"/>
        <w:keepLines w:val="0"/>
        <w:framePr w:w="2098" w:h="792" w:wrap="none" w:hAnchor="page" w:x="1302" w:y="4063"/>
        <w:widowControl w:val="0"/>
        <w:shd w:val="clear" w:color="auto" w:fill="auto"/>
        <w:bidi w:val="0"/>
        <w:spacing w:before="0" w:after="60" w:line="240" w:lineRule="auto"/>
        <w:ind w:left="0" w:right="0" w:firstLine="860"/>
        <w:jc w:val="left"/>
        <w:rPr>
          <w:sz w:val="8"/>
          <w:szCs w:val="8"/>
        </w:rPr>
      </w:pP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>(coordenação)</w:t>
      </w:r>
    </w:p>
    <w:p>
      <w:pPr>
        <w:pStyle w:val="Style12"/>
        <w:keepNext w:val="0"/>
        <w:keepLines w:val="0"/>
        <w:framePr w:w="1027" w:h="235" w:wrap="none" w:hAnchor="page" w:x="3716" w:y="368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7"/>
          <w:szCs w:val="17"/>
        </w:rPr>
      </w:pPr>
      <w:r>
        <w:rPr>
          <w:b/>
          <w:bCs/>
          <w:color w:val="143F69"/>
          <w:spacing w:val="0"/>
          <w:w w:val="100"/>
          <w:position w:val="0"/>
          <w:sz w:val="17"/>
          <w:szCs w:val="17"/>
          <w:shd w:val="clear" w:color="auto" w:fill="auto"/>
          <w:lang w:val="pt-BR" w:eastAsia="pt-BR" w:bidi="pt-BR"/>
        </w:rPr>
        <w:t>iNiCiATiVA</w:t>
      </w:r>
    </w:p>
    <w:p>
      <w:pPr>
        <w:pStyle w:val="Style7"/>
        <w:keepNext w:val="0"/>
        <w:keepLines w:val="0"/>
        <w:framePr w:w="1430" w:h="403" w:wrap="none" w:hAnchor="page" w:x="5819" w:y="410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19"/>
          <w:szCs w:val="19"/>
        </w:rPr>
      </w:pPr>
      <w:r>
        <w:rPr>
          <w:b/>
          <w:bCs/>
          <w:color w:val="009FDB"/>
          <w:spacing w:val="0"/>
          <w:w w:val="100"/>
          <w:position w:val="0"/>
          <w:sz w:val="19"/>
          <w:szCs w:val="19"/>
          <w:shd w:val="clear" w:color="auto" w:fill="auto"/>
          <w:lang w:val="pt-PT" w:eastAsia="pt-PT" w:bidi="pt-PT"/>
        </w:rPr>
        <w:t>WONULjií</w:t>
      </w:r>
    </w:p>
    <w:p>
      <w:pPr>
        <w:pStyle w:val="Style7"/>
        <w:keepNext w:val="0"/>
        <w:keepLines w:val="0"/>
        <w:framePr w:w="1430" w:h="403" w:wrap="none" w:hAnchor="page" w:x="5819" w:y="4106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right"/>
        <w:rPr>
          <w:sz w:val="19"/>
          <w:szCs w:val="19"/>
        </w:rPr>
      </w:pPr>
      <w:r>
        <w:rPr>
          <w:b/>
          <w:bCs/>
          <w:color w:val="009FDB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MULHERES</w:t>
      </w:r>
      <w:r>
        <w:rPr>
          <w:b/>
          <w:bCs/>
          <w:color w:val="36ACE1"/>
          <w:spacing w:val="0"/>
          <w:w w:val="100"/>
          <w:position w:val="0"/>
          <w:sz w:val="19"/>
          <w:szCs w:val="19"/>
          <w:shd w:val="clear" w:color="auto" w:fill="auto"/>
          <w:lang w:val="pt-BR" w:eastAsia="pt-BR" w:bidi="pt-BR"/>
        </w:rPr>
        <w:t>E3</w:t>
      </w:r>
    </w:p>
    <w:p>
      <w:pPr>
        <w:pStyle w:val="Style7"/>
        <w:keepNext w:val="0"/>
        <w:keepLines w:val="0"/>
        <w:framePr w:w="1248" w:h="197" w:wrap="none" w:hAnchor="page" w:x="5991" w:y="4490"/>
        <w:widowControl w:val="0"/>
        <w:shd w:val="clear" w:color="auto" w:fill="auto"/>
        <w:bidi w:val="0"/>
        <w:spacing w:before="0" w:after="0" w:line="187" w:lineRule="auto"/>
        <w:ind w:left="0" w:right="0" w:firstLine="0"/>
        <w:jc w:val="both"/>
        <w:rPr>
          <w:sz w:val="8"/>
          <w:szCs w:val="8"/>
        </w:rPr>
      </w:pPr>
      <w:r>
        <w:rPr>
          <w:b/>
          <w:bCs/>
          <w:color w:val="6A6158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>Entidade das Naffles Unidas para a ljualdade de Gtnero e o Empoderemetrtodas Mulher«</w:t>
      </w:r>
    </w:p>
    <w:p>
      <w:pPr>
        <w:pStyle w:val="Style18"/>
        <w:keepNext w:val="0"/>
        <w:keepLines w:val="0"/>
        <w:framePr w:w="6739" w:h="259" w:wrap="none" w:hAnchor="page" w:x="831" w:y="4941"/>
        <w:widowControl w:val="0"/>
        <w:shd w:val="clear" w:color="auto" w:fill="auto"/>
        <w:tabs>
          <w:tab w:leader="hyphen" w:pos="2045" w:val="left"/>
          <w:tab w:leader="hyphen" w:pos="66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ab/>
        <w:t>PARCeiROS eSTRATéGiCOS</w:t>
        <w:tab/>
      </w:r>
    </w:p>
    <w:p>
      <w:pPr>
        <w:pStyle w:val="Style7"/>
        <w:keepNext w:val="0"/>
        <w:keepLines w:val="0"/>
        <w:framePr w:w="6893" w:h="475" w:wrap="none" w:hAnchor="page" w:x="774" w:y="5421"/>
        <w:widowControl w:val="0"/>
        <w:shd w:val="clear" w:color="auto" w:fill="auto"/>
        <w:tabs>
          <w:tab w:pos="5755" w:val="left"/>
        </w:tabs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color w:val="541D17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 xml:space="preserve">•caritas </w:t>
      </w:r>
      <w:r>
        <w:rPr>
          <w:b/>
          <w:bCs/>
          <w:color w:val="935A66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ySXihí</w:t>
        <w:tab/>
      </w:r>
      <w:r>
        <w:rPr>
          <w:b/>
          <w:bCs/>
          <w:color w:val="0078BF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«PAO</w:t>
      </w:r>
    </w:p>
    <w:p>
      <w:pPr>
        <w:pStyle w:val="Style7"/>
        <w:keepNext w:val="0"/>
        <w:keepLines w:val="0"/>
        <w:framePr w:w="6893" w:h="475" w:wrap="none" w:hAnchor="page" w:x="774" w:y="5421"/>
        <w:widowControl w:val="0"/>
        <w:shd w:val="clear" w:color="auto" w:fill="auto"/>
        <w:bidi w:val="0"/>
        <w:spacing w:before="0" w:after="0" w:line="180" w:lineRule="auto"/>
        <w:ind w:left="0" w:right="0" w:firstLine="160"/>
        <w:jc w:val="left"/>
        <w:rPr>
          <w:sz w:val="8"/>
          <w:szCs w:val="8"/>
        </w:rPr>
      </w:pPr>
      <w:r>
        <w:rPr>
          <w:b/>
          <w:bCs/>
          <w:color w:val="E9B394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 xml:space="preserve">AnjaafaxviaM &lt;fc </w:t>
      </w:r>
      <w:r>
        <w:rPr>
          <w:b/>
          <w:bCs/>
          <w:color w:val="E9B394"/>
          <w:spacing w:val="0"/>
          <w:w w:val="100"/>
          <w:position w:val="0"/>
          <w:sz w:val="8"/>
          <w:szCs w:val="8"/>
          <w:shd w:val="clear" w:color="auto" w:fill="auto"/>
          <w:lang w:val="es-ES" w:eastAsia="es-ES" w:bidi="es-ES"/>
        </w:rPr>
        <w:t xml:space="preserve">SAO </w:t>
      </w:r>
      <w:r>
        <w:rPr>
          <w:b/>
          <w:bCs/>
          <w:color w:val="E9B394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>FAULO</w:t>
      </w:r>
    </w:p>
    <w:p>
      <w:pPr>
        <w:pStyle w:val="Style18"/>
        <w:keepNext w:val="0"/>
        <w:keepLines w:val="0"/>
        <w:framePr w:w="6739" w:h="235" w:wrap="none" w:hAnchor="page" w:x="831" w:y="6069"/>
        <w:widowControl w:val="0"/>
        <w:shd w:val="clear" w:color="auto" w:fill="auto"/>
        <w:tabs>
          <w:tab w:leader="hyphen" w:pos="2237" w:val="left"/>
          <w:tab w:leader="hyphen" w:pos="66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pt-BR" w:eastAsia="pt-BR" w:bidi="pt-BR"/>
        </w:rPr>
        <w:tab/>
        <w:t>emPResAS PARceiRAS</w:t>
        <w:tab/>
      </w:r>
    </w:p>
    <w:p>
      <w:pPr>
        <w:pStyle w:val="Style7"/>
        <w:keepNext w:val="0"/>
        <w:keepLines w:val="0"/>
        <w:framePr w:w="2054" w:h="538" w:wrap="none" w:hAnchor="page" w:x="831" w:y="6405"/>
        <w:widowControl w:val="0"/>
        <w:shd w:val="clear" w:color="auto" w:fill="auto"/>
        <w:tabs>
          <w:tab w:pos="806" w:val="left"/>
        </w:tabs>
        <w:bidi w:val="0"/>
        <w:spacing w:before="0" w:after="0" w:line="240" w:lineRule="auto"/>
        <w:ind w:left="0" w:right="0" w:firstLine="0"/>
        <w:jc w:val="left"/>
        <w:rPr>
          <w:sz w:val="28"/>
          <w:szCs w:val="28"/>
        </w:rPr>
      </w:pPr>
      <w:r>
        <w:rPr>
          <w:color w:val="4761A7"/>
          <w:spacing w:val="0"/>
          <w:w w:val="100"/>
          <w:position w:val="0"/>
          <w:sz w:val="28"/>
          <w:szCs w:val="28"/>
          <w:shd w:val="clear" w:color="auto" w:fill="auto"/>
          <w:lang w:val="pt-BR" w:eastAsia="pt-BR" w:bidi="pt-BR"/>
        </w:rPr>
        <w:t>&lt;•</w:t>
        <w:tab/>
      </w:r>
      <w:r>
        <w:rPr>
          <w:color w:val="953252"/>
          <w:spacing w:val="0"/>
          <w:w w:val="100"/>
          <w:position w:val="0"/>
          <w:sz w:val="28"/>
          <w:szCs w:val="28"/>
          <w:shd w:val="clear" w:color="auto" w:fill="auto"/>
          <w:lang w:val="pt-BR" w:eastAsia="pt-BR" w:bidi="pt-BR"/>
        </w:rPr>
        <w:t>?4«&gt;oc</w:t>
      </w:r>
    </w:p>
    <w:p>
      <w:pPr>
        <w:pStyle w:val="Style7"/>
        <w:keepNext w:val="0"/>
        <w:keepLines w:val="0"/>
        <w:framePr w:w="2054" w:h="538" w:wrap="none" w:hAnchor="page" w:x="831" w:y="6405"/>
        <w:widowControl w:val="0"/>
        <w:shd w:val="clear" w:color="auto" w:fill="auto"/>
        <w:tabs>
          <w:tab w:pos="1267" w:val="left"/>
        </w:tabs>
        <w:bidi w:val="0"/>
        <w:spacing w:before="0" w:after="0" w:line="192" w:lineRule="auto"/>
        <w:ind w:left="0" w:right="0" w:firstLine="0"/>
        <w:jc w:val="left"/>
        <w:rPr>
          <w:sz w:val="8"/>
          <w:szCs w:val="8"/>
        </w:rPr>
      </w:pPr>
      <w:r>
        <w:rPr>
          <w:rFonts w:ascii="Times New Roman" w:eastAsia="Times New Roman" w:hAnsi="Times New Roman" w:cs="Times New Roman"/>
          <w:b/>
          <w:bCs/>
          <w:color w:val="4761A7"/>
          <w:spacing w:val="0"/>
          <w:w w:val="100"/>
          <w:position w:val="0"/>
          <w:sz w:val="13"/>
          <w:szCs w:val="13"/>
          <w:shd w:val="clear" w:color="auto" w:fill="auto"/>
          <w:lang w:val="pt-BR" w:eastAsia="pt-BR" w:bidi="pt-BR"/>
        </w:rPr>
        <w:t>C&amp;rrefbur</w:t>
        <w:tab/>
      </w:r>
      <w:r>
        <w:rPr>
          <w:i/>
          <w:iCs/>
          <w:color w:val="0056A6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>gtpwtd»</w:t>
      </w:r>
    </w:p>
    <w:p>
      <w:pPr>
        <w:pStyle w:val="Style7"/>
        <w:keepNext w:val="0"/>
        <w:keepLines w:val="0"/>
        <w:framePr w:w="1162" w:h="317" w:wrap="none" w:hAnchor="page" w:x="3025" w:y="66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4"/>
          <w:szCs w:val="24"/>
        </w:rPr>
      </w:pPr>
      <w:r>
        <w:rPr>
          <w:b/>
          <w:bCs/>
          <w:color w:val="4761A7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facebook</w:t>
      </w:r>
    </w:p>
    <w:p>
      <w:pPr>
        <w:pStyle w:val="Style12"/>
        <w:keepNext w:val="0"/>
        <w:keepLines w:val="0"/>
        <w:framePr w:w="1411" w:h="398" w:wrap="none" w:hAnchor="page" w:x="4403" w:y="652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>LOJAS RENNER S.A.</w:t>
      </w:r>
    </w:p>
    <w:p>
      <w:pPr>
        <w:pStyle w:val="Style12"/>
        <w:keepNext w:val="0"/>
        <w:keepLines w:val="0"/>
        <w:framePr w:w="1411" w:h="398" w:wrap="none" w:hAnchor="page" w:x="4403" w:y="65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0"/>
          <w:szCs w:val="10"/>
        </w:rPr>
      </w:pPr>
      <w:r>
        <w:rPr>
          <w:color w:val="D61A20"/>
          <w:spacing w:val="0"/>
          <w:w w:val="100"/>
          <w:position w:val="0"/>
          <w:sz w:val="10"/>
          <w:szCs w:val="10"/>
          <w:u w:val="single"/>
          <w:shd w:val="clear" w:color="auto" w:fill="auto"/>
          <w:lang w:val="pt-BR" w:eastAsia="pt-BR" w:bidi="pt-BR"/>
        </w:rPr>
        <w:t>Ir!;|j!l!h_;j,</w:t>
      </w:r>
      <w:r>
        <w:rPr>
          <w:color w:val="D61A20"/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 xml:space="preserve"> 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 xml:space="preserve">cwioco </w:t>
      </w:r>
      <w:r>
        <w:rPr>
          <w:smallCaps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>yoücom</w:t>
      </w:r>
      <w:r>
        <w:rPr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 xml:space="preserve"> realize</w:t>
      </w:r>
    </w:p>
    <w:p>
      <w:pPr>
        <w:pStyle w:val="Style7"/>
        <w:keepNext w:val="0"/>
        <w:keepLines w:val="0"/>
        <w:framePr w:w="6758" w:h="1824" w:wrap="none" w:hAnchor="page" w:x="822" w:y="7504"/>
        <w:widowControl w:val="0"/>
        <w:shd w:val="clear" w:color="auto" w:fill="auto"/>
        <w:bidi w:val="0"/>
        <w:spacing w:before="0" w:after="0" w:line="298" w:lineRule="auto"/>
        <w:ind w:left="0" w:right="0" w:firstLine="0"/>
        <w:jc w:val="left"/>
        <w:rPr>
          <w:sz w:val="14"/>
          <w:szCs w:val="14"/>
        </w:rPr>
      </w:pP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pt-BR" w:eastAsia="pt-BR" w:bidi="pt-BR"/>
        </w:rPr>
        <w:t>* rede Brasil do PacTo GloBal</w:t>
      </w:r>
    </w:p>
    <w:p>
      <w:pPr>
        <w:pStyle w:val="Style7"/>
        <w:keepNext w:val="0"/>
        <w:keepLines w:val="0"/>
        <w:framePr w:w="6758" w:h="1824" w:wrap="none" w:hAnchor="page" w:x="822" w:y="7504"/>
        <w:widowControl w:val="0"/>
        <w:shd w:val="clear" w:color="auto" w:fill="auto"/>
        <w:bidi w:val="0"/>
        <w:spacing w:before="0" w:after="0" w:line="259" w:lineRule="auto"/>
        <w:ind w:left="0" w:right="0" w:firstLine="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pt-BR" w:eastAsia="pt-BR" w:bidi="pt-BR"/>
        </w:rPr>
        <w:t xml:space="preserve">Lançado em 2000, o Pacto Global da ONU é a maior iniciativa de sustentabilidade corporativa do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mun</w:t>
        <w:softHyphen/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pt-BR" w:eastAsia="pt-BR" w:bidi="pt-BR"/>
        </w:rPr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do.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pt-BR" w:eastAsia="pt-BR" w:bidi="pt-BR"/>
        </w:rPr>
        <w:t xml:space="preserve"> Reúne mais de 12 mil signatários - entre empresas e outras organizações - em quase 170 países com o objetivo de alinhar os negócios a dez princípios nas áreas de direitos humanos, trabalho, meio ambiente e combate à corrupção. Criada em 2003 e hoje a quarta maior rede do mundo e a maior das Américas, com mais de 700 signatários, a Rede Brasil do Pacto Global é vinculada ao Programa das Nações Unidas para o Desenvolvimento (PNUD Brasil). A iniciativa promove ações colaborativas lideradas pelo setor privado, por meio da construção de parcerias com diversos setores. Entre no site </w:t>
      </w:r>
      <w:r>
        <w:fldChar w:fldCharType="begin"/>
      </w:r>
      <w:r>
        <w:rPr/>
        <w:instrText> HYPERLINK "http://www.pactoglobal.org.br" </w:instrText>
      </w:r>
      <w:r>
        <w:fldChar w:fldCharType="separate"/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pt-BR" w:eastAsia="pt-BR" w:bidi="pt-BR"/>
        </w:rPr>
        <w:t>www.pactoglobal.org.br</w:t>
      </w:r>
      <w:r>
        <w:fldChar w:fldCharType="end"/>
      </w:r>
      <w:r>
        <w:rPr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pt-BR" w:eastAsia="pt-BR" w:bidi="pt-BR"/>
        </w:rPr>
        <w:t xml:space="preserve">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pt-BR" w:eastAsia="pt-BR" w:bidi="pt-BR"/>
        </w:rPr>
        <w:t>e saiba como a sua empresa ou organização pode se tornar signatária.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7" behindDoc="1" locked="0" layoutInCell="1" allowOverlap="1">
            <wp:simplePos x="0" y="0"/>
            <wp:positionH relativeFrom="page">
              <wp:posOffset>3175</wp:posOffset>
            </wp:positionH>
            <wp:positionV relativeFrom="margin">
              <wp:posOffset>996950</wp:posOffset>
            </wp:positionV>
            <wp:extent cx="389890" cy="1237615"/>
            <wp:wrapNone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389890" cy="12376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301625" distB="0" distL="54610" distR="0" simplePos="0" relativeHeight="62914698" behindDoc="1" locked="0" layoutInCell="1" allowOverlap="1">
            <wp:simplePos x="0" y="0"/>
            <wp:positionH relativeFrom="page">
              <wp:posOffset>2413635</wp:posOffset>
            </wp:positionH>
            <wp:positionV relativeFrom="margin">
              <wp:posOffset>2642870</wp:posOffset>
            </wp:positionV>
            <wp:extent cx="1109345" cy="328930"/>
            <wp:wrapNone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1109345" cy="3289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984250" distR="0" simplePos="0" relativeHeight="62914699" behindDoc="1" locked="0" layoutInCell="1" allowOverlap="1">
            <wp:simplePos x="0" y="0"/>
            <wp:positionH relativeFrom="page">
              <wp:posOffset>3779520</wp:posOffset>
            </wp:positionH>
            <wp:positionV relativeFrom="margin">
              <wp:posOffset>4044950</wp:posOffset>
            </wp:positionV>
            <wp:extent cx="1090930" cy="396240"/>
            <wp:wrapNone/>
            <wp:docPr id="21" name="Shap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box 22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1090930" cy="3962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33" w:line="1" w:lineRule="exact"/>
      </w:pPr>
    </w:p>
    <w:p>
      <w:pPr>
        <w:widowControl w:val="0"/>
        <w:spacing w:line="1" w:lineRule="exact"/>
      </w:pPr>
    </w:p>
    <w:sectPr>
      <w:headerReference w:type="default" r:id="rId27"/>
      <w:footnotePr>
        <w:pos w:val="pageBottom"/>
        <w:numFmt w:val="decimal"/>
        <w:numStart w:val="3"/>
        <w:numRestart w:val="continuous"/>
        <w15:footnoteColumns w:val="1"/>
      </w:footnotePr>
      <w:pgSz w:w="8400" w:h="11900"/>
      <w:pgMar w:top="1806" w:left="5" w:right="735" w:bottom="766" w:header="0" w:footer="338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tabs>
          <w:tab w:pos="67" w:val="left"/>
        </w:tabs>
        <w:bidi w:val="0"/>
        <w:spacing w:before="0" w:after="0"/>
        <w:ind w:left="0" w:right="520" w:firstLine="0"/>
        <w:jc w:val="left"/>
      </w:pP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pt-BR" w:eastAsia="pt-BR" w:bidi="pt-BR"/>
        </w:rPr>
        <w:footnoteRef/>
      </w: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ab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SECRETARIA NACIONAL DE JUSTIÇA. Refúgio em números - 3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S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Edição. Disponível em: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fldChar w:fldCharType="begin"/>
      </w:r>
      <w:r>
        <w:rPr/>
        <w:instrText> HYPERLINK "http://www.acnur.org/portugues/wp-content/uploads/2018/04/refugio-em-numeros_1104.pdf"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http://www.acnur.org/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portugues/wp-content/uploads/2018/04/refugio-em-numeros_1104.pdf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&gt;. Acesso em: 13 de abril de 2018.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tabs>
          <w:tab w:pos="58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pt-BR" w:eastAsia="pt-BR" w:bidi="pt-BR"/>
        </w:rPr>
        <w:footnoteRef/>
      </w: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ab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SECRETARIA NACIONAL DE JUSTIÇA. Refúgio em números. Solicitações de Refúgio: por país de origem (2016). Disponível em: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http://www.acnur.org/fileadmin/scripts/doc.php?file=fileadmin/Documentos/portugues/Publicacoes/2017/refugio-em- numeros-2010-2016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. Acesso em: 06 de abril de 2018.</w:t>
      </w:r>
    </w:p>
  </w:footnote>
  <w:footnote w:id="4">
    <w:p>
      <w:pPr>
        <w:pStyle w:val="Style2"/>
        <w:keepNext w:val="0"/>
        <w:keepLines w:val="0"/>
        <w:widowControl w:val="0"/>
        <w:shd w:val="clear" w:color="auto" w:fill="auto"/>
        <w:tabs>
          <w:tab w:pos="58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pt-BR" w:eastAsia="pt-BR" w:bidi="pt-BR"/>
        </w:rPr>
        <w:footnoteRef/>
      </w: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ab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SECRETARIA NACIONAL DE JUSTIÇA. Refúgio em números - 3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S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Edição. Disponível em: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fldChar w:fldCharType="begin"/>
      </w:r>
      <w:r>
        <w:rPr/>
        <w:instrText> HYPERLINK "http://www.acnur.org/portugues/wp-content/uploads/2018/04/refugio-em-numeros_1104.pdf"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http://www.acnur.org/portugues/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wp-content/uploads/2018/04/refugio-em-numeros_1104.pdf</w:t>
      </w:r>
      <w:r>
        <w:fldChar w:fldCharType="end"/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&gt;. Acesso em: 13 de abril de 2018.</w:t>
      </w:r>
    </w:p>
  </w:footnote>
  <w:footnote w:id="5">
    <w:p>
      <w:pPr>
        <w:pStyle w:val="Style2"/>
        <w:keepNext w:val="0"/>
        <w:keepLines w:val="0"/>
        <w:widowControl w:val="0"/>
        <w:shd w:val="clear" w:color="auto" w:fill="auto"/>
        <w:tabs>
          <w:tab w:pos="58" w:val="left"/>
        </w:tabs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pt-BR" w:eastAsia="pt-BR" w:bidi="pt-BR"/>
        </w:rPr>
        <w:footnoteRef/>
      </w: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ab/>
      </w:r>
      <w:r>
        <w:rPr>
          <w:spacing w:val="0"/>
          <w:w w:val="100"/>
          <w:position w:val="0"/>
          <w:shd w:val="clear" w:color="auto" w:fill="auto"/>
          <w:lang w:val="pt-PT" w:eastAsia="pt-PT" w:bidi="pt-PT"/>
        </w:rPr>
        <w:t xml:space="preserve">SECRETARIA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>NACIONAL DE JUSTIÇA. Refúgio em números - 3</w:t>
      </w:r>
      <w:r>
        <w:rPr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pt-BR" w:eastAsia="pt-BR" w:bidi="pt-BR"/>
        </w:rPr>
        <w:t>S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pt-BR" w:eastAsia="pt-BR" w:bidi="pt-B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Edição. Disponível em: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&lt;</w:t>
      </w:r>
      <w:r>
        <w:fldChar w:fldCharType="begin"/>
      </w:r>
      <w:r>
        <w:rPr/>
        <w:instrText> HYPERLINK "http://www.acnur.org/" </w:instrText>
      </w:r>
      <w:r>
        <w:fldChar w:fldCharType="separate"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http://www.acnur.org/</w:t>
      </w:r>
      <w:r>
        <w:fldChar w:fldCharType="end"/>
      </w:r>
    </w:p>
  </w:footnote>
  <w:footnote w:id="6">
    <w:p>
      <w:pPr>
        <w:pStyle w:val="Style2"/>
        <w:keepNext w:val="0"/>
        <w:keepLines w:val="0"/>
        <w:widowControl w:val="0"/>
        <w:shd w:val="clear" w:color="auto" w:fill="auto"/>
        <w:tabs>
          <w:tab w:pos="67" w:val="left"/>
        </w:tabs>
        <w:bidi w:val="0"/>
        <w:spacing w:before="0" w:after="0"/>
        <w:ind w:left="0" w:right="0" w:firstLine="0"/>
        <w:jc w:val="both"/>
      </w:pPr>
      <w:r>
        <w:rPr>
          <w:b/>
          <w:bCs/>
          <w:spacing w:val="0"/>
          <w:w w:val="100"/>
          <w:position w:val="0"/>
          <w:sz w:val="8"/>
          <w:szCs w:val="8"/>
          <w:shd w:val="clear" w:color="auto" w:fill="auto"/>
          <w:vertAlign w:val="superscript"/>
          <w:lang w:val="pt-BR" w:eastAsia="pt-BR" w:bidi="pt-BR"/>
        </w:rPr>
        <w:footnoteRef/>
      </w:r>
      <w:r>
        <w:rPr>
          <w:b/>
          <w:bCs/>
          <w:color w:val="000000"/>
          <w:spacing w:val="0"/>
          <w:w w:val="100"/>
          <w:position w:val="0"/>
          <w:sz w:val="8"/>
          <w:szCs w:val="8"/>
          <w:shd w:val="clear" w:color="auto" w:fill="auto"/>
          <w:lang w:val="pt-BR" w:eastAsia="pt-BR" w:bidi="pt-BR"/>
        </w:rPr>
        <w:tab/>
      </w:r>
      <w:r>
        <w:rPr>
          <w:spacing w:val="0"/>
          <w:w w:val="100"/>
          <w:position w:val="0"/>
          <w:shd w:val="clear" w:color="auto" w:fill="auto"/>
          <w:lang w:val="pt-PT" w:eastAsia="pt-PT" w:bidi="pt-PT"/>
        </w:rPr>
        <w:t xml:space="preserve">Nesse sentido, o Decreto n° 9.199, de 20 de novembro de 2017, que dispõe: Art. 96, III, § 5o O protocolo de que trata o § 4o permitirá o gozo de direitos no País, dentre os quais “a abertura de conta bancária em instituição financeira supervisionada pelo Banco Central do Brasil.”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 xml:space="preserve">Igualmente, </w:t>
      </w:r>
      <w:r>
        <w:rPr>
          <w:spacing w:val="0"/>
          <w:w w:val="100"/>
          <w:position w:val="0"/>
          <w:shd w:val="clear" w:color="auto" w:fill="auto"/>
          <w:lang w:val="pt-PT" w:eastAsia="pt-PT" w:bidi="pt-PT"/>
        </w:rPr>
        <w:t xml:space="preserve">o Banco Central, na Carta Circular n.° 3.813, de 7 de abril de 2017, dispõe o seguinte: Art. 1°, § 1° São documentos hábeis para identificação do depositante, inclusive em se tratando de estrangeiros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re</w:t>
        <w:softHyphen/>
      </w:r>
      <w:r>
        <w:rPr>
          <w:spacing w:val="0"/>
          <w:w w:val="100"/>
          <w:position w:val="0"/>
          <w:shd w:val="clear" w:color="auto" w:fill="auto"/>
          <w:lang w:val="pt-PT" w:eastAsia="pt-PT" w:bidi="pt-PT"/>
        </w:rPr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sidentes</w:t>
      </w:r>
      <w:r>
        <w:rPr>
          <w:spacing w:val="0"/>
          <w:w w:val="100"/>
          <w:position w:val="0"/>
          <w:shd w:val="clear" w:color="auto" w:fill="auto"/>
          <w:lang w:val="pt-PT" w:eastAsia="pt-PT" w:bidi="pt-PT"/>
        </w:rPr>
        <w:t xml:space="preserve"> no País, quaisquer documentos oficiais de identificação legalmente instituídos e expedidos por órgãos ou entidades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780415</wp:posOffset>
              </wp:positionH>
              <wp:positionV relativeFrom="page">
                <wp:posOffset>946150</wp:posOffset>
              </wp:positionV>
              <wp:extent cx="3770630" cy="13716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770630" cy="1371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143F69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pt-BR" w:eastAsia="pt-BR" w:bidi="pt-BR"/>
                            </w:rPr>
                            <w:t>ESTA CARTILhA é UM PRODUTO DO PROJETO EMPODERANDO REFUgIADAS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margin-left:61.450000000000003pt;margin-top:74.5pt;width:296.89999999999998pt;height:10.8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143F69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pt-BR" w:eastAsia="pt-BR" w:bidi="pt-BR"/>
                      </w:rPr>
                      <w:t>ESTA CARTILhA é UM PRODUTO DO PROJETO EMPODERANDO REFUgIADAS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780415</wp:posOffset>
              </wp:positionH>
              <wp:positionV relativeFrom="page">
                <wp:posOffset>1126490</wp:posOffset>
              </wp:positionV>
              <wp:extent cx="3773170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377317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61.450000000000003pt;margin-top:88.700000000000003pt;width:297.10000000000002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5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143F69"/>
        <w:spacing w:val="0"/>
        <w:w w:val="100"/>
        <w:position w:val="0"/>
        <w:sz w:val="8"/>
        <w:szCs w:val="8"/>
        <w:u w:val="none"/>
        <w:shd w:val="clear" w:color="auto" w:fill="auto"/>
        <w:vertAlign w:val="superscript"/>
        <w:lang w:val="pt-BR" w:eastAsia="pt-BR" w:bidi="pt-BR"/>
      </w:rPr>
    </w:lvl>
  </w:abstractNum>
  <w:abstractNum w:abstractNumId="2">
    <w:multiLevelType w:val="multilevel"/>
    <w:lvl w:ilvl="0">
      <w:start w:val="8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143F69"/>
        <w:spacing w:val="0"/>
        <w:w w:val="100"/>
        <w:position w:val="0"/>
        <w:sz w:val="8"/>
        <w:szCs w:val="8"/>
        <w:u w:val="none"/>
        <w:shd w:val="clear" w:color="auto" w:fill="auto"/>
        <w:vertAlign w:val="superscript"/>
        <w:lang w:val="pt-PT" w:eastAsia="pt-PT" w:bidi="pt-PT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pt-BR" w:eastAsia="pt-BR" w:bidi="pt-B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pt-BR" w:eastAsia="pt-BR" w:bidi="pt-BR"/>
    </w:rPr>
  </w:style>
  <w:style w:type="character" w:customStyle="1" w:styleId="CharStyle3">
    <w:name w:val="Nota de rodapé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color w:val="143F69"/>
      <w:sz w:val="11"/>
      <w:szCs w:val="11"/>
      <w:u w:val="none"/>
    </w:rPr>
  </w:style>
  <w:style w:type="character" w:customStyle="1" w:styleId="CharStyle8">
    <w:name w:val="Outro_"/>
    <w:basedOn w:val="DefaultParagraphFont"/>
    <w:link w:val="Style7"/>
    <w:rPr>
      <w:rFonts w:ascii="Arial" w:eastAsia="Arial" w:hAnsi="Arial" w:cs="Arial"/>
      <w:b w:val="0"/>
      <w:bCs w:val="0"/>
      <w:i w:val="0"/>
      <w:iCs w:val="0"/>
      <w:smallCaps w:val="0"/>
      <w:strike w:val="0"/>
      <w:color w:val="143F69"/>
      <w:sz w:val="17"/>
      <w:szCs w:val="17"/>
      <w:u w:val="none"/>
    </w:rPr>
  </w:style>
  <w:style w:type="character" w:customStyle="1" w:styleId="CharStyle13">
    <w:name w:val="Legenda da figura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16">
    <w:name w:val="Título #1_"/>
    <w:basedOn w:val="DefaultParagraphFont"/>
    <w:link w:val="Style15"/>
    <w:rPr>
      <w:rFonts w:ascii="Arial" w:eastAsia="Arial" w:hAnsi="Arial" w:cs="Arial"/>
      <w:b/>
      <w:bCs/>
      <w:i w:val="0"/>
      <w:iCs w:val="0"/>
      <w:smallCaps w:val="0"/>
      <w:strike w:val="0"/>
      <w:color w:val="143F69"/>
      <w:sz w:val="28"/>
      <w:szCs w:val="28"/>
      <w:u w:val="none"/>
    </w:rPr>
  </w:style>
  <w:style w:type="character" w:customStyle="1" w:styleId="CharStyle19">
    <w:name w:val="Texto do corpo_"/>
    <w:basedOn w:val="DefaultParagraphFont"/>
    <w:link w:val="Style18"/>
    <w:rPr>
      <w:rFonts w:ascii="Arial" w:eastAsia="Arial" w:hAnsi="Arial" w:cs="Arial"/>
      <w:b w:val="0"/>
      <w:bCs w:val="0"/>
      <w:i w:val="0"/>
      <w:iCs w:val="0"/>
      <w:smallCaps w:val="0"/>
      <w:strike w:val="0"/>
      <w:color w:val="143F69"/>
      <w:sz w:val="17"/>
      <w:szCs w:val="17"/>
      <w:u w:val="none"/>
    </w:rPr>
  </w:style>
  <w:style w:type="character" w:customStyle="1" w:styleId="CharStyle22">
    <w:name w:val="Número do título #1_"/>
    <w:basedOn w:val="DefaultParagraphFont"/>
    <w:link w:val="Style21"/>
    <w:rPr>
      <w:rFonts w:ascii="Arial" w:eastAsia="Arial" w:hAnsi="Arial" w:cs="Arial"/>
      <w:b/>
      <w:bCs/>
      <w:i w:val="0"/>
      <w:iCs w:val="0"/>
      <w:smallCaps w:val="0"/>
      <w:strike w:val="0"/>
      <w:color w:val="143F69"/>
      <w:sz w:val="28"/>
      <w:szCs w:val="28"/>
      <w:u w:val="none"/>
      <w:lang w:val="fr-FR" w:eastAsia="fr-FR" w:bidi="fr-FR"/>
    </w:rPr>
  </w:style>
  <w:style w:type="character" w:customStyle="1" w:styleId="CharStyle29">
    <w:name w:val="Título #2_"/>
    <w:basedOn w:val="DefaultParagraphFont"/>
    <w:link w:val="Style28"/>
    <w:rPr>
      <w:rFonts w:ascii="Arial" w:eastAsia="Arial" w:hAnsi="Arial" w:cs="Arial"/>
      <w:b/>
      <w:bCs/>
      <w:i w:val="0"/>
      <w:iCs w:val="0"/>
      <w:smallCaps w:val="0"/>
      <w:strike w:val="0"/>
      <w:color w:val="143F69"/>
      <w:sz w:val="17"/>
      <w:szCs w:val="17"/>
      <w:u w:val="none"/>
    </w:rPr>
  </w:style>
  <w:style w:type="character" w:customStyle="1" w:styleId="CharStyle55">
    <w:name w:val="Cabeçalho ou rodapé (2)_"/>
    <w:basedOn w:val="DefaultParagraphFont"/>
    <w:link w:val="Style5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Nota de rodapé"/>
    <w:basedOn w:val="Normal"/>
    <w:link w:val="CharStyle3"/>
    <w:pPr>
      <w:widowControl w:val="0"/>
      <w:shd w:val="clear" w:color="auto" w:fill="FFFFFF"/>
      <w:spacing w:line="266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43F69"/>
      <w:sz w:val="11"/>
      <w:szCs w:val="11"/>
      <w:u w:val="none"/>
    </w:rPr>
  </w:style>
  <w:style w:type="paragraph" w:customStyle="1" w:styleId="Style7">
    <w:name w:val="Outro"/>
    <w:basedOn w:val="Normal"/>
    <w:link w:val="CharStyle8"/>
    <w:pPr>
      <w:widowControl w:val="0"/>
      <w:shd w:val="clear" w:color="auto" w:fill="FFFFFF"/>
      <w:spacing w:line="322" w:lineRule="auto"/>
      <w:ind w:firstLine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43F69"/>
      <w:sz w:val="17"/>
      <w:szCs w:val="17"/>
      <w:u w:val="none"/>
    </w:rPr>
  </w:style>
  <w:style w:type="paragraph" w:customStyle="1" w:styleId="Style12">
    <w:name w:val="Legenda da figura"/>
    <w:basedOn w:val="Normal"/>
    <w:link w:val="CharStyle13"/>
    <w:pPr>
      <w:widowControl w:val="0"/>
      <w:shd w:val="clear" w:color="auto" w:fill="FFFFFF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15">
    <w:name w:val="Título #1"/>
    <w:basedOn w:val="Normal"/>
    <w:link w:val="CharStyle16"/>
    <w:pPr>
      <w:widowControl w:val="0"/>
      <w:shd w:val="clear" w:color="auto" w:fill="FFFFFF"/>
      <w:spacing w:line="194" w:lineRule="auto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143F69"/>
      <w:sz w:val="28"/>
      <w:szCs w:val="28"/>
      <w:u w:val="none"/>
    </w:rPr>
  </w:style>
  <w:style w:type="paragraph" w:customStyle="1" w:styleId="Style18">
    <w:name w:val="Texto do corpo"/>
    <w:basedOn w:val="Normal"/>
    <w:link w:val="CharStyle19"/>
    <w:pPr>
      <w:widowControl w:val="0"/>
      <w:shd w:val="clear" w:color="auto" w:fill="FFFFFF"/>
      <w:spacing w:line="322" w:lineRule="auto"/>
      <w:ind w:firstLine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143F69"/>
      <w:sz w:val="17"/>
      <w:szCs w:val="17"/>
      <w:u w:val="none"/>
    </w:rPr>
  </w:style>
  <w:style w:type="paragraph" w:customStyle="1" w:styleId="Style21">
    <w:name w:val="Número do título #1"/>
    <w:basedOn w:val="Normal"/>
    <w:link w:val="CharStyle22"/>
    <w:pPr>
      <w:widowControl w:val="0"/>
      <w:shd w:val="clear" w:color="auto" w:fill="FFFFFF"/>
      <w:jc w:val="center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143F69"/>
      <w:sz w:val="28"/>
      <w:szCs w:val="28"/>
      <w:u w:val="none"/>
      <w:lang w:val="fr-FR" w:eastAsia="fr-FR" w:bidi="fr-FR"/>
    </w:rPr>
  </w:style>
  <w:style w:type="paragraph" w:customStyle="1" w:styleId="Style28">
    <w:name w:val="Título #2"/>
    <w:basedOn w:val="Normal"/>
    <w:link w:val="CharStyle29"/>
    <w:pPr>
      <w:widowControl w:val="0"/>
      <w:shd w:val="clear" w:color="auto" w:fill="FFFFFF"/>
      <w:spacing w:line="322" w:lineRule="auto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color w:val="143F69"/>
      <w:sz w:val="17"/>
      <w:szCs w:val="17"/>
      <w:u w:val="none"/>
    </w:rPr>
  </w:style>
  <w:style w:type="paragraph" w:customStyle="1" w:styleId="Style54">
    <w:name w:val="Cabeçalho ou rodapé (2)"/>
    <w:basedOn w:val="Normal"/>
    <w:link w:val="CharStyle5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header" Target="header1.xml"/></Relationships>
</file>