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39A55" w14:textId="07B8A41D" w:rsidR="00735FB1" w:rsidRDefault="00735FB1" w:rsidP="00855E8B">
      <w:pPr>
        <w:spacing w:line="480" w:lineRule="auto"/>
      </w:pPr>
      <w:r>
        <w:t>The Lynching of Mary Jackson in Harrison County, Texas, 1912.</w:t>
      </w:r>
    </w:p>
    <w:p w14:paraId="7D11DE6D" w14:textId="318EF7AE" w:rsidR="00FC7ADB" w:rsidRDefault="00FC7ADB" w:rsidP="00855E8B">
      <w:pPr>
        <w:spacing w:line="480" w:lineRule="auto"/>
      </w:pPr>
      <w:r>
        <w:t>Haley Brown</w:t>
      </w:r>
    </w:p>
    <w:p w14:paraId="63B19754" w14:textId="41F19A66" w:rsidR="00B7495F" w:rsidRDefault="00B7495F" w:rsidP="00B7495F">
      <w:pPr>
        <w:spacing w:line="480" w:lineRule="auto"/>
      </w:pPr>
      <w:r>
        <w:t>University of North Texas</w:t>
      </w:r>
    </w:p>
    <w:p w14:paraId="56178934" w14:textId="77777777" w:rsidR="00B7495F" w:rsidRDefault="00B7495F" w:rsidP="00B7495F">
      <w:pPr>
        <w:spacing w:line="480" w:lineRule="auto"/>
      </w:pPr>
      <w:r>
        <w:tab/>
      </w:r>
    </w:p>
    <w:p w14:paraId="085F9EC0" w14:textId="30DF6546" w:rsidR="00E62F5A" w:rsidRDefault="0005332B" w:rsidP="00B7495F">
      <w:pPr>
        <w:spacing w:line="480" w:lineRule="auto"/>
        <w:ind w:firstLine="720"/>
      </w:pPr>
      <w:r>
        <w:t xml:space="preserve">On </w:t>
      </w:r>
      <w:r w:rsidR="00B7495F">
        <w:t xml:space="preserve">approximately </w:t>
      </w:r>
      <w:r>
        <w:t>February 13</w:t>
      </w:r>
      <w:r w:rsidR="001247FB">
        <w:t xml:space="preserve">, 1912, </w:t>
      </w:r>
      <w:r w:rsidR="00926B90">
        <w:t xml:space="preserve">a </w:t>
      </w:r>
      <w:r w:rsidR="00614353">
        <w:t>mob</w:t>
      </w:r>
      <w:r w:rsidR="00926B90">
        <w:t xml:space="preserve"> of unknown persons</w:t>
      </w:r>
      <w:r w:rsidR="00614353">
        <w:t xml:space="preserve"> in</w:t>
      </w:r>
      <w:r w:rsidR="001247FB">
        <w:t xml:space="preserve"> Harr</w:t>
      </w:r>
      <w:r w:rsidR="001E789F">
        <w:t>ison County, Texas</w:t>
      </w:r>
      <w:r w:rsidR="00710947">
        <w:t xml:space="preserve"> </w:t>
      </w:r>
      <w:r w:rsidR="00614353">
        <w:t xml:space="preserve">lynched </w:t>
      </w:r>
      <w:r w:rsidR="00106958">
        <w:t xml:space="preserve">black residents </w:t>
      </w:r>
      <w:r w:rsidR="00614353">
        <w:t>Mary Jackson and George Sanders</w:t>
      </w:r>
      <w:r w:rsidR="001E789F">
        <w:t xml:space="preserve"> for a crime they did not commit.</w:t>
      </w:r>
      <w:r w:rsidR="000B2C18">
        <w:rPr>
          <w:rStyle w:val="FootnoteReference"/>
        </w:rPr>
        <w:footnoteReference w:id="1"/>
      </w:r>
      <w:r w:rsidR="001E789F">
        <w:t xml:space="preserve"> </w:t>
      </w:r>
      <w:r w:rsidR="007C38F1">
        <w:t>A few weeks before, approximately</w:t>
      </w:r>
      <w:r w:rsidR="00710947">
        <w:t xml:space="preserve"> January 29, black resident Tennie Sneed shot and killed white resident Paul Strange</w:t>
      </w:r>
      <w:r w:rsidR="00614353">
        <w:t xml:space="preserve"> over a personal dispute</w:t>
      </w:r>
      <w:r w:rsidR="00710947">
        <w:t xml:space="preserve">. </w:t>
      </w:r>
      <w:r w:rsidR="00586891">
        <w:t>The murder of a white man by a black man in East Texas at that time often led immediately to violent reprisals, so Harrison County law enforcement had taken the known perpetrator of the murder, Sneed, into custody and held him in what amounted to protective custody in another county. This attempt to prevent mob violence failed, however, as local citizens satisfied their bloodlust by lynching Jackson and Sanders, two black residents only tangentially related to the crime</w:t>
      </w:r>
      <w:r w:rsidR="00614353">
        <w:t>.</w:t>
      </w:r>
      <w:r w:rsidR="000B2C18">
        <w:rPr>
          <w:rStyle w:val="FootnoteReference"/>
        </w:rPr>
        <w:footnoteReference w:id="2"/>
      </w:r>
      <w:r w:rsidR="00614353">
        <w:t xml:space="preserve"> </w:t>
      </w:r>
      <w:r w:rsidR="007C38F1">
        <w:t>Jackson a</w:t>
      </w:r>
      <w:r w:rsidR="00926B90">
        <w:t>nd Sanders died after being hanged</w:t>
      </w:r>
      <w:r w:rsidR="007C38F1">
        <w:t xml:space="preserve"> from th</w:t>
      </w:r>
      <w:r w:rsidR="00926B90">
        <w:t>e same tree branch by a</w:t>
      </w:r>
      <w:r w:rsidR="007C38F1">
        <w:t xml:space="preserve"> mob and choking to death.</w:t>
      </w:r>
    </w:p>
    <w:p w14:paraId="227B0549" w14:textId="65A37FA4" w:rsidR="001247FB" w:rsidRDefault="00586891" w:rsidP="00E62F5A">
      <w:pPr>
        <w:spacing w:line="480" w:lineRule="auto"/>
        <w:ind w:firstLine="720"/>
      </w:pPr>
      <w:r>
        <w:t>The hanging of Mary Jackson in Harrison County provides a</w:t>
      </w:r>
      <w:r w:rsidR="00B7495F">
        <w:t>n excellent</w:t>
      </w:r>
      <w:r>
        <w:t xml:space="preserve"> case study of the lynching of a woman, an uncommon and largely unstudied event among the all-too-common horrors of mob “justice.” </w:t>
      </w:r>
      <w:r w:rsidR="00EB7E4E">
        <w:t>Jackson’s</w:t>
      </w:r>
      <w:r>
        <w:t xml:space="preserve"> death</w:t>
      </w:r>
      <w:r w:rsidR="00614353">
        <w:t xml:space="preserve"> </w:t>
      </w:r>
      <w:r w:rsidR="001E789F">
        <w:t>illuminates several of the</w:t>
      </w:r>
      <w:r w:rsidR="00374007">
        <w:t xml:space="preserve"> unique ways </w:t>
      </w:r>
      <w:r>
        <w:t xml:space="preserve">in which the </w:t>
      </w:r>
      <w:r w:rsidR="00374007">
        <w:t>lyn</w:t>
      </w:r>
      <w:r>
        <w:t>ching</w:t>
      </w:r>
      <w:r w:rsidR="00374007">
        <w:t xml:space="preserve"> of</w:t>
      </w:r>
      <w:r w:rsidR="001E789F">
        <w:t xml:space="preserve"> </w:t>
      </w:r>
      <w:r w:rsidR="00401025">
        <w:t>wome</w:t>
      </w:r>
      <w:r w:rsidR="001E789F">
        <w:t>n differed from the lynching</w:t>
      </w:r>
      <w:r w:rsidR="00400843">
        <w:t xml:space="preserve"> </w:t>
      </w:r>
      <w:r w:rsidR="00401025">
        <w:t>of me</w:t>
      </w:r>
      <w:r>
        <w:t xml:space="preserve">n and at the same time provides an important perspective on lynching culture in general. One of these differences is that </w:t>
      </w:r>
      <w:r w:rsidR="00401025">
        <w:t>women tended to be</w:t>
      </w:r>
      <w:r>
        <w:t xml:space="preserve"> lynched for a crime that a male relative</w:t>
      </w:r>
      <w:r w:rsidR="00B7495F">
        <w:t xml:space="preserve"> or associate</w:t>
      </w:r>
      <w:r>
        <w:t xml:space="preserve"> of theirs was accused of committing, rather than for their own actions. Women lynching victims also traditionally died alongside a close male friend or relative at the hands of a small mob.</w:t>
      </w:r>
      <w:r w:rsidR="002B3847">
        <w:t xml:space="preserve"> The lynching of Jackson </w:t>
      </w:r>
      <w:r w:rsidR="002B3847">
        <w:lastRenderedPageBreak/>
        <w:t>and Sanders</w:t>
      </w:r>
      <w:r w:rsidR="00331D11">
        <w:t xml:space="preserve"> demonstrates</w:t>
      </w:r>
      <w:r w:rsidR="00F845D7">
        <w:t xml:space="preserve"> the ways</w:t>
      </w:r>
      <w:r>
        <w:t xml:space="preserve"> a lynch mob supported an eye-for-an-eye mentality </w:t>
      </w:r>
      <w:r w:rsidR="00401025">
        <w:t xml:space="preserve">without regard for the </w:t>
      </w:r>
      <w:r>
        <w:t xml:space="preserve">gender of the person who paid for the crime, so long as the person was black. In the mind of the mob, Sneed </w:t>
      </w:r>
      <w:r w:rsidR="00F845D7">
        <w:t>had taken a white life, and so</w:t>
      </w:r>
      <w:r>
        <w:t xml:space="preserve"> they had to extinguish at least one black life in return. </w:t>
      </w:r>
      <w:r w:rsidR="00F845D7">
        <w:t>Although they surely would have preferred to lynch Sneed</w:t>
      </w:r>
      <w:r w:rsidR="002B3847">
        <w:t xml:space="preserve"> himself</w:t>
      </w:r>
      <w:r w:rsidR="00F845D7">
        <w:t xml:space="preserve">, </w:t>
      </w:r>
      <w:r>
        <w:t>the mob seemed content to lynch any person or persons related to the crime without regard to gender so long as they were black. Thus, the largely overlooked c</w:t>
      </w:r>
      <w:r w:rsidR="00F845D7">
        <w:t>ase of Mary Jackson provides an important window into</w:t>
      </w:r>
      <w:r>
        <w:t xml:space="preserve"> the culture </w:t>
      </w:r>
      <w:r w:rsidR="00F845D7">
        <w:t>that supported</w:t>
      </w:r>
      <w:r>
        <w:t xml:space="preserve"> lynching </w:t>
      </w:r>
      <w:r w:rsidR="00F845D7">
        <w:t>during the Progressive era</w:t>
      </w:r>
      <w:r>
        <w:t xml:space="preserve">.  </w:t>
      </w:r>
    </w:p>
    <w:p w14:paraId="6CEAD843" w14:textId="7DE235A0" w:rsidR="004449DB" w:rsidRDefault="00643309" w:rsidP="00204035">
      <w:pPr>
        <w:spacing w:line="480" w:lineRule="auto"/>
        <w:ind w:firstLine="720"/>
        <w:rPr>
          <w:color w:val="000000" w:themeColor="text1"/>
        </w:rPr>
      </w:pPr>
      <w:r>
        <w:rPr>
          <w:color w:val="000000" w:themeColor="text1"/>
        </w:rPr>
        <w:t>The omission of cases involving women has been a</w:t>
      </w:r>
      <w:r w:rsidR="00400843">
        <w:rPr>
          <w:color w:val="000000" w:themeColor="text1"/>
        </w:rPr>
        <w:t xml:space="preserve"> major weakness</w:t>
      </w:r>
      <w:r w:rsidR="00204035">
        <w:rPr>
          <w:color w:val="000000" w:themeColor="text1"/>
        </w:rPr>
        <w:t xml:space="preserve"> </w:t>
      </w:r>
      <w:r w:rsidR="00FC02F2">
        <w:rPr>
          <w:color w:val="000000" w:themeColor="text1"/>
        </w:rPr>
        <w:t xml:space="preserve">in </w:t>
      </w:r>
      <w:r w:rsidR="00F845D7">
        <w:rPr>
          <w:color w:val="000000" w:themeColor="text1"/>
        </w:rPr>
        <w:t>studies of</w:t>
      </w:r>
      <w:r w:rsidR="00400843">
        <w:rPr>
          <w:color w:val="000000" w:themeColor="text1"/>
        </w:rPr>
        <w:t xml:space="preserve"> lynching</w:t>
      </w:r>
      <w:r>
        <w:rPr>
          <w:color w:val="000000" w:themeColor="text1"/>
        </w:rPr>
        <w:t>s</w:t>
      </w:r>
      <w:r w:rsidR="00204035">
        <w:rPr>
          <w:color w:val="000000" w:themeColor="text1"/>
        </w:rPr>
        <w:t>.</w:t>
      </w:r>
      <w:r w:rsidR="000B2C18">
        <w:rPr>
          <w:rStyle w:val="FootnoteReference"/>
          <w:color w:val="000000" w:themeColor="text1"/>
        </w:rPr>
        <w:footnoteReference w:id="3"/>
      </w:r>
      <w:r w:rsidR="00204035">
        <w:rPr>
          <w:color w:val="000000" w:themeColor="text1"/>
        </w:rPr>
        <w:t xml:space="preserve"> Often female lynching victims appear marginally </w:t>
      </w:r>
      <w:r w:rsidR="00853139">
        <w:rPr>
          <w:color w:val="000000" w:themeColor="text1"/>
        </w:rPr>
        <w:t xml:space="preserve">in such </w:t>
      </w:r>
      <w:r w:rsidR="00391EF7">
        <w:rPr>
          <w:color w:val="000000" w:themeColor="text1"/>
        </w:rPr>
        <w:t>works,</w:t>
      </w:r>
      <w:r w:rsidR="00204035">
        <w:rPr>
          <w:color w:val="000000" w:themeColor="text1"/>
        </w:rPr>
        <w:t xml:space="preserve"> relegated to being statistical fillers hidden in the appendices</w:t>
      </w:r>
      <w:r w:rsidR="009C3E81">
        <w:rPr>
          <w:color w:val="000000" w:themeColor="text1"/>
        </w:rPr>
        <w:t>,</w:t>
      </w:r>
      <w:r w:rsidR="00204035">
        <w:rPr>
          <w:color w:val="000000" w:themeColor="text1"/>
        </w:rPr>
        <w:t xml:space="preserve"> while </w:t>
      </w:r>
      <w:r w:rsidR="00F845D7">
        <w:rPr>
          <w:color w:val="000000" w:themeColor="text1"/>
        </w:rPr>
        <w:t>the far more frequent lynching of men</w:t>
      </w:r>
      <w:r w:rsidR="00204035">
        <w:rPr>
          <w:color w:val="000000" w:themeColor="text1"/>
        </w:rPr>
        <w:t xml:space="preserve"> claim</w:t>
      </w:r>
      <w:r w:rsidR="00F845D7">
        <w:rPr>
          <w:color w:val="000000" w:themeColor="text1"/>
        </w:rPr>
        <w:t>s</w:t>
      </w:r>
      <w:r w:rsidR="00204035">
        <w:rPr>
          <w:color w:val="000000" w:themeColor="text1"/>
        </w:rPr>
        <w:t xml:space="preserve"> the analytical spotlight. </w:t>
      </w:r>
      <w:r w:rsidR="00391EF7">
        <w:t>It is important</w:t>
      </w:r>
      <w:r w:rsidR="00F845D7">
        <w:t>, however,</w:t>
      </w:r>
      <w:r w:rsidR="00391EF7">
        <w:t xml:space="preserve"> to understand</w:t>
      </w:r>
      <w:r w:rsidR="00F845D7">
        <w:t xml:space="preserve"> that</w:t>
      </w:r>
      <w:r w:rsidR="00391EF7">
        <w:t xml:space="preserve"> these instances </w:t>
      </w:r>
      <w:r w:rsidR="00F845D7">
        <w:t>of lynching of women have analytical value beyond their sheer frequency.</w:t>
      </w:r>
      <w:r w:rsidR="00204035">
        <w:rPr>
          <w:color w:val="000000" w:themeColor="text1"/>
        </w:rPr>
        <w:t xml:space="preserve"> It could be argu</w:t>
      </w:r>
      <w:r w:rsidR="00EB7E4E">
        <w:rPr>
          <w:color w:val="000000" w:themeColor="text1"/>
        </w:rPr>
        <w:t xml:space="preserve">ed that the </w:t>
      </w:r>
      <w:r w:rsidR="005F59AE">
        <w:rPr>
          <w:color w:val="000000" w:themeColor="text1"/>
        </w:rPr>
        <w:t>omission</w:t>
      </w:r>
      <w:r w:rsidR="00391EF7">
        <w:rPr>
          <w:color w:val="000000" w:themeColor="text1"/>
        </w:rPr>
        <w:t xml:space="preserve"> of female lynching victims from traditional history is due to the fact</w:t>
      </w:r>
      <w:r w:rsidR="00204035">
        <w:rPr>
          <w:color w:val="000000" w:themeColor="text1"/>
        </w:rPr>
        <w:t xml:space="preserve"> that so few women wer</w:t>
      </w:r>
      <w:r w:rsidR="009C3E81">
        <w:rPr>
          <w:color w:val="000000" w:themeColor="text1"/>
        </w:rPr>
        <w:t xml:space="preserve">e lynched in the United States </w:t>
      </w:r>
      <w:r w:rsidR="00204035">
        <w:rPr>
          <w:color w:val="000000" w:themeColor="text1"/>
        </w:rPr>
        <w:t>compared to the numbe</w:t>
      </w:r>
      <w:r w:rsidR="00391EF7">
        <w:rPr>
          <w:color w:val="000000" w:themeColor="text1"/>
        </w:rPr>
        <w:t xml:space="preserve">r of men lynched. </w:t>
      </w:r>
      <w:r w:rsidR="00FC02F2">
        <w:rPr>
          <w:color w:val="000000" w:themeColor="text1"/>
        </w:rPr>
        <w:t>For example, there are only twelve confirmed cases of lynching a woman in Texas</w:t>
      </w:r>
      <w:r w:rsidR="00F845D7">
        <w:rPr>
          <w:color w:val="000000" w:themeColor="text1"/>
        </w:rPr>
        <w:t xml:space="preserve"> according to the </w:t>
      </w:r>
      <w:r w:rsidR="00F67BFD">
        <w:rPr>
          <w:color w:val="000000" w:themeColor="text1"/>
        </w:rPr>
        <w:t>research compiled for this study</w:t>
      </w:r>
      <w:r w:rsidR="00FC02F2">
        <w:rPr>
          <w:color w:val="000000" w:themeColor="text1"/>
        </w:rPr>
        <w:t>, compared to hundreds of cases involving men.</w:t>
      </w:r>
      <w:r w:rsidR="002B3847">
        <w:rPr>
          <w:rStyle w:val="FootnoteReference"/>
          <w:color w:val="000000" w:themeColor="text1"/>
        </w:rPr>
        <w:footnoteReference w:id="4"/>
      </w:r>
      <w:r w:rsidR="00FC02F2">
        <w:rPr>
          <w:color w:val="000000" w:themeColor="text1"/>
        </w:rPr>
        <w:t xml:space="preserve"> </w:t>
      </w:r>
      <w:r w:rsidR="00331D11" w:rsidRPr="001617E6">
        <w:t xml:space="preserve">Rather than disrupting the accepted lynching historiography, </w:t>
      </w:r>
      <w:r w:rsidR="00853139">
        <w:t>however the study of</w:t>
      </w:r>
      <w:r w:rsidR="00331D11" w:rsidRPr="001617E6">
        <w:t xml:space="preserve"> female lynching victims contributes to and helps to strengthen lynching scholarship. </w:t>
      </w:r>
    </w:p>
    <w:p w14:paraId="5EDBF265" w14:textId="1D6009AB" w:rsidR="00424CBA" w:rsidRDefault="004449DB" w:rsidP="00F1196F">
      <w:pPr>
        <w:spacing w:line="480" w:lineRule="auto"/>
        <w:ind w:firstLine="720"/>
      </w:pPr>
      <w:r>
        <w:rPr>
          <w:color w:val="000000" w:themeColor="text1"/>
        </w:rPr>
        <w:t>While a historiography of female lynching is lacking, it is not due to a lack of sources. Understandably sources on ly</w:t>
      </w:r>
      <w:r w:rsidR="00C770BD">
        <w:rPr>
          <w:color w:val="000000" w:themeColor="text1"/>
        </w:rPr>
        <w:t>nchings are difficult to locate</w:t>
      </w:r>
      <w:r>
        <w:rPr>
          <w:color w:val="000000" w:themeColor="text1"/>
        </w:rPr>
        <w:t>,</w:t>
      </w:r>
      <w:r w:rsidR="005F59AE">
        <w:rPr>
          <w:color w:val="000000" w:themeColor="text1"/>
        </w:rPr>
        <w:t xml:space="preserve"> as the practice was not</w:t>
      </w:r>
      <w:r>
        <w:rPr>
          <w:color w:val="000000" w:themeColor="text1"/>
        </w:rPr>
        <w:t xml:space="preserve"> legal. This, however, does not mean they are unavailable. Records on lynchings are most commonly derived from newspapers across the nation, and they serve as the bulk of s</w:t>
      </w:r>
      <w:r w:rsidR="005F59AE">
        <w:rPr>
          <w:color w:val="000000" w:themeColor="text1"/>
        </w:rPr>
        <w:t>ources for this study. S</w:t>
      </w:r>
      <w:r>
        <w:rPr>
          <w:color w:val="000000" w:themeColor="text1"/>
        </w:rPr>
        <w:t>urprisingly</w:t>
      </w:r>
      <w:r w:rsidR="00374007">
        <w:rPr>
          <w:color w:val="000000" w:themeColor="text1"/>
        </w:rPr>
        <w:t>, stories and article</w:t>
      </w:r>
      <w:r>
        <w:rPr>
          <w:color w:val="000000" w:themeColor="text1"/>
        </w:rPr>
        <w:t>s</w:t>
      </w:r>
      <w:r w:rsidR="00374007">
        <w:rPr>
          <w:color w:val="000000" w:themeColor="text1"/>
        </w:rPr>
        <w:t xml:space="preserve"> about the lynchings of women appear </w:t>
      </w:r>
      <w:r w:rsidR="00204035">
        <w:rPr>
          <w:color w:val="000000" w:themeColor="text1"/>
        </w:rPr>
        <w:t xml:space="preserve">in newspapers across Texas as openly and candidly as the lynchings of men. </w:t>
      </w:r>
      <w:r w:rsidR="00C770BD">
        <w:rPr>
          <w:color w:val="000000" w:themeColor="text1"/>
        </w:rPr>
        <w:t>It is difficult</w:t>
      </w:r>
      <w:r>
        <w:rPr>
          <w:color w:val="000000" w:themeColor="text1"/>
        </w:rPr>
        <w:t xml:space="preserve"> then to understand why</w:t>
      </w:r>
      <w:r w:rsidR="00204035">
        <w:rPr>
          <w:color w:val="000000" w:themeColor="text1"/>
        </w:rPr>
        <w:t xml:space="preserve"> </w:t>
      </w:r>
      <w:r w:rsidR="009B3F34">
        <w:rPr>
          <w:color w:val="000000" w:themeColor="text1"/>
        </w:rPr>
        <w:t>these female victims</w:t>
      </w:r>
      <w:r w:rsidR="00204035">
        <w:rPr>
          <w:color w:val="000000" w:themeColor="text1"/>
        </w:rPr>
        <w:t xml:space="preserve"> </w:t>
      </w:r>
      <w:r>
        <w:rPr>
          <w:color w:val="000000" w:themeColor="text1"/>
        </w:rPr>
        <w:t xml:space="preserve">that could help </w:t>
      </w:r>
      <w:r w:rsidR="00204035">
        <w:rPr>
          <w:color w:val="000000" w:themeColor="text1"/>
        </w:rPr>
        <w:t>better understand the culture of lynching</w:t>
      </w:r>
      <w:r w:rsidR="009B3F34">
        <w:rPr>
          <w:color w:val="000000" w:themeColor="text1"/>
        </w:rPr>
        <w:t xml:space="preserve"> have been overlooked</w:t>
      </w:r>
      <w:r>
        <w:rPr>
          <w:color w:val="000000" w:themeColor="text1"/>
        </w:rPr>
        <w:t>.</w:t>
      </w:r>
      <w:r w:rsidR="00710947">
        <w:t xml:space="preserve"> </w:t>
      </w:r>
    </w:p>
    <w:p w14:paraId="052DCE31" w14:textId="3E424CE6" w:rsidR="00424CBA" w:rsidRDefault="00B36FBE" w:rsidP="001247FB">
      <w:pPr>
        <w:spacing w:line="480" w:lineRule="auto"/>
      </w:pPr>
      <w:r>
        <w:tab/>
        <w:t xml:space="preserve">Born in </w:t>
      </w:r>
      <w:r w:rsidR="00D7715B">
        <w:t>1874,</w:t>
      </w:r>
      <w:r w:rsidR="00D33F8E">
        <w:t xml:space="preserve"> </w:t>
      </w:r>
      <w:r w:rsidR="00D7715B">
        <w:t>Mary Jackson lived her entire life in Harrison County, Texas</w:t>
      </w:r>
      <w:r w:rsidR="00D33F8E">
        <w:t xml:space="preserve">. </w:t>
      </w:r>
      <w:r w:rsidR="00913129">
        <w:t>Specifically, Jacks</w:t>
      </w:r>
      <w:r w:rsidR="00C770BD">
        <w:t>on li</w:t>
      </w:r>
      <w:r w:rsidR="00F67BFD">
        <w:t>ved in Elysian Fields, a small</w:t>
      </w:r>
      <w:r w:rsidR="00C770BD">
        <w:t xml:space="preserve"> town </w:t>
      </w:r>
      <w:r w:rsidR="00913129">
        <w:t>outside of Marshall</w:t>
      </w:r>
      <w:r w:rsidR="00C770BD">
        <w:t xml:space="preserve"> near the Panola County line</w:t>
      </w:r>
      <w:r w:rsidR="00913129">
        <w:t xml:space="preserve">. </w:t>
      </w:r>
      <w:r w:rsidR="00C770BD">
        <w:t>M</w:t>
      </w:r>
      <w:r w:rsidR="008C0417">
        <w:t xml:space="preserve">ary had two children: </w:t>
      </w:r>
      <w:r w:rsidR="00D7193B">
        <w:t>Cl</w:t>
      </w:r>
      <w:r w:rsidR="00424CBA">
        <w:t>eveland Jackson, her oldest,</w:t>
      </w:r>
      <w:r w:rsidR="00D7193B">
        <w:t xml:space="preserve"> bor</w:t>
      </w:r>
      <w:r w:rsidR="00424CBA">
        <w:t>n in 1894, and Nancy Jackson</w:t>
      </w:r>
      <w:r w:rsidR="00D7193B">
        <w:t xml:space="preserve"> born in 1897. </w:t>
      </w:r>
      <w:r>
        <w:t>According to the census records, Mary never married</w:t>
      </w:r>
      <w:r w:rsidR="00707ABA">
        <w:t>, and thus raised her two children by herself</w:t>
      </w:r>
      <w:r>
        <w:t>.</w:t>
      </w:r>
      <w:r w:rsidR="00C770BD">
        <w:rPr>
          <w:rStyle w:val="FootnoteReference"/>
        </w:rPr>
        <w:footnoteReference w:id="5"/>
      </w:r>
      <w:r>
        <w:t xml:space="preserve"> </w:t>
      </w:r>
    </w:p>
    <w:p w14:paraId="5CCB7E90" w14:textId="5AEEA365" w:rsidR="00D33F8E" w:rsidRDefault="00B36FBE" w:rsidP="00424CBA">
      <w:pPr>
        <w:spacing w:line="480" w:lineRule="auto"/>
        <w:ind w:firstLine="720"/>
        <w:rPr>
          <w:color w:val="000000" w:themeColor="text1"/>
        </w:rPr>
      </w:pPr>
      <w:r>
        <w:t>The 1910 census lists Mary’s occupati</w:t>
      </w:r>
      <w:r w:rsidR="00F67BFD">
        <w:t>on as “farmer” but testimonies in the</w:t>
      </w:r>
      <w:r>
        <w:t xml:space="preserve"> Tennie Sneed case</w:t>
      </w:r>
      <w:r w:rsidR="0032792E">
        <w:t xml:space="preserve"> </w:t>
      </w:r>
      <w:r w:rsidR="00F67BFD">
        <w:t xml:space="preserve">claimed that </w:t>
      </w:r>
      <w:r w:rsidR="0032792E">
        <w:t>she worked as</w:t>
      </w:r>
      <w:r>
        <w:t xml:space="preserve"> a housekeeper</w:t>
      </w:r>
      <w:r w:rsidR="0032792E">
        <w:t xml:space="preserve"> and cook</w:t>
      </w:r>
      <w:r>
        <w:t xml:space="preserve"> for </w:t>
      </w:r>
      <w:r w:rsidR="0032792E">
        <w:rPr>
          <w:color w:val="000000" w:themeColor="text1"/>
        </w:rPr>
        <w:t>Paul Strange.</w:t>
      </w:r>
      <w:r w:rsidR="008D14F9">
        <w:rPr>
          <w:rStyle w:val="FootnoteReference"/>
          <w:color w:val="000000" w:themeColor="text1"/>
        </w:rPr>
        <w:footnoteReference w:id="6"/>
      </w:r>
      <w:r>
        <w:rPr>
          <w:color w:val="FF0000"/>
        </w:rPr>
        <w:t xml:space="preserve"> </w:t>
      </w:r>
      <w:r w:rsidR="00F67BFD">
        <w:rPr>
          <w:color w:val="000000" w:themeColor="text1"/>
        </w:rPr>
        <w:t>Around</w:t>
      </w:r>
      <w:r w:rsidR="00963924">
        <w:rPr>
          <w:color w:val="000000" w:themeColor="text1"/>
        </w:rPr>
        <w:t xml:space="preserve"> </w:t>
      </w:r>
      <w:r w:rsidR="003219CE">
        <w:rPr>
          <w:color w:val="000000" w:themeColor="text1"/>
        </w:rPr>
        <w:t xml:space="preserve">1910 </w:t>
      </w:r>
      <w:r w:rsidR="002732A2">
        <w:rPr>
          <w:color w:val="000000" w:themeColor="text1"/>
        </w:rPr>
        <w:t xml:space="preserve">Mary moved into a small house on </w:t>
      </w:r>
      <w:r w:rsidR="0032792E">
        <w:rPr>
          <w:color w:val="000000" w:themeColor="text1"/>
        </w:rPr>
        <w:t>Strange</w:t>
      </w:r>
      <w:r w:rsidR="002732A2">
        <w:rPr>
          <w:color w:val="000000" w:themeColor="text1"/>
        </w:rPr>
        <w:t>’</w:t>
      </w:r>
      <w:r w:rsidR="00707ABA">
        <w:rPr>
          <w:color w:val="000000" w:themeColor="text1"/>
        </w:rPr>
        <w:t xml:space="preserve">s land </w:t>
      </w:r>
      <w:r w:rsidR="00424CBA">
        <w:rPr>
          <w:color w:val="000000" w:themeColor="text1"/>
        </w:rPr>
        <w:t xml:space="preserve">in Elysian Fields </w:t>
      </w:r>
      <w:r w:rsidR="00707ABA">
        <w:rPr>
          <w:color w:val="000000" w:themeColor="text1"/>
        </w:rPr>
        <w:t>to</w:t>
      </w:r>
      <w:r w:rsidR="00881D43">
        <w:rPr>
          <w:color w:val="000000" w:themeColor="text1"/>
        </w:rPr>
        <w:t xml:space="preserve"> </w:t>
      </w:r>
      <w:r w:rsidR="00707ABA">
        <w:rPr>
          <w:color w:val="000000" w:themeColor="text1"/>
        </w:rPr>
        <w:t>work</w:t>
      </w:r>
      <w:r w:rsidR="00424CBA">
        <w:rPr>
          <w:color w:val="000000" w:themeColor="text1"/>
        </w:rPr>
        <w:t xml:space="preserve"> as hi</w:t>
      </w:r>
      <w:r w:rsidR="002732A2">
        <w:rPr>
          <w:color w:val="000000" w:themeColor="text1"/>
        </w:rPr>
        <w:t>s housekeeper.</w:t>
      </w:r>
      <w:r w:rsidR="00963924">
        <w:rPr>
          <w:rStyle w:val="FootnoteReference"/>
          <w:color w:val="000000" w:themeColor="text1"/>
        </w:rPr>
        <w:footnoteReference w:id="7"/>
      </w:r>
      <w:r w:rsidR="002732A2">
        <w:rPr>
          <w:color w:val="000000" w:themeColor="text1"/>
        </w:rPr>
        <w:t xml:space="preserve"> </w:t>
      </w:r>
      <w:r w:rsidR="0032792E">
        <w:rPr>
          <w:color w:val="000000" w:themeColor="text1"/>
        </w:rPr>
        <w:t>George Sanders and Tennie Sneed lived nearby and the three knew each other well. Little else is known about Mary, other than that she was about</w:t>
      </w:r>
      <w:r w:rsidR="00A46C46">
        <w:rPr>
          <w:color w:val="000000" w:themeColor="text1"/>
        </w:rPr>
        <w:t xml:space="preserve"> forty</w:t>
      </w:r>
      <w:r w:rsidR="0032792E">
        <w:rPr>
          <w:color w:val="000000" w:themeColor="text1"/>
        </w:rPr>
        <w:t xml:space="preserve"> years of age when she di</w:t>
      </w:r>
      <w:r w:rsidR="00F44394">
        <w:rPr>
          <w:color w:val="000000" w:themeColor="text1"/>
        </w:rPr>
        <w:t>ed in 1912</w:t>
      </w:r>
      <w:r w:rsidR="00707ABA">
        <w:rPr>
          <w:color w:val="000000" w:themeColor="text1"/>
        </w:rPr>
        <w:t xml:space="preserve"> and “protested all along” that she had nothing to do with Strange’s murder</w:t>
      </w:r>
      <w:r w:rsidR="00F44394">
        <w:rPr>
          <w:color w:val="000000" w:themeColor="text1"/>
        </w:rPr>
        <w:t>.</w:t>
      </w:r>
      <w:r w:rsidR="00707ABA">
        <w:rPr>
          <w:rStyle w:val="FootnoteReference"/>
          <w:color w:val="000000" w:themeColor="text1"/>
        </w:rPr>
        <w:footnoteReference w:id="8"/>
      </w:r>
      <w:r w:rsidR="00D36034">
        <w:rPr>
          <w:color w:val="000000" w:themeColor="text1"/>
        </w:rPr>
        <w:t xml:space="preserve"> Despite the limited</w:t>
      </w:r>
      <w:r w:rsidR="00C770BD">
        <w:rPr>
          <w:color w:val="000000" w:themeColor="text1"/>
        </w:rPr>
        <w:t xml:space="preserve"> </w:t>
      </w:r>
      <w:r w:rsidR="00F67BFD">
        <w:rPr>
          <w:color w:val="000000" w:themeColor="text1"/>
        </w:rPr>
        <w:t xml:space="preserve">surviving </w:t>
      </w:r>
      <w:r w:rsidR="00C770BD">
        <w:rPr>
          <w:color w:val="000000" w:themeColor="text1"/>
        </w:rPr>
        <w:t>information</w:t>
      </w:r>
      <w:r w:rsidR="00F44394">
        <w:rPr>
          <w:color w:val="000000" w:themeColor="text1"/>
        </w:rPr>
        <w:t xml:space="preserve"> about her personal life</w:t>
      </w:r>
      <w:r w:rsidR="00A46C46">
        <w:rPr>
          <w:color w:val="000000" w:themeColor="text1"/>
        </w:rPr>
        <w:t>, Mary’s death is significant because the circumstances surrounding her lynching closel</w:t>
      </w:r>
      <w:r w:rsidR="00F67BFD">
        <w:rPr>
          <w:color w:val="000000" w:themeColor="text1"/>
        </w:rPr>
        <w:t xml:space="preserve">y mirror those of the </w:t>
      </w:r>
      <w:r w:rsidR="00913129">
        <w:rPr>
          <w:color w:val="000000" w:themeColor="text1"/>
        </w:rPr>
        <w:t>eleven</w:t>
      </w:r>
      <w:r w:rsidR="00F67BFD">
        <w:rPr>
          <w:color w:val="000000" w:themeColor="text1"/>
        </w:rPr>
        <w:t xml:space="preserve"> other</w:t>
      </w:r>
      <w:r w:rsidR="00A46C46">
        <w:rPr>
          <w:color w:val="000000" w:themeColor="text1"/>
        </w:rPr>
        <w:t xml:space="preserve"> confirmed female lynching victims in Texas</w:t>
      </w:r>
      <w:r w:rsidR="003F6996">
        <w:rPr>
          <w:color w:val="000000" w:themeColor="text1"/>
        </w:rPr>
        <w:t>.</w:t>
      </w:r>
      <w:r w:rsidR="00F44394">
        <w:rPr>
          <w:color w:val="000000" w:themeColor="text1"/>
        </w:rPr>
        <w:t xml:space="preserve"> </w:t>
      </w:r>
    </w:p>
    <w:p w14:paraId="73D09017" w14:textId="4411DE20" w:rsidR="00F44394" w:rsidRDefault="00F44394" w:rsidP="001247FB">
      <w:pPr>
        <w:spacing w:line="480" w:lineRule="auto"/>
        <w:rPr>
          <w:color w:val="000000" w:themeColor="text1"/>
        </w:rPr>
      </w:pPr>
      <w:r>
        <w:rPr>
          <w:color w:val="000000" w:themeColor="text1"/>
        </w:rPr>
        <w:tab/>
      </w:r>
      <w:r w:rsidR="00A53FD9">
        <w:rPr>
          <w:color w:val="000000" w:themeColor="text1"/>
        </w:rPr>
        <w:t>While l</w:t>
      </w:r>
      <w:r w:rsidR="003F6996">
        <w:rPr>
          <w:color w:val="000000" w:themeColor="text1"/>
        </w:rPr>
        <w:t>ittle</w:t>
      </w:r>
      <w:r>
        <w:rPr>
          <w:color w:val="000000" w:themeColor="text1"/>
        </w:rPr>
        <w:t xml:space="preserve"> is known about Mary Jackson, </w:t>
      </w:r>
      <w:r w:rsidR="003F6996">
        <w:rPr>
          <w:color w:val="000000" w:themeColor="text1"/>
        </w:rPr>
        <w:t xml:space="preserve">but </w:t>
      </w:r>
      <w:r>
        <w:rPr>
          <w:color w:val="000000" w:themeColor="text1"/>
        </w:rPr>
        <w:t xml:space="preserve">even less is known about Sneed and Sanders. Sanders </w:t>
      </w:r>
      <w:r w:rsidR="00C770BD">
        <w:rPr>
          <w:color w:val="000000" w:themeColor="text1"/>
        </w:rPr>
        <w:t>also grew up in Harrison County</w:t>
      </w:r>
      <w:r>
        <w:rPr>
          <w:color w:val="000000" w:themeColor="text1"/>
        </w:rPr>
        <w:t xml:space="preserve"> and lived next door to Jacks</w:t>
      </w:r>
      <w:r w:rsidR="00D36034">
        <w:rPr>
          <w:color w:val="000000" w:themeColor="text1"/>
        </w:rPr>
        <w:t>on for much of his l</w:t>
      </w:r>
      <w:r w:rsidR="00A53FD9">
        <w:rPr>
          <w:color w:val="000000" w:themeColor="text1"/>
        </w:rPr>
        <w:t xml:space="preserve">ife. Sanders worked as a farmer </w:t>
      </w:r>
      <w:r>
        <w:rPr>
          <w:color w:val="000000" w:themeColor="text1"/>
        </w:rPr>
        <w:t>and according to newspapers was “always considered a good negro.”</w:t>
      </w:r>
      <w:r>
        <w:rPr>
          <w:rStyle w:val="FootnoteReference"/>
          <w:color w:val="000000" w:themeColor="text1"/>
        </w:rPr>
        <w:footnoteReference w:id="9"/>
      </w:r>
      <w:r>
        <w:rPr>
          <w:color w:val="000000" w:themeColor="text1"/>
        </w:rPr>
        <w:t xml:space="preserve"> </w:t>
      </w:r>
      <w:r w:rsidR="00C770BD">
        <w:rPr>
          <w:color w:val="000000" w:themeColor="text1"/>
        </w:rPr>
        <w:t xml:space="preserve">Tennie </w:t>
      </w:r>
      <w:r w:rsidR="00FA46F7">
        <w:rPr>
          <w:color w:val="000000" w:themeColor="text1"/>
        </w:rPr>
        <w:t>Sneed proved by far the most difficult to study, as his name is egregiously misspelled in almos</w:t>
      </w:r>
      <w:r w:rsidR="00A53FD9">
        <w:rPr>
          <w:color w:val="000000" w:themeColor="text1"/>
        </w:rPr>
        <w:t xml:space="preserve">t every document </w:t>
      </w:r>
      <w:r w:rsidR="0075536D">
        <w:rPr>
          <w:color w:val="000000" w:themeColor="text1"/>
        </w:rPr>
        <w:t>concerning</w:t>
      </w:r>
      <w:r w:rsidR="00FA46F7">
        <w:rPr>
          <w:color w:val="000000" w:themeColor="text1"/>
        </w:rPr>
        <w:t xml:space="preserve"> him. Sneed was born to Adaline Sneed </w:t>
      </w:r>
      <w:r w:rsidR="00E66336">
        <w:rPr>
          <w:color w:val="000000" w:themeColor="text1"/>
        </w:rPr>
        <w:t xml:space="preserve">and Valentine Sneed </w:t>
      </w:r>
      <w:r w:rsidR="00FA46F7">
        <w:rPr>
          <w:color w:val="000000" w:themeColor="text1"/>
        </w:rPr>
        <w:t>in about 1894 and grew up in Harrison County.</w:t>
      </w:r>
      <w:r w:rsidR="008C0417">
        <w:rPr>
          <w:rStyle w:val="FootnoteReference"/>
          <w:color w:val="000000" w:themeColor="text1"/>
        </w:rPr>
        <w:footnoteReference w:id="10"/>
      </w:r>
      <w:r w:rsidR="00FA46F7">
        <w:rPr>
          <w:color w:val="000000" w:themeColor="text1"/>
        </w:rPr>
        <w:t xml:space="preserve"> </w:t>
      </w:r>
      <w:r w:rsidR="00A53FD9">
        <w:rPr>
          <w:color w:val="000000" w:themeColor="text1"/>
        </w:rPr>
        <w:t>By</w:t>
      </w:r>
      <w:r w:rsidR="00A46C46">
        <w:rPr>
          <w:color w:val="000000" w:themeColor="text1"/>
        </w:rPr>
        <w:t xml:space="preserve"> the age of sixteen</w:t>
      </w:r>
      <w:r w:rsidR="00FA46F7">
        <w:rPr>
          <w:color w:val="000000" w:themeColor="text1"/>
        </w:rPr>
        <w:t xml:space="preserve"> Tennie worke</w:t>
      </w:r>
      <w:r w:rsidR="00707ABA">
        <w:rPr>
          <w:color w:val="000000" w:themeColor="text1"/>
        </w:rPr>
        <w:t xml:space="preserve">d as a farm laborer on his </w:t>
      </w:r>
      <w:r w:rsidR="00FA46F7">
        <w:rPr>
          <w:color w:val="000000" w:themeColor="text1"/>
        </w:rPr>
        <w:t>father’s farm a</w:t>
      </w:r>
      <w:r w:rsidR="00A46C46">
        <w:rPr>
          <w:color w:val="000000" w:themeColor="text1"/>
        </w:rPr>
        <w:t xml:space="preserve">nd </w:t>
      </w:r>
      <w:r w:rsidR="00A53FD9">
        <w:rPr>
          <w:color w:val="000000" w:themeColor="text1"/>
        </w:rPr>
        <w:t>on Ma</w:t>
      </w:r>
      <w:r w:rsidR="00644C9C">
        <w:rPr>
          <w:color w:val="000000" w:themeColor="text1"/>
        </w:rPr>
        <w:t>rch 5, 1911 Tennie, then aged eighteen</w:t>
      </w:r>
      <w:r w:rsidR="00A53FD9">
        <w:rPr>
          <w:color w:val="000000" w:themeColor="text1"/>
        </w:rPr>
        <w:t xml:space="preserve">, </w:t>
      </w:r>
      <w:r w:rsidR="00FA46F7">
        <w:rPr>
          <w:color w:val="000000" w:themeColor="text1"/>
        </w:rPr>
        <w:t>married Alice Dehays</w:t>
      </w:r>
      <w:r w:rsidR="0075536D">
        <w:rPr>
          <w:color w:val="000000" w:themeColor="text1"/>
        </w:rPr>
        <w:t>,</w:t>
      </w:r>
      <w:r w:rsidR="00520794">
        <w:rPr>
          <w:color w:val="000000" w:themeColor="text1"/>
        </w:rPr>
        <w:t xml:space="preserve"> who was seven</w:t>
      </w:r>
      <w:r w:rsidR="00A46C46">
        <w:rPr>
          <w:color w:val="000000" w:themeColor="text1"/>
        </w:rPr>
        <w:t>teen</w:t>
      </w:r>
      <w:r w:rsidR="00FA46F7">
        <w:rPr>
          <w:color w:val="000000" w:themeColor="text1"/>
        </w:rPr>
        <w:t xml:space="preserve"> years of age at the time.</w:t>
      </w:r>
      <w:r w:rsidR="008C0417">
        <w:rPr>
          <w:rStyle w:val="FootnoteReference"/>
          <w:color w:val="000000" w:themeColor="text1"/>
        </w:rPr>
        <w:footnoteReference w:id="11"/>
      </w:r>
      <w:r w:rsidR="00FA46F7">
        <w:rPr>
          <w:color w:val="000000" w:themeColor="text1"/>
        </w:rPr>
        <w:t xml:space="preserve"> The two quickly moved in together and were married less than a year before Paul Strange’s murder. </w:t>
      </w:r>
    </w:p>
    <w:p w14:paraId="761E04C4" w14:textId="71761F05" w:rsidR="004278F9" w:rsidRDefault="00FA46F7" w:rsidP="002C679D">
      <w:pPr>
        <w:spacing w:line="480" w:lineRule="auto"/>
        <w:rPr>
          <w:color w:val="000000" w:themeColor="text1"/>
        </w:rPr>
      </w:pPr>
      <w:r>
        <w:rPr>
          <w:color w:val="000000" w:themeColor="text1"/>
        </w:rPr>
        <w:tab/>
      </w:r>
      <w:r w:rsidR="00A46C46">
        <w:rPr>
          <w:color w:val="000000" w:themeColor="text1"/>
        </w:rPr>
        <w:t xml:space="preserve">The </w:t>
      </w:r>
      <w:r w:rsidR="005F5096">
        <w:rPr>
          <w:color w:val="000000" w:themeColor="text1"/>
        </w:rPr>
        <w:t>Strange family</w:t>
      </w:r>
      <w:r w:rsidR="00A46C46">
        <w:rPr>
          <w:color w:val="000000" w:themeColor="text1"/>
        </w:rPr>
        <w:t xml:space="preserve">, also longtime residents of Harrison County, lived just </w:t>
      </w:r>
      <w:r w:rsidR="005F5096">
        <w:rPr>
          <w:color w:val="000000" w:themeColor="text1"/>
        </w:rPr>
        <w:t>down the road from Sneed. The head of the househo</w:t>
      </w:r>
      <w:r w:rsidR="00A53FD9">
        <w:rPr>
          <w:color w:val="000000" w:themeColor="text1"/>
        </w:rPr>
        <w:t>ld, Joseph F. Strange, enjoyed a fine</w:t>
      </w:r>
      <w:r w:rsidR="00C770BD">
        <w:rPr>
          <w:color w:val="000000" w:themeColor="text1"/>
        </w:rPr>
        <w:t xml:space="preserve"> reputation </w:t>
      </w:r>
      <w:r w:rsidR="00A53FD9">
        <w:rPr>
          <w:color w:val="000000" w:themeColor="text1"/>
        </w:rPr>
        <w:t>with</w:t>
      </w:r>
      <w:r w:rsidR="00C770BD">
        <w:rPr>
          <w:color w:val="000000" w:themeColor="text1"/>
        </w:rPr>
        <w:t xml:space="preserve">in the community </w:t>
      </w:r>
      <w:r w:rsidR="00A53FD9">
        <w:rPr>
          <w:color w:val="000000" w:themeColor="text1"/>
        </w:rPr>
        <w:t>and once ran as</w:t>
      </w:r>
      <w:r w:rsidR="005F5096">
        <w:rPr>
          <w:color w:val="000000" w:themeColor="text1"/>
        </w:rPr>
        <w:t xml:space="preserve"> a candidate for superintendent of the local school.</w:t>
      </w:r>
      <w:r w:rsidR="00707ABA">
        <w:rPr>
          <w:rStyle w:val="FootnoteReference"/>
          <w:color w:val="000000" w:themeColor="text1"/>
        </w:rPr>
        <w:footnoteReference w:id="12"/>
      </w:r>
      <w:r w:rsidR="005F5096">
        <w:rPr>
          <w:color w:val="000000" w:themeColor="text1"/>
        </w:rPr>
        <w:t xml:space="preserve"> Joseph had four children, two boys and two girls. His oldest son, Paul Strange, helped run the </w:t>
      </w:r>
      <w:r w:rsidR="00A53FD9">
        <w:rPr>
          <w:color w:val="000000" w:themeColor="text1"/>
        </w:rPr>
        <w:t xml:space="preserve">family farm </w:t>
      </w:r>
      <w:r w:rsidR="005F5096">
        <w:rPr>
          <w:color w:val="000000" w:themeColor="text1"/>
        </w:rPr>
        <w:t xml:space="preserve">while his younger son, Jim, worked as a </w:t>
      </w:r>
      <w:r w:rsidR="00644C9C">
        <w:rPr>
          <w:color w:val="000000" w:themeColor="text1"/>
        </w:rPr>
        <w:t>school teacher</w:t>
      </w:r>
      <w:r w:rsidR="005F5096">
        <w:rPr>
          <w:color w:val="000000" w:themeColor="text1"/>
        </w:rPr>
        <w:t xml:space="preserve">. </w:t>
      </w:r>
      <w:r w:rsidR="00707ABA">
        <w:rPr>
          <w:color w:val="000000" w:themeColor="text1"/>
        </w:rPr>
        <w:t>At th</w:t>
      </w:r>
      <w:r w:rsidR="00A46C46">
        <w:rPr>
          <w:color w:val="000000" w:themeColor="text1"/>
        </w:rPr>
        <w:t>e time of his death, Paul was thirty-six</w:t>
      </w:r>
      <w:r w:rsidR="00707ABA">
        <w:rPr>
          <w:color w:val="000000" w:themeColor="text1"/>
        </w:rPr>
        <w:t xml:space="preserve"> years of age, significantly older than Tennie </w:t>
      </w:r>
      <w:r w:rsidR="00A46C46">
        <w:rPr>
          <w:color w:val="000000" w:themeColor="text1"/>
        </w:rPr>
        <w:t>or Alice Sneed, who were both eighteen</w:t>
      </w:r>
      <w:r w:rsidR="00707ABA">
        <w:rPr>
          <w:color w:val="000000" w:themeColor="text1"/>
        </w:rPr>
        <w:t xml:space="preserve">. </w:t>
      </w:r>
      <w:r w:rsidR="005F5096">
        <w:rPr>
          <w:color w:val="000000" w:themeColor="text1"/>
        </w:rPr>
        <w:t>Even though they lived on the poor side of town with mostly black residents, the Strange family held a reputable social standing</w:t>
      </w:r>
      <w:r w:rsidR="00343756">
        <w:rPr>
          <w:color w:val="000000" w:themeColor="text1"/>
        </w:rPr>
        <w:t xml:space="preserve"> and </w:t>
      </w:r>
      <w:r w:rsidR="00C770BD">
        <w:rPr>
          <w:color w:val="000000" w:themeColor="text1"/>
        </w:rPr>
        <w:t>was</w:t>
      </w:r>
      <w:r w:rsidR="00A46C46">
        <w:rPr>
          <w:color w:val="000000" w:themeColor="text1"/>
        </w:rPr>
        <w:t xml:space="preserve"> </w:t>
      </w:r>
      <w:r w:rsidR="00575948">
        <w:rPr>
          <w:color w:val="000000" w:themeColor="text1"/>
        </w:rPr>
        <w:t>considered</w:t>
      </w:r>
      <w:r w:rsidR="00343756">
        <w:rPr>
          <w:color w:val="000000" w:themeColor="text1"/>
        </w:rPr>
        <w:t xml:space="preserve"> “a very powerful and influential family.”</w:t>
      </w:r>
      <w:r w:rsidR="00343756">
        <w:rPr>
          <w:rStyle w:val="FootnoteReference"/>
          <w:color w:val="000000" w:themeColor="text1"/>
        </w:rPr>
        <w:footnoteReference w:id="13"/>
      </w:r>
      <w:r w:rsidR="00957328">
        <w:rPr>
          <w:color w:val="000000" w:themeColor="text1"/>
        </w:rPr>
        <w:t xml:space="preserve"> </w:t>
      </w:r>
    </w:p>
    <w:p w14:paraId="49566057" w14:textId="189FC994" w:rsidR="007E58AD" w:rsidRDefault="007E58AD" w:rsidP="001247FB">
      <w:pPr>
        <w:spacing w:line="480" w:lineRule="auto"/>
        <w:rPr>
          <w:color w:val="000000" w:themeColor="text1"/>
        </w:rPr>
      </w:pPr>
      <w:r>
        <w:rPr>
          <w:color w:val="000000" w:themeColor="text1"/>
        </w:rPr>
        <w:tab/>
        <w:t>Earlier on the night of January 29, 1912, Sneed “ate supper at his mother’s house… and then went on up to Mary Jackson’s home.”</w:t>
      </w:r>
      <w:r>
        <w:rPr>
          <w:rStyle w:val="FootnoteReference"/>
          <w:color w:val="000000" w:themeColor="text1"/>
        </w:rPr>
        <w:footnoteReference w:id="14"/>
      </w:r>
      <w:r w:rsidR="00D36034">
        <w:rPr>
          <w:color w:val="000000" w:themeColor="text1"/>
        </w:rPr>
        <w:t xml:space="preserve"> While there, Sneed claimed</w:t>
      </w:r>
      <w:r>
        <w:rPr>
          <w:color w:val="000000" w:themeColor="text1"/>
        </w:rPr>
        <w:t xml:space="preserve"> Jacks</w:t>
      </w:r>
      <w:r w:rsidR="002C679D">
        <w:rPr>
          <w:color w:val="000000" w:themeColor="text1"/>
        </w:rPr>
        <w:t>on e</w:t>
      </w:r>
      <w:r w:rsidR="003F6996">
        <w:rPr>
          <w:color w:val="000000" w:themeColor="text1"/>
        </w:rPr>
        <w:t>xpressed her concern for his</w:t>
      </w:r>
      <w:r w:rsidR="002C679D">
        <w:rPr>
          <w:color w:val="000000" w:themeColor="text1"/>
        </w:rPr>
        <w:t xml:space="preserve"> safety</w:t>
      </w:r>
      <w:r w:rsidR="003F6996">
        <w:rPr>
          <w:color w:val="000000" w:themeColor="text1"/>
        </w:rPr>
        <w:t xml:space="preserve"> because of Strange’s attraction to Sneed’s wife, Alice. Sneed also claimed Jackson</w:t>
      </w:r>
      <w:r>
        <w:rPr>
          <w:color w:val="000000" w:themeColor="text1"/>
        </w:rPr>
        <w:t xml:space="preserve"> </w:t>
      </w:r>
      <w:r w:rsidR="00957328">
        <w:rPr>
          <w:color w:val="000000" w:themeColor="text1"/>
        </w:rPr>
        <w:t>over</w:t>
      </w:r>
      <w:r>
        <w:rPr>
          <w:color w:val="000000" w:themeColor="text1"/>
        </w:rPr>
        <w:t xml:space="preserve">heard Strange say he was going to kill Sneed </w:t>
      </w:r>
      <w:r w:rsidR="00957328">
        <w:rPr>
          <w:color w:val="000000" w:themeColor="text1"/>
        </w:rPr>
        <w:t xml:space="preserve">earlier </w:t>
      </w:r>
      <w:r w:rsidR="00E41C0D">
        <w:rPr>
          <w:color w:val="000000" w:themeColor="text1"/>
        </w:rPr>
        <w:t>that morning. Furthermore Sneed</w:t>
      </w:r>
      <w:r>
        <w:rPr>
          <w:color w:val="000000" w:themeColor="text1"/>
        </w:rPr>
        <w:t xml:space="preserve"> argued that Jackson encouraged him to get Sanders’s gun for protection, and so he did. Once Sneed returned home, he found his w</w:t>
      </w:r>
      <w:r w:rsidR="002C679D">
        <w:rPr>
          <w:color w:val="000000" w:themeColor="text1"/>
        </w:rPr>
        <w:t>ife frightened, and his brother-in-</w:t>
      </w:r>
      <w:r>
        <w:rPr>
          <w:color w:val="000000" w:themeColor="text1"/>
        </w:rPr>
        <w:t>law, John Henry Jacobs</w:t>
      </w:r>
      <w:r w:rsidR="00133451">
        <w:rPr>
          <w:color w:val="000000" w:themeColor="text1"/>
        </w:rPr>
        <w:t>,</w:t>
      </w:r>
      <w:r>
        <w:rPr>
          <w:color w:val="000000" w:themeColor="text1"/>
        </w:rPr>
        <w:t xml:space="preserve"> in the kitchen attempting to p</w:t>
      </w:r>
      <w:r w:rsidR="00133451">
        <w:rPr>
          <w:color w:val="000000" w:themeColor="text1"/>
        </w:rPr>
        <w:t>revent Strange from entering Alice</w:t>
      </w:r>
      <w:r w:rsidR="00A53FD9">
        <w:rPr>
          <w:color w:val="000000" w:themeColor="text1"/>
        </w:rPr>
        <w:t xml:space="preserve">’s bedroom. When he realized Sneed had a </w:t>
      </w:r>
      <w:r>
        <w:rPr>
          <w:color w:val="000000" w:themeColor="text1"/>
        </w:rPr>
        <w:t>gun, Strange became out</w:t>
      </w:r>
      <w:r w:rsidR="00470376">
        <w:rPr>
          <w:color w:val="000000" w:themeColor="text1"/>
        </w:rPr>
        <w:t>raged and said that Jackson</w:t>
      </w:r>
      <w:r>
        <w:rPr>
          <w:color w:val="000000" w:themeColor="text1"/>
        </w:rPr>
        <w:t xml:space="preserve"> had warned him that Sneed would kill him.</w:t>
      </w:r>
      <w:r w:rsidR="00957328">
        <w:rPr>
          <w:rStyle w:val="FootnoteReference"/>
          <w:color w:val="000000" w:themeColor="text1"/>
        </w:rPr>
        <w:footnoteReference w:id="15"/>
      </w:r>
      <w:r>
        <w:rPr>
          <w:color w:val="000000" w:themeColor="text1"/>
        </w:rPr>
        <w:t xml:space="preserve"> Sneed tried to calm him down, but Strange would hear none of it. </w:t>
      </w:r>
      <w:r w:rsidR="00343756">
        <w:rPr>
          <w:color w:val="000000" w:themeColor="text1"/>
        </w:rPr>
        <w:t>After an extended argument that led both of the men out of the house and into the stre</w:t>
      </w:r>
      <w:r w:rsidR="00520794">
        <w:rPr>
          <w:color w:val="000000" w:themeColor="text1"/>
        </w:rPr>
        <w:t>et</w:t>
      </w:r>
      <w:r w:rsidR="00D36034">
        <w:rPr>
          <w:color w:val="000000" w:themeColor="text1"/>
        </w:rPr>
        <w:t>,</w:t>
      </w:r>
      <w:r w:rsidR="00520794">
        <w:rPr>
          <w:color w:val="000000" w:themeColor="text1"/>
        </w:rPr>
        <w:t xml:space="preserve"> Sneed testified “I shot him [Strange]</w:t>
      </w:r>
      <w:r w:rsidR="00343756">
        <w:rPr>
          <w:color w:val="000000" w:themeColor="text1"/>
        </w:rPr>
        <w:t xml:space="preserve"> to keep him from killing me for he said that he had an automatic and 41 caliore [sic] revolver on him… I never threatened to kill Mr. Strange.”</w:t>
      </w:r>
      <w:r w:rsidR="00343756">
        <w:rPr>
          <w:rStyle w:val="FootnoteReference"/>
          <w:color w:val="000000" w:themeColor="text1"/>
        </w:rPr>
        <w:footnoteReference w:id="16"/>
      </w:r>
      <w:r w:rsidR="00343756">
        <w:rPr>
          <w:color w:val="000000" w:themeColor="text1"/>
        </w:rPr>
        <w:t xml:space="preserve"> Once he realized Strange would not survive, Sneed fled. When </w:t>
      </w:r>
      <w:r w:rsidR="00A53FD9">
        <w:rPr>
          <w:color w:val="000000" w:themeColor="text1"/>
        </w:rPr>
        <w:t>later</w:t>
      </w:r>
      <w:r w:rsidR="00343756">
        <w:rPr>
          <w:color w:val="000000" w:themeColor="text1"/>
        </w:rPr>
        <w:t xml:space="preserve"> asked </w:t>
      </w:r>
      <w:r w:rsidR="00A53FD9">
        <w:rPr>
          <w:color w:val="000000" w:themeColor="text1"/>
        </w:rPr>
        <w:t xml:space="preserve">during the trial </w:t>
      </w:r>
      <w:r w:rsidR="00343756">
        <w:rPr>
          <w:color w:val="000000" w:themeColor="text1"/>
        </w:rPr>
        <w:t>why he fled</w:t>
      </w:r>
      <w:r w:rsidR="00470376">
        <w:rPr>
          <w:color w:val="000000" w:themeColor="text1"/>
        </w:rPr>
        <w:t>, he responded</w:t>
      </w:r>
      <w:r w:rsidR="00343756">
        <w:rPr>
          <w:color w:val="000000" w:themeColor="text1"/>
        </w:rPr>
        <w:t xml:space="preserve"> “because I was afraid.”</w:t>
      </w:r>
      <w:r w:rsidR="00343756">
        <w:rPr>
          <w:rStyle w:val="FootnoteReference"/>
          <w:color w:val="000000" w:themeColor="text1"/>
        </w:rPr>
        <w:footnoteReference w:id="17"/>
      </w:r>
      <w:r w:rsidR="00957328">
        <w:rPr>
          <w:color w:val="000000" w:themeColor="text1"/>
        </w:rPr>
        <w:t xml:space="preserve"> Sneed’s fear is understandable, especially considering the history of racial violence, particularly lynchings, </w:t>
      </w:r>
      <w:r w:rsidR="003E7E81">
        <w:rPr>
          <w:color w:val="000000" w:themeColor="text1"/>
        </w:rPr>
        <w:t>throughout Texas and in Harrison County</w:t>
      </w:r>
      <w:r w:rsidR="00957328">
        <w:rPr>
          <w:color w:val="000000" w:themeColor="text1"/>
        </w:rPr>
        <w:t xml:space="preserve">. </w:t>
      </w:r>
    </w:p>
    <w:p w14:paraId="516A33AC" w14:textId="4504FA06" w:rsidR="002C679D" w:rsidRDefault="002C679D" w:rsidP="001247FB">
      <w:pPr>
        <w:spacing w:line="480" w:lineRule="auto"/>
        <w:rPr>
          <w:color w:val="000000" w:themeColor="text1"/>
        </w:rPr>
      </w:pPr>
      <w:r>
        <w:rPr>
          <w:color w:val="000000" w:themeColor="text1"/>
        </w:rPr>
        <w:tab/>
        <w:t xml:space="preserve">The </w:t>
      </w:r>
      <w:r w:rsidR="003E7E81">
        <w:rPr>
          <w:color w:val="000000" w:themeColor="text1"/>
        </w:rPr>
        <w:t>skirmish</w:t>
      </w:r>
      <w:r>
        <w:rPr>
          <w:color w:val="000000" w:themeColor="text1"/>
        </w:rPr>
        <w:t xml:space="preserve"> that led to Strange’s murder resulted from Strange’s unrequited affection for Sneed’</w:t>
      </w:r>
      <w:r w:rsidR="003E7E81">
        <w:rPr>
          <w:color w:val="000000" w:themeColor="text1"/>
        </w:rPr>
        <w:t>s wife, Alice</w:t>
      </w:r>
      <w:r>
        <w:rPr>
          <w:color w:val="000000" w:themeColor="text1"/>
        </w:rPr>
        <w:t>. In her testimony</w:t>
      </w:r>
      <w:r w:rsidR="00840F9A">
        <w:rPr>
          <w:color w:val="000000" w:themeColor="text1"/>
        </w:rPr>
        <w:t xml:space="preserve"> after the murder,</w:t>
      </w:r>
      <w:r>
        <w:rPr>
          <w:color w:val="000000" w:themeColor="text1"/>
        </w:rPr>
        <w:t xml:space="preserve"> Charity Jacobs, Alice’s mother, claimed that “Paul Strange, the deceased, made a number of overtures to her to the effect that if she would run [Sneed] off that he would support [Alice] and send her to school.”</w:t>
      </w:r>
      <w:r>
        <w:rPr>
          <w:rStyle w:val="FootnoteReference"/>
          <w:color w:val="000000" w:themeColor="text1"/>
        </w:rPr>
        <w:footnoteReference w:id="18"/>
      </w:r>
      <w:r>
        <w:rPr>
          <w:color w:val="000000" w:themeColor="text1"/>
        </w:rPr>
        <w:t xml:space="preserve"> No evidence exists to support the notion that Alice might have entertained his affection; instead her own testimony suggests that she feared the man and repeatedly spurned his advances. Alice claimed that on the night of his murder, January 29, 1912, “Mr. Paul came around and knocked on my door and said that he wanted to warm his feet. I was in bed and would not get up and let him in. He went to another door and knocked and asked me to give him a drink of water and he would go on and not do anything to me… I would not let him in.”</w:t>
      </w:r>
      <w:r>
        <w:rPr>
          <w:rStyle w:val="FootnoteReference"/>
          <w:color w:val="000000" w:themeColor="text1"/>
        </w:rPr>
        <w:footnoteReference w:id="19"/>
      </w:r>
      <w:r>
        <w:rPr>
          <w:color w:val="000000" w:themeColor="text1"/>
        </w:rPr>
        <w:t xml:space="preserve"> </w:t>
      </w:r>
    </w:p>
    <w:p w14:paraId="35D3574B" w14:textId="6AF8880D" w:rsidR="006C2A48" w:rsidRDefault="00343756" w:rsidP="001247FB">
      <w:pPr>
        <w:spacing w:line="480" w:lineRule="auto"/>
        <w:rPr>
          <w:color w:val="000000" w:themeColor="text1"/>
        </w:rPr>
      </w:pPr>
      <w:r>
        <w:rPr>
          <w:color w:val="000000" w:themeColor="text1"/>
        </w:rPr>
        <w:tab/>
        <w:t>Wor</w:t>
      </w:r>
      <w:r w:rsidR="0019677A">
        <w:rPr>
          <w:color w:val="000000" w:themeColor="text1"/>
        </w:rPr>
        <w:t>d about the murder traveled quickly and</w:t>
      </w:r>
      <w:r>
        <w:rPr>
          <w:color w:val="000000" w:themeColor="text1"/>
        </w:rPr>
        <w:t xml:space="preserve"> white citizens of Harrison County became outraged. Many </w:t>
      </w:r>
      <w:r w:rsidR="00E66336">
        <w:rPr>
          <w:color w:val="000000" w:themeColor="text1"/>
        </w:rPr>
        <w:t>black citizens left town due to fear of retaliation</w:t>
      </w:r>
      <w:r>
        <w:rPr>
          <w:color w:val="000000" w:themeColor="text1"/>
        </w:rPr>
        <w:t>.</w:t>
      </w:r>
      <w:r w:rsidR="00E66336">
        <w:rPr>
          <w:color w:val="000000" w:themeColor="text1"/>
        </w:rPr>
        <w:t xml:space="preserve"> Sneed’s own father, Valentine Sneed, “through fear of mob violence, left Harrison County” and could not be located to testify in his son’s trial.</w:t>
      </w:r>
      <w:r w:rsidR="00E66336">
        <w:rPr>
          <w:rStyle w:val="FootnoteReference"/>
          <w:color w:val="000000" w:themeColor="text1"/>
        </w:rPr>
        <w:footnoteReference w:id="20"/>
      </w:r>
      <w:r w:rsidR="00E66336">
        <w:rPr>
          <w:color w:val="000000" w:themeColor="text1"/>
        </w:rPr>
        <w:t xml:space="preserve"> A few days after the murder, on the night of February 4, 1912 a single ma</w:t>
      </w:r>
      <w:r w:rsidR="002C679D">
        <w:rPr>
          <w:color w:val="000000" w:themeColor="text1"/>
        </w:rPr>
        <w:t>n whipped Sneed’s brother-in-law</w:t>
      </w:r>
      <w:r w:rsidR="00E66336">
        <w:rPr>
          <w:color w:val="000000" w:themeColor="text1"/>
        </w:rPr>
        <w:t xml:space="preserve">, John Henry Jacobs. Before sunlight, Charity Jacobs and Alice Sneed also met with whipping parties. </w:t>
      </w:r>
      <w:r w:rsidR="003A2A0F">
        <w:rPr>
          <w:color w:val="000000" w:themeColor="text1"/>
        </w:rPr>
        <w:t>When recounting</w:t>
      </w:r>
      <w:r w:rsidR="00E66336">
        <w:rPr>
          <w:color w:val="000000" w:themeColor="text1"/>
        </w:rPr>
        <w:t xml:space="preserve"> her experience </w:t>
      </w:r>
      <w:r w:rsidR="003A2A0F">
        <w:rPr>
          <w:color w:val="000000" w:themeColor="text1"/>
        </w:rPr>
        <w:t xml:space="preserve">in her testimony, Alice stated, “I was taken into a cotton patch and layed [sic] across a stump and they made me pull up my clothes and I was whipped </w:t>
      </w:r>
      <w:r w:rsidR="000B73FD">
        <w:rPr>
          <w:color w:val="000000" w:themeColor="text1"/>
        </w:rPr>
        <w:t>with a rope from my waist to my</w:t>
      </w:r>
      <w:r w:rsidR="003A2A0F">
        <w:rPr>
          <w:color w:val="000000" w:themeColor="text1"/>
        </w:rPr>
        <w:t xml:space="preserve"> feet and told to keep my mo</w:t>
      </w:r>
      <w:r w:rsidR="00AB3D69">
        <w:rPr>
          <w:color w:val="000000" w:themeColor="text1"/>
        </w:rPr>
        <w:t>uth shut</w:t>
      </w:r>
      <w:r w:rsidR="003A2A0F">
        <w:rPr>
          <w:color w:val="000000" w:themeColor="text1"/>
        </w:rPr>
        <w:t>.”</w:t>
      </w:r>
      <w:r w:rsidR="003A2A0F">
        <w:rPr>
          <w:rStyle w:val="FootnoteReference"/>
          <w:color w:val="000000" w:themeColor="text1"/>
        </w:rPr>
        <w:footnoteReference w:id="21"/>
      </w:r>
      <w:r w:rsidR="003A2A0F">
        <w:rPr>
          <w:color w:val="000000" w:themeColor="text1"/>
        </w:rPr>
        <w:t xml:space="preserve"> </w:t>
      </w:r>
      <w:r w:rsidR="00133451">
        <w:rPr>
          <w:color w:val="000000" w:themeColor="text1"/>
        </w:rPr>
        <w:t>After the attacks, the family was “ordered to leave the neighborhood and left the next morning” for Jonesville</w:t>
      </w:r>
      <w:r w:rsidR="00AB3D69">
        <w:rPr>
          <w:color w:val="000000" w:themeColor="text1"/>
        </w:rPr>
        <w:t xml:space="preserve"> where a family friend lived</w:t>
      </w:r>
      <w:r w:rsidR="00133451">
        <w:rPr>
          <w:color w:val="000000" w:themeColor="text1"/>
        </w:rPr>
        <w:t>.</w:t>
      </w:r>
      <w:r w:rsidR="00133451">
        <w:rPr>
          <w:rStyle w:val="FootnoteReference"/>
          <w:color w:val="000000" w:themeColor="text1"/>
        </w:rPr>
        <w:footnoteReference w:id="22"/>
      </w:r>
      <w:r w:rsidR="00133451">
        <w:rPr>
          <w:color w:val="000000" w:themeColor="text1"/>
        </w:rPr>
        <w:t xml:space="preserve"> </w:t>
      </w:r>
    </w:p>
    <w:p w14:paraId="4867F48C" w14:textId="59165915" w:rsidR="00363B52" w:rsidRDefault="003A2A0F" w:rsidP="001247FB">
      <w:pPr>
        <w:spacing w:line="480" w:lineRule="auto"/>
        <w:rPr>
          <w:color w:val="000000" w:themeColor="text1"/>
        </w:rPr>
      </w:pPr>
      <w:r>
        <w:rPr>
          <w:color w:val="000000" w:themeColor="text1"/>
        </w:rPr>
        <w:tab/>
      </w:r>
      <w:r w:rsidR="006C2A48">
        <w:rPr>
          <w:color w:val="000000" w:themeColor="text1"/>
        </w:rPr>
        <w:t>Once apprehended, Sneed spent</w:t>
      </w:r>
      <w:r w:rsidR="00A94791">
        <w:rPr>
          <w:color w:val="000000" w:themeColor="text1"/>
        </w:rPr>
        <w:t xml:space="preserve"> the month</w:t>
      </w:r>
      <w:r w:rsidR="00725624">
        <w:rPr>
          <w:color w:val="000000" w:themeColor="text1"/>
        </w:rPr>
        <w:t xml:space="preserve">s before his trial </w:t>
      </w:r>
      <w:r w:rsidR="00A87EE1">
        <w:rPr>
          <w:color w:val="000000" w:themeColor="text1"/>
        </w:rPr>
        <w:t xml:space="preserve">moving around </w:t>
      </w:r>
      <w:r w:rsidR="00A94791">
        <w:rPr>
          <w:color w:val="000000" w:themeColor="text1"/>
        </w:rPr>
        <w:t xml:space="preserve">several county jails. </w:t>
      </w:r>
      <w:r w:rsidR="00644C9C">
        <w:rPr>
          <w:color w:val="000000" w:themeColor="text1"/>
        </w:rPr>
        <w:t>Ultimately</w:t>
      </w:r>
      <w:r w:rsidR="006C2A48">
        <w:rPr>
          <w:color w:val="000000" w:themeColor="text1"/>
        </w:rPr>
        <w:t xml:space="preserve"> Sheriff </w:t>
      </w:r>
      <w:r w:rsidR="00A94791">
        <w:rPr>
          <w:color w:val="000000" w:themeColor="text1"/>
        </w:rPr>
        <w:t>Sanders (no relation to George Sande</w:t>
      </w:r>
      <w:r w:rsidR="00234CCE">
        <w:rPr>
          <w:color w:val="000000" w:themeColor="text1"/>
        </w:rPr>
        <w:t xml:space="preserve">rs) </w:t>
      </w:r>
      <w:r w:rsidR="00A94791">
        <w:rPr>
          <w:color w:val="000000" w:themeColor="text1"/>
        </w:rPr>
        <w:t>decided to take Sneed to Rusk Penitentiary</w:t>
      </w:r>
      <w:r w:rsidR="00AB3D69">
        <w:rPr>
          <w:color w:val="000000" w:themeColor="text1"/>
        </w:rPr>
        <w:t>, approximately 160 miles outside Harrison County</w:t>
      </w:r>
      <w:r w:rsidR="00A94791">
        <w:rPr>
          <w:color w:val="000000" w:themeColor="text1"/>
        </w:rPr>
        <w:t xml:space="preserve"> to avoid any chance of mob violence.</w:t>
      </w:r>
      <w:r w:rsidR="00A94791">
        <w:rPr>
          <w:rStyle w:val="FootnoteReference"/>
          <w:color w:val="000000" w:themeColor="text1"/>
        </w:rPr>
        <w:footnoteReference w:id="23"/>
      </w:r>
      <w:r w:rsidR="00A94791">
        <w:rPr>
          <w:color w:val="000000" w:themeColor="text1"/>
        </w:rPr>
        <w:t xml:space="preserve"> This turned out to be a very wise decision on behalf of the Sheriff</w:t>
      </w:r>
      <w:r w:rsidR="006C2A48">
        <w:rPr>
          <w:color w:val="000000" w:themeColor="text1"/>
        </w:rPr>
        <w:t>,</w:t>
      </w:r>
      <w:r w:rsidR="00E41C0D">
        <w:rPr>
          <w:color w:val="000000" w:themeColor="text1"/>
        </w:rPr>
        <w:t xml:space="preserve"> as a </w:t>
      </w:r>
      <w:r w:rsidR="006C2A48">
        <w:rPr>
          <w:color w:val="000000" w:themeColor="text1"/>
        </w:rPr>
        <w:t>few days after Sneed’s apprehension</w:t>
      </w:r>
      <w:r w:rsidR="00A94791">
        <w:rPr>
          <w:color w:val="000000" w:themeColor="text1"/>
        </w:rPr>
        <w:t xml:space="preserve">, on February 12, a mob marched to the Harrison County Jail demanding the </w:t>
      </w:r>
      <w:r w:rsidR="002830CF">
        <w:rPr>
          <w:color w:val="000000" w:themeColor="text1"/>
        </w:rPr>
        <w:t xml:space="preserve">jailer </w:t>
      </w:r>
      <w:r w:rsidR="006C2A48">
        <w:rPr>
          <w:color w:val="000000" w:themeColor="text1"/>
        </w:rPr>
        <w:t xml:space="preserve">and Sheriff Sanders </w:t>
      </w:r>
      <w:r w:rsidR="002830CF">
        <w:rPr>
          <w:color w:val="000000" w:themeColor="text1"/>
        </w:rPr>
        <w:t xml:space="preserve">release Sneed to them. </w:t>
      </w:r>
    </w:p>
    <w:p w14:paraId="24E15FFA" w14:textId="6348A15A" w:rsidR="00796D63" w:rsidRDefault="002830CF" w:rsidP="001247FB">
      <w:pPr>
        <w:spacing w:line="480" w:lineRule="auto"/>
        <w:rPr>
          <w:color w:val="000000" w:themeColor="text1"/>
        </w:rPr>
      </w:pPr>
      <w:r>
        <w:rPr>
          <w:color w:val="000000" w:themeColor="text1"/>
        </w:rPr>
        <w:tab/>
        <w:t>Unfortunately</w:t>
      </w:r>
      <w:r w:rsidR="00644C9C">
        <w:rPr>
          <w:color w:val="000000" w:themeColor="text1"/>
        </w:rPr>
        <w:t xml:space="preserve"> after finding out Sneed was not present, the mob that </w:t>
      </w:r>
      <w:r w:rsidR="0019677A">
        <w:rPr>
          <w:color w:val="000000" w:themeColor="text1"/>
        </w:rPr>
        <w:t>found another way to</w:t>
      </w:r>
      <w:r>
        <w:rPr>
          <w:color w:val="000000" w:themeColor="text1"/>
        </w:rPr>
        <w:t xml:space="preserve"> satisfy their bloodlust. On either late February 12 or </w:t>
      </w:r>
      <w:r w:rsidR="00F076B0">
        <w:rPr>
          <w:color w:val="000000" w:themeColor="text1"/>
        </w:rPr>
        <w:t xml:space="preserve">early </w:t>
      </w:r>
      <w:r>
        <w:rPr>
          <w:color w:val="000000" w:themeColor="text1"/>
        </w:rPr>
        <w:t>February 13, a mob hung Jackson and Sanders from the same limb and left them for dead on a tree in Panola County, less than a mile bey</w:t>
      </w:r>
      <w:r w:rsidR="00F314E0">
        <w:rPr>
          <w:color w:val="000000" w:themeColor="text1"/>
        </w:rPr>
        <w:t>ond the Harrison County line,</w:t>
      </w:r>
      <w:r>
        <w:rPr>
          <w:color w:val="000000" w:themeColor="text1"/>
        </w:rPr>
        <w:t xml:space="preserve"> very close to </w:t>
      </w:r>
      <w:r w:rsidR="0019677A">
        <w:rPr>
          <w:color w:val="000000" w:themeColor="text1"/>
        </w:rPr>
        <w:t xml:space="preserve">the location </w:t>
      </w:r>
      <w:r>
        <w:rPr>
          <w:color w:val="000000" w:themeColor="text1"/>
        </w:rPr>
        <w:t xml:space="preserve">where Strange’s murder took place. </w:t>
      </w:r>
      <w:r w:rsidR="00363B52">
        <w:rPr>
          <w:color w:val="000000" w:themeColor="text1"/>
        </w:rPr>
        <w:t>Since they coul</w:t>
      </w:r>
      <w:r w:rsidR="00234CCE">
        <w:rPr>
          <w:color w:val="000000" w:themeColor="text1"/>
        </w:rPr>
        <w:t>d not get their hands on Sneed</w:t>
      </w:r>
      <w:r w:rsidR="0019677A">
        <w:rPr>
          <w:color w:val="000000" w:themeColor="text1"/>
        </w:rPr>
        <w:t xml:space="preserve"> himself, the mob </w:t>
      </w:r>
      <w:r w:rsidR="00363B52">
        <w:rPr>
          <w:color w:val="000000" w:themeColor="text1"/>
        </w:rPr>
        <w:t>content</w:t>
      </w:r>
      <w:r w:rsidR="0019677A">
        <w:rPr>
          <w:color w:val="000000" w:themeColor="text1"/>
        </w:rPr>
        <w:t>ed itself</w:t>
      </w:r>
      <w:r w:rsidR="00363B52">
        <w:rPr>
          <w:color w:val="000000" w:themeColor="text1"/>
        </w:rPr>
        <w:t xml:space="preserve"> with the lynching of Jackson and Sanders. Substitution of the intended victim with another or multiple black surrogates was ordinary in cases where law enforcement protected the premeditated victim.</w:t>
      </w:r>
      <w:r w:rsidR="00AB3D69">
        <w:rPr>
          <w:rStyle w:val="FootnoteReference"/>
          <w:color w:val="000000" w:themeColor="text1"/>
        </w:rPr>
        <w:footnoteReference w:id="24"/>
      </w:r>
      <w:r w:rsidR="00363B52">
        <w:rPr>
          <w:color w:val="000000" w:themeColor="text1"/>
        </w:rPr>
        <w:t xml:space="preserve"> </w:t>
      </w:r>
      <w:r w:rsidR="00AB3D69">
        <w:rPr>
          <w:color w:val="000000" w:themeColor="text1"/>
        </w:rPr>
        <w:t>Using a female victim as a surrogate, h</w:t>
      </w:r>
      <w:r w:rsidR="0019677A">
        <w:rPr>
          <w:color w:val="000000" w:themeColor="text1"/>
        </w:rPr>
        <w:t>owever, was quite</w:t>
      </w:r>
      <w:r w:rsidR="00A87EE1">
        <w:rPr>
          <w:color w:val="000000" w:themeColor="text1"/>
        </w:rPr>
        <w:t xml:space="preserve"> rare</w:t>
      </w:r>
      <w:r w:rsidR="00AB3D69">
        <w:rPr>
          <w:color w:val="000000" w:themeColor="text1"/>
        </w:rPr>
        <w:t xml:space="preserve">. </w:t>
      </w:r>
      <w:r>
        <w:rPr>
          <w:color w:val="000000" w:themeColor="text1"/>
        </w:rPr>
        <w:t>News of the lynching first came to town early on the morning of February 14 via J.H. Duetch, a music teacher and relatively new citizen of Harrison</w:t>
      </w:r>
      <w:r w:rsidR="00A87EE1">
        <w:rPr>
          <w:color w:val="000000" w:themeColor="text1"/>
        </w:rPr>
        <w:t xml:space="preserve"> County</w:t>
      </w:r>
      <w:r>
        <w:rPr>
          <w:color w:val="000000" w:themeColor="text1"/>
        </w:rPr>
        <w:t>.</w:t>
      </w:r>
      <w:r>
        <w:rPr>
          <w:rStyle w:val="FootnoteReference"/>
          <w:color w:val="000000" w:themeColor="text1"/>
        </w:rPr>
        <w:footnoteReference w:id="25"/>
      </w:r>
      <w:r>
        <w:rPr>
          <w:color w:val="000000" w:themeColor="text1"/>
        </w:rPr>
        <w:t xml:space="preserve"> Public opinion </w:t>
      </w:r>
      <w:r w:rsidR="00AB3D69">
        <w:rPr>
          <w:color w:val="000000" w:themeColor="text1"/>
        </w:rPr>
        <w:t>sided with the lynch mob</w:t>
      </w:r>
      <w:r w:rsidR="0019677A">
        <w:rPr>
          <w:color w:val="000000" w:themeColor="text1"/>
        </w:rPr>
        <w:t xml:space="preserve">, as </w:t>
      </w:r>
      <w:r>
        <w:rPr>
          <w:color w:val="000000" w:themeColor="text1"/>
        </w:rPr>
        <w:t xml:space="preserve">the county newspaper </w:t>
      </w:r>
      <w:r>
        <w:rPr>
          <w:i/>
          <w:color w:val="000000" w:themeColor="text1"/>
        </w:rPr>
        <w:t xml:space="preserve">The Marshall Messenger </w:t>
      </w:r>
      <w:r>
        <w:rPr>
          <w:color w:val="000000" w:themeColor="text1"/>
        </w:rPr>
        <w:t>reported that Jackson and Sanders knew what Sneed wanted with the gun, and thus could be considered accessories to the murder.</w:t>
      </w:r>
      <w:r>
        <w:rPr>
          <w:rStyle w:val="FootnoteReference"/>
          <w:color w:val="000000" w:themeColor="text1"/>
        </w:rPr>
        <w:footnoteReference w:id="26"/>
      </w:r>
      <w:r>
        <w:rPr>
          <w:color w:val="000000" w:themeColor="text1"/>
        </w:rPr>
        <w:t xml:space="preserve"> </w:t>
      </w:r>
      <w:r w:rsidR="002407BF">
        <w:rPr>
          <w:color w:val="000000" w:themeColor="text1"/>
        </w:rPr>
        <w:t xml:space="preserve"> </w:t>
      </w:r>
      <w:r w:rsidR="00F23009">
        <w:rPr>
          <w:color w:val="000000" w:themeColor="text1"/>
        </w:rPr>
        <w:t xml:space="preserve"> </w:t>
      </w:r>
    </w:p>
    <w:p w14:paraId="1DEECD3E" w14:textId="154064C3" w:rsidR="002407BF" w:rsidRDefault="00796D63" w:rsidP="00DD745F">
      <w:pPr>
        <w:spacing w:line="480" w:lineRule="auto"/>
        <w:rPr>
          <w:color w:val="000000" w:themeColor="text1"/>
        </w:rPr>
      </w:pPr>
      <w:r>
        <w:rPr>
          <w:color w:val="000000" w:themeColor="text1"/>
        </w:rPr>
        <w:tab/>
      </w:r>
      <w:r w:rsidR="00D17F4C">
        <w:rPr>
          <w:color w:val="000000" w:themeColor="text1"/>
        </w:rPr>
        <w:t>D</w:t>
      </w:r>
      <w:r w:rsidR="003E7E81">
        <w:rPr>
          <w:color w:val="000000" w:themeColor="text1"/>
        </w:rPr>
        <w:t>espite being women, members of the very sex</w:t>
      </w:r>
      <w:r w:rsidR="00D17F4C">
        <w:rPr>
          <w:color w:val="000000" w:themeColor="text1"/>
        </w:rPr>
        <w:t xml:space="preserve"> </w:t>
      </w:r>
      <w:r w:rsidR="00644C9C">
        <w:rPr>
          <w:color w:val="000000" w:themeColor="text1"/>
        </w:rPr>
        <w:t xml:space="preserve">lynch </w:t>
      </w:r>
      <w:r w:rsidR="00D17F4C">
        <w:rPr>
          <w:color w:val="000000" w:themeColor="text1"/>
        </w:rPr>
        <w:t xml:space="preserve">mob participants </w:t>
      </w:r>
      <w:r w:rsidR="00644C9C">
        <w:rPr>
          <w:color w:val="000000" w:themeColor="text1"/>
        </w:rPr>
        <w:t xml:space="preserve">so often </w:t>
      </w:r>
      <w:r w:rsidR="00D17F4C">
        <w:rPr>
          <w:color w:val="000000" w:themeColor="text1"/>
        </w:rPr>
        <w:t xml:space="preserve">claimed to act in defense of, black female lynching victims were seen </w:t>
      </w:r>
      <w:r w:rsidR="00644C9C">
        <w:rPr>
          <w:color w:val="000000" w:themeColor="text1"/>
        </w:rPr>
        <w:t>acceptable</w:t>
      </w:r>
      <w:r w:rsidR="003E7E81">
        <w:rPr>
          <w:color w:val="000000" w:themeColor="text1"/>
        </w:rPr>
        <w:t xml:space="preserve"> victims </w:t>
      </w:r>
      <w:r w:rsidR="00D17F4C">
        <w:rPr>
          <w:color w:val="000000" w:themeColor="text1"/>
        </w:rPr>
        <w:t xml:space="preserve">in the eyes of vigilante justice. </w:t>
      </w:r>
      <w:r>
        <w:rPr>
          <w:color w:val="000000" w:themeColor="text1"/>
        </w:rPr>
        <w:t xml:space="preserve">In short, black women were lynched because their race was more important than their </w:t>
      </w:r>
      <w:r w:rsidR="00585F38">
        <w:rPr>
          <w:color w:val="000000" w:themeColor="text1"/>
        </w:rPr>
        <w:t>gender to white mob participants</w:t>
      </w:r>
      <w:r>
        <w:rPr>
          <w:color w:val="000000" w:themeColor="text1"/>
        </w:rPr>
        <w:t xml:space="preserve">. </w:t>
      </w:r>
      <w:r w:rsidR="00D17F4C">
        <w:rPr>
          <w:color w:val="000000" w:themeColor="text1"/>
        </w:rPr>
        <w:t xml:space="preserve">Once these women were considered guilty of a crime by the mob, their gender became irrelevant. </w:t>
      </w:r>
      <w:r w:rsidR="00D27C64">
        <w:rPr>
          <w:color w:val="000000" w:themeColor="text1"/>
        </w:rPr>
        <w:t xml:space="preserve">According to Brandon Jett, the only historian to </w:t>
      </w:r>
      <w:r w:rsidR="0033749F">
        <w:rPr>
          <w:color w:val="000000" w:themeColor="text1"/>
        </w:rPr>
        <w:t xml:space="preserve">briefly </w:t>
      </w:r>
      <w:r w:rsidR="00D27C64">
        <w:rPr>
          <w:color w:val="000000" w:themeColor="text1"/>
        </w:rPr>
        <w:t xml:space="preserve">write on the </w:t>
      </w:r>
      <w:r w:rsidR="00204035">
        <w:rPr>
          <w:color w:val="000000" w:themeColor="text1"/>
        </w:rPr>
        <w:t>Jackson and Sanders</w:t>
      </w:r>
      <w:r w:rsidR="00D27C64">
        <w:rPr>
          <w:color w:val="000000" w:themeColor="text1"/>
        </w:rPr>
        <w:t xml:space="preserve"> lynchings</w:t>
      </w:r>
      <w:r w:rsidR="0033749F">
        <w:rPr>
          <w:color w:val="000000" w:themeColor="text1"/>
        </w:rPr>
        <w:t xml:space="preserve"> in his wider analysis of violence in Harrison County</w:t>
      </w:r>
      <w:r w:rsidR="00D27C64">
        <w:rPr>
          <w:color w:val="000000" w:themeColor="text1"/>
        </w:rPr>
        <w:t>, mobs “held no regard for black women. It did not matter to whites if their victims were innocent or guilty; a white man died at the hands of a black man and someone had to pay.”</w:t>
      </w:r>
      <w:r w:rsidR="00D27C64">
        <w:rPr>
          <w:rStyle w:val="FootnoteReference"/>
          <w:color w:val="000000" w:themeColor="text1"/>
        </w:rPr>
        <w:footnoteReference w:id="27"/>
      </w:r>
      <w:r w:rsidR="00585F38">
        <w:rPr>
          <w:color w:val="000000" w:themeColor="text1"/>
        </w:rPr>
        <w:t xml:space="preserve"> </w:t>
      </w:r>
      <w:r w:rsidR="003E7E81">
        <w:rPr>
          <w:color w:val="000000" w:themeColor="text1"/>
        </w:rPr>
        <w:t xml:space="preserve">Even though women were not protected from the practice of lynching, lynch mobs generally made several accommodations when their practices involved killing women. These included removing the victims from the public eye, </w:t>
      </w:r>
      <w:r w:rsidR="003E6EB3">
        <w:rPr>
          <w:color w:val="000000" w:themeColor="text1"/>
        </w:rPr>
        <w:t>killing the victims in relative solitary, and generally mobs that lynched women were fewer in number. These slight alterations from “normal” mob practice suggest that the members of these mobs felt lynching a woman was somehow more wrong and indecorous than lynching a man, but they felt conten</w:t>
      </w:r>
      <w:r w:rsidR="00DD745F">
        <w:rPr>
          <w:color w:val="000000" w:themeColor="text1"/>
        </w:rPr>
        <w:t>t to do so as long as they found</w:t>
      </w:r>
      <w:r w:rsidR="003E6EB3">
        <w:rPr>
          <w:color w:val="000000" w:themeColor="text1"/>
        </w:rPr>
        <w:t xml:space="preserve"> it justified. </w:t>
      </w:r>
    </w:p>
    <w:p w14:paraId="0E4266A2" w14:textId="519F0C25" w:rsidR="005A4AAB" w:rsidRDefault="00E22867" w:rsidP="001247FB">
      <w:pPr>
        <w:spacing w:line="480" w:lineRule="auto"/>
        <w:rPr>
          <w:color w:val="000000" w:themeColor="text1"/>
        </w:rPr>
      </w:pPr>
      <w:r>
        <w:rPr>
          <w:color w:val="000000" w:themeColor="text1"/>
        </w:rPr>
        <w:tab/>
        <w:t xml:space="preserve">Sneed’s first trial lasted a little less than a week. Most of the trial relied on </w:t>
      </w:r>
      <w:r w:rsidR="005A4AAB">
        <w:rPr>
          <w:color w:val="000000" w:themeColor="text1"/>
        </w:rPr>
        <w:t>witness testimony, and Sneed’s case suffered from the loss of eyewitness</w:t>
      </w:r>
      <w:r w:rsidR="00BA40C2">
        <w:rPr>
          <w:color w:val="000000" w:themeColor="text1"/>
        </w:rPr>
        <w:t>es Sanders and Jackson. After forty-one</w:t>
      </w:r>
      <w:r w:rsidR="005A4AAB">
        <w:rPr>
          <w:color w:val="000000" w:themeColor="text1"/>
        </w:rPr>
        <w:t xml:space="preserve"> hours of de</w:t>
      </w:r>
      <w:r w:rsidR="00836D5E">
        <w:rPr>
          <w:color w:val="000000" w:themeColor="text1"/>
        </w:rPr>
        <w:t xml:space="preserve">liberation, the jury could not reach a verdict. </w:t>
      </w:r>
      <w:r w:rsidR="005A4AAB">
        <w:rPr>
          <w:color w:val="000000" w:themeColor="text1"/>
        </w:rPr>
        <w:t xml:space="preserve">Due to the failure of the first trial, Sneed and his attorneys filed for a change of venue on the premise that he could not receive a fair trial in Harrison County. </w:t>
      </w:r>
      <w:r w:rsidR="0097044E">
        <w:rPr>
          <w:color w:val="000000" w:themeColor="text1"/>
        </w:rPr>
        <w:t>Shockingly, the</w:t>
      </w:r>
      <w:r w:rsidR="00874E58">
        <w:rPr>
          <w:color w:val="000000" w:themeColor="text1"/>
        </w:rPr>
        <w:t xml:space="preserve"> court sided with Sneed</w:t>
      </w:r>
      <w:r w:rsidR="0097044E">
        <w:rPr>
          <w:color w:val="000000" w:themeColor="text1"/>
        </w:rPr>
        <w:t>, and agreed that he could not get a fair trial in Harrison County despite multiple prominent individuals, including Sheriff Sanders himself, arguing that no prejudice existed against Sneed.</w:t>
      </w:r>
      <w:r w:rsidR="0097044E">
        <w:rPr>
          <w:rStyle w:val="FootnoteReference"/>
          <w:color w:val="000000" w:themeColor="text1"/>
        </w:rPr>
        <w:footnoteReference w:id="28"/>
      </w:r>
      <w:r w:rsidR="00B3043F">
        <w:rPr>
          <w:color w:val="000000" w:themeColor="text1"/>
        </w:rPr>
        <w:t xml:space="preserve"> Following this decision, Sneed’s case </w:t>
      </w:r>
      <w:r w:rsidR="00836700">
        <w:rPr>
          <w:color w:val="000000" w:themeColor="text1"/>
        </w:rPr>
        <w:t xml:space="preserve">was </w:t>
      </w:r>
      <w:r w:rsidR="00B3043F">
        <w:rPr>
          <w:color w:val="000000" w:themeColor="text1"/>
        </w:rPr>
        <w:t xml:space="preserve">relocated to Anderson County, Texas. </w:t>
      </w:r>
    </w:p>
    <w:p w14:paraId="0FD3BD0D" w14:textId="4A35A292" w:rsidR="00B3043F" w:rsidRDefault="00B3043F" w:rsidP="001247FB">
      <w:pPr>
        <w:spacing w:line="480" w:lineRule="auto"/>
        <w:rPr>
          <w:color w:val="000000" w:themeColor="text1"/>
        </w:rPr>
      </w:pPr>
      <w:r>
        <w:rPr>
          <w:color w:val="000000" w:themeColor="text1"/>
        </w:rPr>
        <w:tab/>
        <w:t>Sneed’s second trial began July 7, 1913</w:t>
      </w:r>
      <w:r w:rsidR="00836700">
        <w:rPr>
          <w:color w:val="000000" w:themeColor="text1"/>
        </w:rPr>
        <w:t>,</w:t>
      </w:r>
      <w:r>
        <w:rPr>
          <w:color w:val="000000" w:themeColor="text1"/>
        </w:rPr>
        <w:t xml:space="preserve"> in Anderson County and lasted only three days</w:t>
      </w:r>
      <w:r w:rsidR="00C14918">
        <w:rPr>
          <w:color w:val="000000" w:themeColor="text1"/>
        </w:rPr>
        <w:t xml:space="preserve"> as after less than a full day of deliberation the jury again could not reach a verdict</w:t>
      </w:r>
      <w:r>
        <w:rPr>
          <w:color w:val="000000" w:themeColor="text1"/>
        </w:rPr>
        <w:t>.</w:t>
      </w:r>
      <w:r>
        <w:rPr>
          <w:rStyle w:val="FootnoteReference"/>
          <w:color w:val="000000" w:themeColor="text1"/>
        </w:rPr>
        <w:footnoteReference w:id="29"/>
      </w:r>
      <w:r>
        <w:rPr>
          <w:color w:val="000000" w:themeColor="text1"/>
        </w:rPr>
        <w:t xml:space="preserve"> </w:t>
      </w:r>
      <w:bookmarkStart w:id="0" w:name="_GoBack"/>
      <w:bookmarkEnd w:id="0"/>
      <w:r>
        <w:rPr>
          <w:color w:val="000000" w:themeColor="text1"/>
        </w:rPr>
        <w:t xml:space="preserve">The third and final trial concerning </w:t>
      </w:r>
      <w:r>
        <w:rPr>
          <w:i/>
          <w:color w:val="000000" w:themeColor="text1"/>
        </w:rPr>
        <w:t xml:space="preserve">The State of Texas vs. Tennie Sneed </w:t>
      </w:r>
      <w:r w:rsidR="002A7458">
        <w:rPr>
          <w:color w:val="000000" w:themeColor="text1"/>
        </w:rPr>
        <w:t>began on January 12, 1914, almost a full two years after the murder of Paul Strange. After three days of court, a decision was finally reached. The Anderson County District Court convicted Sneed of manslaughter and sentenced him to three years at the Huntsville Penitentiary.</w:t>
      </w:r>
      <w:r w:rsidR="002A7458">
        <w:rPr>
          <w:rStyle w:val="FootnoteReference"/>
          <w:color w:val="000000" w:themeColor="text1"/>
        </w:rPr>
        <w:footnoteReference w:id="30"/>
      </w:r>
      <w:r w:rsidR="002A7458">
        <w:rPr>
          <w:color w:val="000000" w:themeColor="text1"/>
        </w:rPr>
        <w:t xml:space="preserve"> </w:t>
      </w:r>
      <w:r w:rsidR="001C5F51">
        <w:rPr>
          <w:color w:val="000000" w:themeColor="text1"/>
        </w:rPr>
        <w:t xml:space="preserve">The jury came to an agreement after </w:t>
      </w:r>
      <w:r w:rsidR="002124CD">
        <w:rPr>
          <w:color w:val="000000" w:themeColor="text1"/>
        </w:rPr>
        <w:t>compromising</w:t>
      </w:r>
      <w:r w:rsidR="001C5F51">
        <w:rPr>
          <w:color w:val="000000" w:themeColor="text1"/>
        </w:rPr>
        <w:t xml:space="preserve"> on three major points. For one, they believed that “the defendant would be killed if acquitted.” Second, they believed that “Anderson County would become a dumping ground for cases of a like character” if Sneed was acquitted. And finally, “the argument was also used that [Sneed] was a young nigger, it would not injure him to serve a short term in the penitentiary.”</w:t>
      </w:r>
      <w:r w:rsidR="001C5F51">
        <w:rPr>
          <w:rStyle w:val="FootnoteReference"/>
          <w:color w:val="000000" w:themeColor="text1"/>
        </w:rPr>
        <w:footnoteReference w:id="31"/>
      </w:r>
      <w:r w:rsidR="002124CD">
        <w:rPr>
          <w:color w:val="000000" w:themeColor="text1"/>
        </w:rPr>
        <w:t xml:space="preserve"> Despite an abundance of evidence that S</w:t>
      </w:r>
      <w:r w:rsidR="00836700">
        <w:rPr>
          <w:color w:val="000000" w:themeColor="text1"/>
        </w:rPr>
        <w:t>need acted in self-</w:t>
      </w:r>
      <w:r w:rsidR="003D1EFD">
        <w:rPr>
          <w:color w:val="000000" w:themeColor="text1"/>
        </w:rPr>
        <w:t>defense when he</w:t>
      </w:r>
      <w:r w:rsidR="00D87BFC">
        <w:rPr>
          <w:color w:val="000000" w:themeColor="text1"/>
        </w:rPr>
        <w:t xml:space="preserve"> </w:t>
      </w:r>
      <w:r w:rsidR="003D1EFD">
        <w:rPr>
          <w:color w:val="000000" w:themeColor="text1"/>
        </w:rPr>
        <w:t>killed</w:t>
      </w:r>
      <w:r w:rsidR="002124CD">
        <w:rPr>
          <w:color w:val="000000" w:themeColor="text1"/>
        </w:rPr>
        <w:t xml:space="preserve"> Paul Strange, ultimately he was convicted due to A</w:t>
      </w:r>
      <w:r w:rsidR="00836700">
        <w:rPr>
          <w:color w:val="000000" w:themeColor="text1"/>
        </w:rPr>
        <w:t>nderson County community member</w:t>
      </w:r>
      <w:r w:rsidR="002124CD">
        <w:rPr>
          <w:color w:val="000000" w:themeColor="text1"/>
        </w:rPr>
        <w:t>s</w:t>
      </w:r>
      <w:r w:rsidR="00836700">
        <w:rPr>
          <w:color w:val="000000" w:themeColor="text1"/>
        </w:rPr>
        <w:t>’</w:t>
      </w:r>
      <w:r w:rsidR="002124CD">
        <w:rPr>
          <w:color w:val="000000" w:themeColor="text1"/>
        </w:rPr>
        <w:t xml:space="preserve"> fear of becoming known as soft on black citizens, their fear of dealing with similar cases, and fear of mob violence in their county.</w:t>
      </w:r>
      <w:r w:rsidR="001C5F51">
        <w:rPr>
          <w:color w:val="000000" w:themeColor="text1"/>
        </w:rPr>
        <w:t xml:space="preserve"> </w:t>
      </w:r>
      <w:r w:rsidR="002A7458">
        <w:rPr>
          <w:color w:val="000000" w:themeColor="text1"/>
        </w:rPr>
        <w:t>In the end, S</w:t>
      </w:r>
      <w:r w:rsidR="003D1EFD">
        <w:rPr>
          <w:color w:val="000000" w:themeColor="text1"/>
        </w:rPr>
        <w:t xml:space="preserve">need’s trial proceedings took </w:t>
      </w:r>
      <w:r w:rsidR="002A7458">
        <w:rPr>
          <w:color w:val="000000" w:themeColor="text1"/>
        </w:rPr>
        <w:t xml:space="preserve">almost as long </w:t>
      </w:r>
      <w:r w:rsidR="003D1EFD">
        <w:rPr>
          <w:color w:val="000000" w:themeColor="text1"/>
        </w:rPr>
        <w:t xml:space="preserve">as his </w:t>
      </w:r>
      <w:r w:rsidR="003E6EB3">
        <w:rPr>
          <w:color w:val="000000" w:themeColor="text1"/>
        </w:rPr>
        <w:t xml:space="preserve">actual </w:t>
      </w:r>
      <w:r w:rsidR="00BA40C2">
        <w:rPr>
          <w:color w:val="000000" w:themeColor="text1"/>
        </w:rPr>
        <w:t>prison sentence</w:t>
      </w:r>
      <w:r w:rsidR="002A7458">
        <w:rPr>
          <w:color w:val="000000" w:themeColor="text1"/>
        </w:rPr>
        <w:t xml:space="preserve">. </w:t>
      </w:r>
    </w:p>
    <w:p w14:paraId="63257203" w14:textId="76F014A0" w:rsidR="001247FB" w:rsidRDefault="002A7458" w:rsidP="00796D63">
      <w:pPr>
        <w:spacing w:line="480" w:lineRule="auto"/>
        <w:rPr>
          <w:color w:val="000000" w:themeColor="text1"/>
        </w:rPr>
      </w:pPr>
      <w:r>
        <w:rPr>
          <w:color w:val="000000" w:themeColor="text1"/>
        </w:rPr>
        <w:tab/>
      </w:r>
      <w:r w:rsidR="00650A5E">
        <w:rPr>
          <w:color w:val="000000" w:themeColor="text1"/>
        </w:rPr>
        <w:t>Since Jackson and Sanders were denied both due process and the right to a long life</w:t>
      </w:r>
      <w:r>
        <w:rPr>
          <w:color w:val="000000" w:themeColor="text1"/>
        </w:rPr>
        <w:t xml:space="preserve">, </w:t>
      </w:r>
      <w:r w:rsidR="007E02E8">
        <w:rPr>
          <w:color w:val="000000" w:themeColor="text1"/>
        </w:rPr>
        <w:t xml:space="preserve">it seems right to provide </w:t>
      </w:r>
      <w:r>
        <w:rPr>
          <w:color w:val="000000" w:themeColor="text1"/>
        </w:rPr>
        <w:t>a short summary o</w:t>
      </w:r>
      <w:r w:rsidR="007E02E8">
        <w:rPr>
          <w:color w:val="000000" w:themeColor="text1"/>
        </w:rPr>
        <w:t>f Sneed’s life after trial</w:t>
      </w:r>
      <w:r>
        <w:rPr>
          <w:color w:val="000000" w:themeColor="text1"/>
        </w:rPr>
        <w:t xml:space="preserve">. Sneed arrived at Huntsville Penitentiary on February 11, 1914 and remained there until </w:t>
      </w:r>
      <w:r w:rsidR="007E02E8">
        <w:rPr>
          <w:color w:val="000000" w:themeColor="text1"/>
        </w:rPr>
        <w:t xml:space="preserve">his early discharge </w:t>
      </w:r>
      <w:r>
        <w:rPr>
          <w:color w:val="000000" w:themeColor="text1"/>
        </w:rPr>
        <w:t>on Oct 10, 1916.</w:t>
      </w:r>
      <w:r>
        <w:rPr>
          <w:rStyle w:val="FootnoteReference"/>
          <w:color w:val="000000" w:themeColor="text1"/>
        </w:rPr>
        <w:footnoteReference w:id="32"/>
      </w:r>
      <w:r w:rsidR="00A754A8">
        <w:rPr>
          <w:color w:val="000000" w:themeColor="text1"/>
        </w:rPr>
        <w:t xml:space="preserve"> Sneed then settled nearby in Anderson, Grimes County, Texas where he married a woman named Effie. Effie and Snee</w:t>
      </w:r>
      <w:r w:rsidR="003D1EFD">
        <w:rPr>
          <w:color w:val="000000" w:themeColor="text1"/>
        </w:rPr>
        <w:t xml:space="preserve">d ultimately had five children </w:t>
      </w:r>
      <w:r w:rsidR="00A754A8">
        <w:rPr>
          <w:color w:val="000000" w:themeColor="text1"/>
        </w:rPr>
        <w:t>and remained in Grimes County for several decades.</w:t>
      </w:r>
      <w:r w:rsidR="00A754A8">
        <w:rPr>
          <w:rStyle w:val="FootnoteReference"/>
          <w:color w:val="000000" w:themeColor="text1"/>
        </w:rPr>
        <w:footnoteReference w:id="33"/>
      </w:r>
      <w:r w:rsidR="00A754A8">
        <w:rPr>
          <w:color w:val="000000" w:themeColor="text1"/>
        </w:rPr>
        <w:t xml:space="preserve"> Towards the end of his life, Sneed and his family moved to Lubbock,</w:t>
      </w:r>
      <w:r w:rsidR="00D87BFC">
        <w:rPr>
          <w:color w:val="000000" w:themeColor="text1"/>
        </w:rPr>
        <w:t xml:space="preserve"> Texas,</w:t>
      </w:r>
      <w:r w:rsidR="00A754A8">
        <w:rPr>
          <w:color w:val="000000" w:themeColor="text1"/>
        </w:rPr>
        <w:t xml:space="preserve"> where he ultimately died of renal failure in 1972.</w:t>
      </w:r>
      <w:r w:rsidR="00A754A8">
        <w:rPr>
          <w:rStyle w:val="FootnoteReference"/>
          <w:color w:val="000000" w:themeColor="text1"/>
        </w:rPr>
        <w:footnoteReference w:id="34"/>
      </w:r>
      <w:r w:rsidR="00A754A8">
        <w:rPr>
          <w:color w:val="000000" w:themeColor="text1"/>
        </w:rPr>
        <w:t xml:space="preserve"> The last of Sneed’s children, Eva Lee Cade née Sneed died recently in 2013.</w:t>
      </w:r>
      <w:r w:rsidR="00A754A8">
        <w:rPr>
          <w:rStyle w:val="FootnoteReference"/>
          <w:color w:val="000000" w:themeColor="text1"/>
        </w:rPr>
        <w:footnoteReference w:id="35"/>
      </w:r>
    </w:p>
    <w:p w14:paraId="35088032" w14:textId="58883598" w:rsidR="00874E58" w:rsidRDefault="00874E58" w:rsidP="00796D63">
      <w:pPr>
        <w:spacing w:line="480" w:lineRule="auto"/>
        <w:rPr>
          <w:color w:val="000000" w:themeColor="text1"/>
        </w:rPr>
      </w:pPr>
      <w:r>
        <w:rPr>
          <w:color w:val="000000" w:themeColor="text1"/>
        </w:rPr>
        <w:tab/>
      </w:r>
      <w:r w:rsidR="00836D5E">
        <w:rPr>
          <w:color w:val="000000" w:themeColor="text1"/>
        </w:rPr>
        <w:t xml:space="preserve">Sneed received what an unknown mob </w:t>
      </w:r>
      <w:r w:rsidR="007E02E8">
        <w:rPr>
          <w:color w:val="000000" w:themeColor="text1"/>
        </w:rPr>
        <w:t xml:space="preserve">denied </w:t>
      </w:r>
      <w:r w:rsidR="00836D5E">
        <w:rPr>
          <w:color w:val="000000" w:themeColor="text1"/>
        </w:rPr>
        <w:t>Jackson and Sanders: the right to a fair trial. Had Jackson and Sanders gone to trial and received the worst conviction possible for their crime, accessory to manslaughter, they would have received at maximu</w:t>
      </w:r>
      <w:r w:rsidR="003D1EFD">
        <w:rPr>
          <w:color w:val="000000" w:themeColor="text1"/>
        </w:rPr>
        <w:t>m one half of Sneed’s sentence, as was</w:t>
      </w:r>
      <w:r w:rsidR="00836D5E">
        <w:rPr>
          <w:color w:val="000000" w:themeColor="text1"/>
        </w:rPr>
        <w:t xml:space="preserve"> the typical punishment for that charge. After their time served, Jackson and Sanders likely would have lived their rest of their liv</w:t>
      </w:r>
      <w:r w:rsidR="007E02E8">
        <w:rPr>
          <w:color w:val="000000" w:themeColor="text1"/>
        </w:rPr>
        <w:t>es in relative peace. A</w:t>
      </w:r>
      <w:r w:rsidR="00836D5E">
        <w:rPr>
          <w:color w:val="000000" w:themeColor="text1"/>
        </w:rPr>
        <w:t xml:space="preserve"> mob</w:t>
      </w:r>
      <w:r w:rsidR="007E02E8">
        <w:rPr>
          <w:color w:val="000000" w:themeColor="text1"/>
        </w:rPr>
        <w:t>, however,</w:t>
      </w:r>
      <w:r w:rsidR="00836D5E">
        <w:rPr>
          <w:color w:val="000000" w:themeColor="text1"/>
        </w:rPr>
        <w:t xml:space="preserve"> decided to take justice into their own hands, and stole this</w:t>
      </w:r>
      <w:r w:rsidR="007E02E8">
        <w:rPr>
          <w:color w:val="000000" w:themeColor="text1"/>
        </w:rPr>
        <w:t xml:space="preserve"> opportunity</w:t>
      </w:r>
      <w:r w:rsidR="00836D5E">
        <w:rPr>
          <w:color w:val="000000" w:themeColor="text1"/>
        </w:rPr>
        <w:t xml:space="preserve"> from Jackson and Sand</w:t>
      </w:r>
      <w:r w:rsidR="00836700">
        <w:rPr>
          <w:color w:val="000000" w:themeColor="text1"/>
        </w:rPr>
        <w:t>ers. The greatest injustice was</w:t>
      </w:r>
      <w:r w:rsidR="00836D5E">
        <w:rPr>
          <w:color w:val="000000" w:themeColor="text1"/>
        </w:rPr>
        <w:t xml:space="preserve"> that Sanders and Jac</w:t>
      </w:r>
      <w:r w:rsidR="00836700">
        <w:rPr>
          <w:color w:val="000000" w:themeColor="text1"/>
        </w:rPr>
        <w:t xml:space="preserve">kson did not kill anyone </w:t>
      </w:r>
      <w:r w:rsidR="00836D5E">
        <w:rPr>
          <w:color w:val="000000" w:themeColor="text1"/>
        </w:rPr>
        <w:t>and did not deser</w:t>
      </w:r>
      <w:r w:rsidR="003D1EFD">
        <w:rPr>
          <w:color w:val="000000" w:themeColor="text1"/>
        </w:rPr>
        <w:t>ve to die. T</w:t>
      </w:r>
      <w:r w:rsidR="007E02E8">
        <w:rPr>
          <w:color w:val="000000" w:themeColor="text1"/>
        </w:rPr>
        <w:t>he murder</w:t>
      </w:r>
      <w:r w:rsidR="00836D5E">
        <w:rPr>
          <w:color w:val="000000" w:themeColor="text1"/>
        </w:rPr>
        <w:t xml:space="preserve"> of a white man</w:t>
      </w:r>
      <w:r w:rsidR="003D1EFD">
        <w:rPr>
          <w:color w:val="000000" w:themeColor="text1"/>
        </w:rPr>
        <w:t>, however,</w:t>
      </w:r>
      <w:r w:rsidR="00836D5E">
        <w:rPr>
          <w:color w:val="000000" w:themeColor="text1"/>
        </w:rPr>
        <w:t xml:space="preserve"> proved too egregious for the citi</w:t>
      </w:r>
      <w:r w:rsidR="007E02E8">
        <w:rPr>
          <w:color w:val="000000" w:themeColor="text1"/>
        </w:rPr>
        <w:t xml:space="preserve">zens of </w:t>
      </w:r>
      <w:r w:rsidR="00836700">
        <w:rPr>
          <w:color w:val="000000" w:themeColor="text1"/>
        </w:rPr>
        <w:t>Harrison County to allow</w:t>
      </w:r>
      <w:r w:rsidR="007E02E8">
        <w:rPr>
          <w:color w:val="000000" w:themeColor="text1"/>
        </w:rPr>
        <w:t xml:space="preserve"> without retribution</w:t>
      </w:r>
      <w:r w:rsidR="00836D5E">
        <w:rPr>
          <w:color w:val="000000" w:themeColor="text1"/>
        </w:rPr>
        <w:t xml:space="preserve">, and thus Sanders and Jackson lost their lives due to the color of their skin and hearsay. </w:t>
      </w:r>
    </w:p>
    <w:p w14:paraId="72516023" w14:textId="5705D0AB" w:rsidR="00836D5E" w:rsidRDefault="00836D5E" w:rsidP="00796D63">
      <w:pPr>
        <w:spacing w:line="480" w:lineRule="auto"/>
        <w:rPr>
          <w:color w:val="000000" w:themeColor="text1"/>
        </w:rPr>
      </w:pPr>
      <w:r>
        <w:rPr>
          <w:color w:val="000000" w:themeColor="text1"/>
        </w:rPr>
        <w:tab/>
      </w:r>
      <w:r w:rsidR="00836700">
        <w:rPr>
          <w:color w:val="000000" w:themeColor="text1"/>
        </w:rPr>
        <w:t>One of the many hopes of this research is to uncover the full story of Jackson’s death</w:t>
      </w:r>
      <w:r w:rsidR="0005035F">
        <w:rPr>
          <w:color w:val="000000" w:themeColor="text1"/>
        </w:rPr>
        <w:t>.</w:t>
      </w:r>
      <w:r w:rsidR="0005035F">
        <w:rPr>
          <w:rStyle w:val="FootnoteReference"/>
          <w:color w:val="000000" w:themeColor="text1"/>
        </w:rPr>
        <w:footnoteReference w:id="36"/>
      </w:r>
      <w:r w:rsidR="0005035F">
        <w:rPr>
          <w:color w:val="000000" w:themeColor="text1"/>
        </w:rPr>
        <w:t xml:space="preserve"> Jackson’s lynching is one of many that have gone unrecorded and unexamined despite copious amounts of information readily available to historians. The decision of scholars to avoid analyzing the lynching of women</w:t>
      </w:r>
      <w:r w:rsidR="00E14AD0">
        <w:rPr>
          <w:color w:val="000000" w:themeColor="text1"/>
        </w:rPr>
        <w:t xml:space="preserve"> </w:t>
      </w:r>
      <w:r w:rsidR="003D1EFD">
        <w:rPr>
          <w:color w:val="000000" w:themeColor="text1"/>
        </w:rPr>
        <w:t xml:space="preserve">is </w:t>
      </w:r>
      <w:r w:rsidR="00E14AD0">
        <w:rPr>
          <w:color w:val="000000" w:themeColor="text1"/>
        </w:rPr>
        <w:t xml:space="preserve">possibly because </w:t>
      </w:r>
      <w:r w:rsidR="007E02E8">
        <w:rPr>
          <w:color w:val="000000" w:themeColor="text1"/>
        </w:rPr>
        <w:t xml:space="preserve">it </w:t>
      </w:r>
      <w:r w:rsidR="003D1EFD">
        <w:rPr>
          <w:color w:val="000000" w:themeColor="text1"/>
        </w:rPr>
        <w:t>has</w:t>
      </w:r>
      <w:r w:rsidR="00853139">
        <w:rPr>
          <w:color w:val="000000" w:themeColor="text1"/>
        </w:rPr>
        <w:t xml:space="preserve"> been assumed that such cases, being </w:t>
      </w:r>
      <w:r w:rsidR="003D1EFD">
        <w:rPr>
          <w:color w:val="000000" w:themeColor="text1"/>
        </w:rPr>
        <w:t xml:space="preserve">so few in number, would be much harder to document and analyze. But this theory </w:t>
      </w:r>
      <w:r w:rsidR="0005035F">
        <w:rPr>
          <w:color w:val="000000" w:themeColor="text1"/>
        </w:rPr>
        <w:t xml:space="preserve">has been </w:t>
      </w:r>
      <w:r w:rsidR="00E41C0D">
        <w:rPr>
          <w:color w:val="000000" w:themeColor="text1"/>
        </w:rPr>
        <w:t>dis</w:t>
      </w:r>
      <w:r w:rsidR="0005035F">
        <w:rPr>
          <w:color w:val="000000" w:themeColor="text1"/>
        </w:rPr>
        <w:t>p</w:t>
      </w:r>
      <w:r w:rsidR="00853139">
        <w:rPr>
          <w:color w:val="000000" w:themeColor="text1"/>
        </w:rPr>
        <w:t>roven</w:t>
      </w:r>
      <w:r w:rsidR="0005035F">
        <w:rPr>
          <w:color w:val="000000" w:themeColor="text1"/>
        </w:rPr>
        <w:t>, as</w:t>
      </w:r>
      <w:r w:rsidR="003D1EFD">
        <w:rPr>
          <w:color w:val="000000" w:themeColor="text1"/>
        </w:rPr>
        <w:t xml:space="preserve"> the lynchings of women are often recorded as candidly as those of men</w:t>
      </w:r>
      <w:r w:rsidR="0005035F">
        <w:rPr>
          <w:color w:val="000000" w:themeColor="text1"/>
        </w:rPr>
        <w:t xml:space="preserve">. Furthermore, </w:t>
      </w:r>
      <w:r w:rsidR="003D1EFD">
        <w:rPr>
          <w:color w:val="000000" w:themeColor="text1"/>
        </w:rPr>
        <w:t>many of the circumstances surrounding Jackson’s case mirror other lynchings in Harrison County as well as Texas and the wider South</w:t>
      </w:r>
      <w:r w:rsidR="00874AD7">
        <w:rPr>
          <w:color w:val="000000" w:themeColor="text1"/>
        </w:rPr>
        <w:t xml:space="preserve">, </w:t>
      </w:r>
      <w:r w:rsidR="003D1EFD">
        <w:rPr>
          <w:color w:val="000000" w:themeColor="text1"/>
        </w:rPr>
        <w:t xml:space="preserve">and thus </w:t>
      </w:r>
      <w:r w:rsidR="00874AD7">
        <w:rPr>
          <w:color w:val="000000" w:themeColor="text1"/>
        </w:rPr>
        <w:t>contribute to the</w:t>
      </w:r>
      <w:r w:rsidR="0005035F">
        <w:rPr>
          <w:color w:val="000000" w:themeColor="text1"/>
        </w:rPr>
        <w:t xml:space="preserve"> lynching historiography, and provide new conclusions for the widely accepted lynching mythos. </w:t>
      </w:r>
      <w:r w:rsidR="003E6EB3">
        <w:rPr>
          <w:color w:val="000000" w:themeColor="text1"/>
        </w:rPr>
        <w:t xml:space="preserve">There is further important work to be done in this field, and plenty of unexamined cases of female lynching victims to be addressed by scholars. </w:t>
      </w:r>
    </w:p>
    <w:p w14:paraId="4B62CFF2" w14:textId="33658D2E" w:rsidR="00370BD3" w:rsidRDefault="00D5205E" w:rsidP="00786B18">
      <w:pPr>
        <w:spacing w:line="480" w:lineRule="auto"/>
        <w:rPr>
          <w:color w:val="000000" w:themeColor="text1"/>
        </w:rPr>
      </w:pPr>
      <w:r>
        <w:rPr>
          <w:color w:val="000000" w:themeColor="text1"/>
        </w:rPr>
        <w:tab/>
      </w:r>
    </w:p>
    <w:p w14:paraId="7E89EED4" w14:textId="5A783BE8" w:rsidR="005A6B7C" w:rsidRPr="00AD3A8D" w:rsidRDefault="005A6B7C" w:rsidP="00AD3A8D">
      <w:pPr>
        <w:pStyle w:val="normal0"/>
        <w:spacing w:line="240" w:lineRule="auto"/>
        <w:contextualSpacing w:val="0"/>
        <w:rPr>
          <w:rFonts w:ascii="Times New Roman" w:eastAsia="Times New Roman" w:hAnsi="Times New Roman" w:cs="Times New Roman"/>
          <w:sz w:val="24"/>
          <w:szCs w:val="24"/>
        </w:rPr>
      </w:pPr>
    </w:p>
    <w:sectPr w:rsidR="005A6B7C" w:rsidRPr="00AD3A8D" w:rsidSect="00855E8B">
      <w:footerReference w:type="even"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E30D9" w14:textId="77777777" w:rsidR="00855E8B" w:rsidRDefault="00855E8B" w:rsidP="001E789F">
      <w:r>
        <w:separator/>
      </w:r>
    </w:p>
  </w:endnote>
  <w:endnote w:type="continuationSeparator" w:id="0">
    <w:p w14:paraId="4B9E07C5" w14:textId="77777777" w:rsidR="00855E8B" w:rsidRDefault="00855E8B" w:rsidP="001E7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FAC09" w14:textId="77777777" w:rsidR="00855E8B" w:rsidRDefault="00855E8B" w:rsidP="00855E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EBF696" w14:textId="77777777" w:rsidR="00855E8B" w:rsidRDefault="00855E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88DF7" w14:textId="77777777" w:rsidR="00855E8B" w:rsidRDefault="00855E8B" w:rsidP="00855E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4918">
      <w:rPr>
        <w:rStyle w:val="PageNumber"/>
        <w:noProof/>
      </w:rPr>
      <w:t>1</w:t>
    </w:r>
    <w:r>
      <w:rPr>
        <w:rStyle w:val="PageNumber"/>
      </w:rPr>
      <w:fldChar w:fldCharType="end"/>
    </w:r>
  </w:p>
  <w:p w14:paraId="3CF093F2" w14:textId="77777777" w:rsidR="00855E8B" w:rsidRDefault="00855E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D1498" w14:textId="77777777" w:rsidR="00855E8B" w:rsidRDefault="00855E8B" w:rsidP="001E789F">
      <w:r>
        <w:separator/>
      </w:r>
    </w:p>
  </w:footnote>
  <w:footnote w:type="continuationSeparator" w:id="0">
    <w:p w14:paraId="41DAA9B4" w14:textId="77777777" w:rsidR="00855E8B" w:rsidRDefault="00855E8B" w:rsidP="001E789F">
      <w:r>
        <w:continuationSeparator/>
      </w:r>
    </w:p>
  </w:footnote>
  <w:footnote w:id="1">
    <w:p w14:paraId="521C2B08" w14:textId="32E4ED81" w:rsidR="00855E8B" w:rsidRPr="007935BE" w:rsidRDefault="00855E8B">
      <w:pPr>
        <w:pStyle w:val="FootnoteText"/>
        <w:rPr>
          <w:sz w:val="20"/>
          <w:szCs w:val="20"/>
        </w:rPr>
      </w:pPr>
      <w:r w:rsidRPr="007935BE">
        <w:rPr>
          <w:rStyle w:val="FootnoteReference"/>
          <w:sz w:val="20"/>
          <w:szCs w:val="20"/>
        </w:rPr>
        <w:footnoteRef/>
      </w:r>
      <w:r w:rsidRPr="007935BE">
        <w:rPr>
          <w:sz w:val="20"/>
          <w:szCs w:val="20"/>
        </w:rPr>
        <w:t xml:space="preserve"> “Two Negroes Were Hung,” </w:t>
      </w:r>
      <w:r w:rsidRPr="007935BE">
        <w:rPr>
          <w:i/>
          <w:sz w:val="20"/>
          <w:szCs w:val="20"/>
        </w:rPr>
        <w:t>The Marshall Messenger,</w:t>
      </w:r>
      <w:r w:rsidRPr="007935BE">
        <w:rPr>
          <w:sz w:val="20"/>
          <w:szCs w:val="20"/>
        </w:rPr>
        <w:t xml:space="preserve"> February 20, 1912.</w:t>
      </w:r>
    </w:p>
  </w:footnote>
  <w:footnote w:id="2">
    <w:p w14:paraId="5D9F3F5C" w14:textId="5D974356" w:rsidR="00855E8B" w:rsidRPr="007935BE" w:rsidRDefault="00855E8B">
      <w:pPr>
        <w:pStyle w:val="FootnoteText"/>
        <w:rPr>
          <w:sz w:val="20"/>
          <w:szCs w:val="20"/>
        </w:rPr>
      </w:pPr>
      <w:r w:rsidRPr="007935BE">
        <w:rPr>
          <w:rStyle w:val="FootnoteReference"/>
          <w:sz w:val="20"/>
          <w:szCs w:val="20"/>
        </w:rPr>
        <w:footnoteRef/>
      </w:r>
      <w:r w:rsidRPr="007935BE">
        <w:rPr>
          <w:sz w:val="20"/>
          <w:szCs w:val="20"/>
        </w:rPr>
        <w:t xml:space="preserve"> “Sneed Here For Trial,” </w:t>
      </w:r>
      <w:r w:rsidRPr="007935BE">
        <w:rPr>
          <w:i/>
          <w:sz w:val="20"/>
          <w:szCs w:val="20"/>
        </w:rPr>
        <w:t>The Marshall Messenger,</w:t>
      </w:r>
      <w:r w:rsidRPr="007935BE">
        <w:rPr>
          <w:sz w:val="20"/>
          <w:szCs w:val="20"/>
        </w:rPr>
        <w:t xml:space="preserve"> February 26, 1912.</w:t>
      </w:r>
    </w:p>
  </w:footnote>
  <w:footnote w:id="3">
    <w:p w14:paraId="7B170A25" w14:textId="38F4BB15" w:rsidR="00855E8B" w:rsidRPr="001B3D17" w:rsidRDefault="00855E8B" w:rsidP="001B3D17">
      <w:pPr>
        <w:pStyle w:val="FootnoteText"/>
        <w:rPr>
          <w:sz w:val="20"/>
          <w:szCs w:val="20"/>
          <w:lang w:val="en"/>
        </w:rPr>
      </w:pPr>
      <w:r w:rsidRPr="007935BE">
        <w:rPr>
          <w:rStyle w:val="FootnoteReference"/>
          <w:sz w:val="20"/>
          <w:szCs w:val="20"/>
        </w:rPr>
        <w:footnoteRef/>
      </w:r>
      <w:r w:rsidRPr="007935BE">
        <w:rPr>
          <w:sz w:val="20"/>
          <w:szCs w:val="20"/>
        </w:rPr>
        <w:t xml:space="preserve"> </w:t>
      </w:r>
      <w:r w:rsidRPr="001B3D17">
        <w:rPr>
          <w:sz w:val="20"/>
          <w:szCs w:val="20"/>
        </w:rPr>
        <w:t xml:space="preserve">No reference to a female lynching victim is found in Arthur F. Raper’s </w:t>
      </w:r>
      <w:r w:rsidRPr="001B3D17">
        <w:rPr>
          <w:i/>
          <w:sz w:val="20"/>
          <w:szCs w:val="20"/>
        </w:rPr>
        <w:t xml:space="preserve">The Tragedy of Lynching </w:t>
      </w:r>
      <w:r w:rsidRPr="001B3D17">
        <w:rPr>
          <w:sz w:val="20"/>
          <w:szCs w:val="20"/>
        </w:rPr>
        <w:t>(New York: Dover Publications, 2003),</w:t>
      </w:r>
      <w:r w:rsidRPr="001B3D17">
        <w:rPr>
          <w:i/>
          <w:sz w:val="20"/>
          <w:szCs w:val="20"/>
        </w:rPr>
        <w:t xml:space="preserve"> </w:t>
      </w:r>
      <w:r w:rsidRPr="001B3D17">
        <w:rPr>
          <w:sz w:val="20"/>
          <w:szCs w:val="20"/>
        </w:rPr>
        <w:t xml:space="preserve">and Walter White’s </w:t>
      </w:r>
      <w:r w:rsidRPr="001B3D17">
        <w:rPr>
          <w:i/>
          <w:sz w:val="20"/>
          <w:szCs w:val="20"/>
        </w:rPr>
        <w:t xml:space="preserve">Rope and Faggot </w:t>
      </w:r>
      <w:r w:rsidRPr="001B3D17">
        <w:rPr>
          <w:sz w:val="20"/>
          <w:szCs w:val="20"/>
        </w:rPr>
        <w:t>(</w:t>
      </w:r>
      <w:r w:rsidRPr="001B3D17">
        <w:rPr>
          <w:sz w:val="20"/>
          <w:szCs w:val="20"/>
          <w:lang w:val="en"/>
        </w:rPr>
        <w:t xml:space="preserve">Notre Dame: University of Notre   </w:t>
      </w:r>
    </w:p>
    <w:p w14:paraId="27EC5447" w14:textId="49382BB0" w:rsidR="00855E8B" w:rsidRPr="000B2C18" w:rsidRDefault="00855E8B" w:rsidP="001B3D17">
      <w:pPr>
        <w:pStyle w:val="FootnoteText"/>
      </w:pPr>
      <w:r w:rsidRPr="001B3D17">
        <w:rPr>
          <w:sz w:val="20"/>
          <w:szCs w:val="20"/>
        </w:rPr>
        <w:t>Dame Press, 2001</w:t>
      </w:r>
      <w:r>
        <w:rPr>
          <w:i/>
          <w:sz w:val="20"/>
          <w:szCs w:val="20"/>
        </w:rPr>
        <w:t xml:space="preserve">) </w:t>
      </w:r>
      <w:r>
        <w:rPr>
          <w:sz w:val="20"/>
          <w:szCs w:val="20"/>
        </w:rPr>
        <w:t>only contains a brief two-sentence mention of a woman lynched</w:t>
      </w:r>
      <w:r>
        <w:rPr>
          <w:i/>
          <w:sz w:val="20"/>
          <w:szCs w:val="20"/>
        </w:rPr>
        <w:t xml:space="preserve">. </w:t>
      </w:r>
      <w:r w:rsidRPr="007935BE">
        <w:rPr>
          <w:sz w:val="20"/>
          <w:szCs w:val="20"/>
        </w:rPr>
        <w:t xml:space="preserve">Additionally, the major text on lynching in Texas, </w:t>
      </w:r>
      <w:r w:rsidRPr="001B3D17">
        <w:rPr>
          <w:sz w:val="20"/>
          <w:szCs w:val="20"/>
        </w:rPr>
        <w:t>William D. Carrigan’s</w:t>
      </w:r>
      <w:r w:rsidRPr="001B3D17">
        <w:rPr>
          <w:i/>
          <w:sz w:val="20"/>
          <w:szCs w:val="20"/>
        </w:rPr>
        <w:t xml:space="preserve"> The Making of a Lynching Culture: </w:t>
      </w:r>
      <w:r w:rsidRPr="001B3D17">
        <w:rPr>
          <w:rFonts w:eastAsia="Times New Roman"/>
          <w:i/>
          <w:sz w:val="20"/>
          <w:szCs w:val="20"/>
        </w:rPr>
        <w:t xml:space="preserve">Violence and Vigilantism in Central Texas, 1836-1916 </w:t>
      </w:r>
      <w:r w:rsidRPr="001B3D17">
        <w:rPr>
          <w:rFonts w:eastAsia="Times New Roman"/>
          <w:sz w:val="20"/>
          <w:szCs w:val="20"/>
        </w:rPr>
        <w:t>(Illinois: University of Illinois Press, 2004)</w:t>
      </w:r>
      <w:r>
        <w:rPr>
          <w:rFonts w:eastAsia="Times New Roman"/>
          <w:i/>
          <w:sz w:val="20"/>
          <w:szCs w:val="20"/>
        </w:rPr>
        <w:t xml:space="preserve"> </w:t>
      </w:r>
      <w:r>
        <w:rPr>
          <w:rFonts w:eastAsia="Times New Roman"/>
          <w:sz w:val="20"/>
          <w:szCs w:val="20"/>
        </w:rPr>
        <w:t xml:space="preserve">only briefly references two female lynching victims past 1865, Mary and Hannah Phillips killed in 1895, and the rest are located only in the appendix at the end of the work. </w:t>
      </w:r>
    </w:p>
  </w:footnote>
  <w:footnote w:id="4">
    <w:p w14:paraId="04435396" w14:textId="52187E5D" w:rsidR="00855E8B" w:rsidRDefault="00855E8B">
      <w:pPr>
        <w:pStyle w:val="FootnoteText"/>
      </w:pPr>
      <w:r>
        <w:rPr>
          <w:rStyle w:val="FootnoteReference"/>
        </w:rPr>
        <w:footnoteRef/>
      </w:r>
      <w:r>
        <w:t xml:space="preserve"> </w:t>
      </w:r>
      <w:r w:rsidRPr="002B3847">
        <w:rPr>
          <w:sz w:val="20"/>
          <w:szCs w:val="20"/>
        </w:rPr>
        <w:t>In this case confirmed cases of lynching are understood as substantiated by evidence compiled from various newspapers.</w:t>
      </w:r>
    </w:p>
  </w:footnote>
  <w:footnote w:id="5">
    <w:p w14:paraId="5DF429A1" w14:textId="62A6BC97" w:rsidR="00855E8B" w:rsidRDefault="00855E8B">
      <w:pPr>
        <w:pStyle w:val="FootnoteText"/>
      </w:pPr>
      <w:r>
        <w:rPr>
          <w:rStyle w:val="FootnoteReference"/>
        </w:rPr>
        <w:footnoteRef/>
      </w:r>
      <w:r>
        <w:t xml:space="preserve"> </w:t>
      </w:r>
      <w:r>
        <w:rPr>
          <w:sz w:val="20"/>
          <w:szCs w:val="20"/>
        </w:rPr>
        <w:t xml:space="preserve">1910 United States Census, Elysian Fields, Harrison County, Texas, “Mary Jackson,” </w:t>
      </w:r>
      <w:r>
        <w:rPr>
          <w:i/>
          <w:sz w:val="20"/>
          <w:szCs w:val="20"/>
        </w:rPr>
        <w:t>Ancestry.com.</w:t>
      </w:r>
    </w:p>
  </w:footnote>
  <w:footnote w:id="6">
    <w:p w14:paraId="484E9306" w14:textId="66173DB4" w:rsidR="00855E8B" w:rsidRPr="007935BE" w:rsidRDefault="00855E8B">
      <w:pPr>
        <w:pStyle w:val="FootnoteText"/>
        <w:rPr>
          <w:sz w:val="20"/>
          <w:szCs w:val="20"/>
        </w:rPr>
      </w:pPr>
      <w:r w:rsidRPr="007935BE">
        <w:rPr>
          <w:rStyle w:val="FootnoteReference"/>
          <w:sz w:val="20"/>
          <w:szCs w:val="20"/>
        </w:rPr>
        <w:footnoteRef/>
      </w:r>
      <w:r w:rsidRPr="007935BE">
        <w:rPr>
          <w:sz w:val="20"/>
          <w:szCs w:val="20"/>
        </w:rPr>
        <w:t xml:space="preserve"> “Defended Himself,” </w:t>
      </w:r>
      <w:r w:rsidRPr="007935BE">
        <w:rPr>
          <w:i/>
          <w:sz w:val="20"/>
          <w:szCs w:val="20"/>
        </w:rPr>
        <w:t>The Marshall Messenger</w:t>
      </w:r>
      <w:r w:rsidRPr="007935BE">
        <w:rPr>
          <w:sz w:val="20"/>
          <w:szCs w:val="20"/>
        </w:rPr>
        <w:t>, March 2, 1912.</w:t>
      </w:r>
    </w:p>
  </w:footnote>
  <w:footnote w:id="7">
    <w:p w14:paraId="7F8CF398" w14:textId="4247AEC5" w:rsidR="00855E8B" w:rsidRPr="007935BE" w:rsidRDefault="00855E8B">
      <w:pPr>
        <w:pStyle w:val="FootnoteText"/>
        <w:rPr>
          <w:sz w:val="20"/>
          <w:szCs w:val="20"/>
        </w:rPr>
      </w:pPr>
      <w:r w:rsidRPr="007935BE">
        <w:rPr>
          <w:rStyle w:val="FootnoteReference"/>
          <w:sz w:val="20"/>
          <w:szCs w:val="20"/>
        </w:rPr>
        <w:footnoteRef/>
      </w:r>
      <w:r w:rsidRPr="007935BE">
        <w:rPr>
          <w:sz w:val="20"/>
          <w:szCs w:val="20"/>
        </w:rPr>
        <w:t xml:space="preserve"> Augment of Mary Jackson and George Sanders, February 16, 1912, Case No. 13026, Harrison County District Clerk, Marshall, Texas.</w:t>
      </w:r>
    </w:p>
  </w:footnote>
  <w:footnote w:id="8">
    <w:p w14:paraId="2A658B58" w14:textId="5D50DB4A"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“Two Negroes Were Hung,” </w:t>
      </w:r>
      <w:r w:rsidRPr="008C0417">
        <w:rPr>
          <w:i/>
          <w:sz w:val="20"/>
          <w:szCs w:val="20"/>
        </w:rPr>
        <w:t>The Marshall Messenger</w:t>
      </w:r>
      <w:r w:rsidRPr="008C0417">
        <w:rPr>
          <w:sz w:val="20"/>
          <w:szCs w:val="20"/>
        </w:rPr>
        <w:t>, February 20, 1912.</w:t>
      </w:r>
    </w:p>
  </w:footnote>
  <w:footnote w:id="9">
    <w:p w14:paraId="7B7DD990" w14:textId="0491299C"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“Two Negroes Lynched In Panola County,” </w:t>
      </w:r>
      <w:r w:rsidRPr="008C0417">
        <w:rPr>
          <w:i/>
          <w:sz w:val="20"/>
          <w:szCs w:val="20"/>
        </w:rPr>
        <w:t>The Marshall Messenger</w:t>
      </w:r>
      <w:r w:rsidRPr="008C0417">
        <w:rPr>
          <w:sz w:val="20"/>
          <w:szCs w:val="20"/>
        </w:rPr>
        <w:t>, February 15, 1912.</w:t>
      </w:r>
    </w:p>
  </w:footnote>
  <w:footnote w:id="10">
    <w:p w14:paraId="5508CEA4" w14:textId="35F6DC72" w:rsidR="00855E8B" w:rsidRDefault="00855E8B">
      <w:pPr>
        <w:pStyle w:val="FootnoteText"/>
      </w:pPr>
      <w:r>
        <w:rPr>
          <w:rStyle w:val="FootnoteReference"/>
        </w:rPr>
        <w:footnoteRef/>
      </w:r>
      <w:r>
        <w:t xml:space="preserve"> </w:t>
      </w:r>
      <w:r>
        <w:rPr>
          <w:sz w:val="20"/>
          <w:szCs w:val="20"/>
        </w:rPr>
        <w:t xml:space="preserve">1900 United States Census, Elysian Fields, Harrison County, Texas, “Tennie Fields,” </w:t>
      </w:r>
      <w:r>
        <w:rPr>
          <w:i/>
          <w:sz w:val="20"/>
          <w:szCs w:val="20"/>
        </w:rPr>
        <w:t>Ancestry.com.</w:t>
      </w:r>
    </w:p>
  </w:footnote>
  <w:footnote w:id="11">
    <w:p w14:paraId="26762367" w14:textId="5BC9D543" w:rsidR="00855E8B" w:rsidRDefault="00855E8B">
      <w:pPr>
        <w:pStyle w:val="FootnoteText"/>
      </w:pPr>
      <w:r>
        <w:rPr>
          <w:rStyle w:val="FootnoteReference"/>
        </w:rPr>
        <w:footnoteRef/>
      </w:r>
      <w:r>
        <w:t xml:space="preserve"> </w:t>
      </w:r>
      <w:r>
        <w:rPr>
          <w:sz w:val="20"/>
          <w:szCs w:val="20"/>
        </w:rPr>
        <w:t xml:space="preserve">1910 United States Census, Elysian Fields, Harrison County, Texas, “Alice Dehay,” </w:t>
      </w:r>
      <w:r>
        <w:rPr>
          <w:i/>
          <w:sz w:val="20"/>
          <w:szCs w:val="20"/>
        </w:rPr>
        <w:t>Ancestry.com.</w:t>
      </w:r>
    </w:p>
  </w:footnote>
  <w:footnote w:id="12">
    <w:p w14:paraId="0F46AE22" w14:textId="18F408E1"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“Defended Himself,” </w:t>
      </w:r>
      <w:r w:rsidRPr="008C0417">
        <w:rPr>
          <w:i/>
          <w:sz w:val="20"/>
          <w:szCs w:val="20"/>
        </w:rPr>
        <w:t>The Marshall Messenger</w:t>
      </w:r>
      <w:r w:rsidRPr="008C0417">
        <w:rPr>
          <w:sz w:val="20"/>
          <w:szCs w:val="20"/>
        </w:rPr>
        <w:t>, March 2, 1912.</w:t>
      </w:r>
    </w:p>
  </w:footnote>
  <w:footnote w:id="13">
    <w:p w14:paraId="0E596C6B" w14:textId="7F8FE453"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Petition for Change of Venue, February 29, 1912, Case No. 13026, Harrison County District Clerk, Marshall, Texas.</w:t>
      </w:r>
    </w:p>
  </w:footnote>
  <w:footnote w:id="14">
    <w:p w14:paraId="374760A5" w14:textId="30E64BA4"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“Defended Himself,” </w:t>
      </w:r>
      <w:r w:rsidRPr="008C0417">
        <w:rPr>
          <w:i/>
          <w:sz w:val="20"/>
          <w:szCs w:val="20"/>
        </w:rPr>
        <w:t>The Marshall Messenger</w:t>
      </w:r>
      <w:r w:rsidRPr="008C0417">
        <w:rPr>
          <w:sz w:val="20"/>
          <w:szCs w:val="20"/>
        </w:rPr>
        <w:t>, March 2, 1912.</w:t>
      </w:r>
    </w:p>
  </w:footnote>
  <w:footnote w:id="15">
    <w:p w14:paraId="6DD517E6" w14:textId="15251D1D" w:rsidR="00855E8B" w:rsidRDefault="00855E8B">
      <w:pPr>
        <w:pStyle w:val="FootnoteText"/>
      </w:pPr>
      <w:r w:rsidRPr="008C0417">
        <w:rPr>
          <w:rStyle w:val="FootnoteReference"/>
          <w:sz w:val="20"/>
          <w:szCs w:val="20"/>
        </w:rPr>
        <w:footnoteRef/>
      </w:r>
      <w:r w:rsidRPr="008C0417">
        <w:rPr>
          <w:sz w:val="20"/>
          <w:szCs w:val="20"/>
        </w:rPr>
        <w:t xml:space="preserve"> “Defended Himself,” </w:t>
      </w:r>
      <w:r w:rsidRPr="008C0417">
        <w:rPr>
          <w:i/>
          <w:sz w:val="20"/>
          <w:szCs w:val="20"/>
        </w:rPr>
        <w:t>The Marshall Messenger</w:t>
      </w:r>
      <w:r w:rsidRPr="008C0417">
        <w:rPr>
          <w:sz w:val="20"/>
          <w:szCs w:val="20"/>
        </w:rPr>
        <w:t>, March 2, 1912.</w:t>
      </w:r>
    </w:p>
  </w:footnote>
  <w:footnote w:id="16">
    <w:p w14:paraId="2363723F" w14:textId="1F7468B2"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“Defended Himself,” </w:t>
      </w:r>
      <w:r w:rsidRPr="008C0417">
        <w:rPr>
          <w:i/>
          <w:sz w:val="20"/>
          <w:szCs w:val="20"/>
        </w:rPr>
        <w:t>The Marshall Messenger</w:t>
      </w:r>
      <w:r w:rsidRPr="008C0417">
        <w:rPr>
          <w:sz w:val="20"/>
          <w:szCs w:val="20"/>
        </w:rPr>
        <w:t>, March 2, 1912.</w:t>
      </w:r>
    </w:p>
  </w:footnote>
  <w:footnote w:id="17">
    <w:p w14:paraId="32A6E1CC" w14:textId="0FB611BF"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“Defended Himself,” </w:t>
      </w:r>
      <w:r w:rsidRPr="008C0417">
        <w:rPr>
          <w:i/>
          <w:sz w:val="20"/>
          <w:szCs w:val="20"/>
        </w:rPr>
        <w:t>The Marshall Messenger</w:t>
      </w:r>
      <w:r w:rsidRPr="008C0417">
        <w:rPr>
          <w:sz w:val="20"/>
          <w:szCs w:val="20"/>
        </w:rPr>
        <w:t>, March 2, 1912.</w:t>
      </w:r>
    </w:p>
  </w:footnote>
  <w:footnote w:id="18">
    <w:p w14:paraId="03E1ECD5" w14:textId="6C56A163" w:rsidR="00855E8B" w:rsidRPr="008C0417" w:rsidRDefault="00855E8B" w:rsidP="002C679D">
      <w:pPr>
        <w:pStyle w:val="FootnoteText"/>
        <w:rPr>
          <w:sz w:val="20"/>
          <w:szCs w:val="20"/>
        </w:rPr>
      </w:pPr>
      <w:r w:rsidRPr="008C0417">
        <w:rPr>
          <w:rStyle w:val="FootnoteReference"/>
          <w:sz w:val="20"/>
          <w:szCs w:val="20"/>
        </w:rPr>
        <w:footnoteRef/>
      </w:r>
      <w:r w:rsidRPr="008C0417">
        <w:rPr>
          <w:sz w:val="20"/>
          <w:szCs w:val="20"/>
        </w:rPr>
        <w:t xml:space="preserve"> Petition for Continuance, January 29, 1913, Case No. 5097, Anderson County District Clerk, Palestine, Texas. </w:t>
      </w:r>
    </w:p>
  </w:footnote>
  <w:footnote w:id="19">
    <w:p w14:paraId="0D476A71" w14:textId="4328F9CB" w:rsidR="00855E8B" w:rsidRDefault="00855E8B" w:rsidP="002C679D">
      <w:pPr>
        <w:pStyle w:val="FootnoteText"/>
      </w:pPr>
      <w:r w:rsidRPr="008C0417">
        <w:rPr>
          <w:rStyle w:val="FootnoteReference"/>
          <w:sz w:val="20"/>
          <w:szCs w:val="20"/>
        </w:rPr>
        <w:footnoteRef/>
      </w:r>
      <w:r w:rsidRPr="008C0417">
        <w:rPr>
          <w:sz w:val="20"/>
          <w:szCs w:val="20"/>
        </w:rPr>
        <w:t xml:space="preserve"> “Defended Himself,” </w:t>
      </w:r>
      <w:r w:rsidRPr="008C0417">
        <w:rPr>
          <w:i/>
          <w:sz w:val="20"/>
          <w:szCs w:val="20"/>
        </w:rPr>
        <w:t>The Marshall Messenger</w:t>
      </w:r>
      <w:r w:rsidRPr="008C0417">
        <w:rPr>
          <w:sz w:val="20"/>
          <w:szCs w:val="20"/>
        </w:rPr>
        <w:t>, March 2, 1912.</w:t>
      </w:r>
    </w:p>
  </w:footnote>
  <w:footnote w:id="20">
    <w:p w14:paraId="34726922" w14:textId="065FFCF1"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Petition for Continuance, February 29, 1912, Case No. 13026, Harrison County District Clerk, Marshall, Texas. </w:t>
      </w:r>
    </w:p>
  </w:footnote>
  <w:footnote w:id="21">
    <w:p w14:paraId="7108F94A" w14:textId="22F7C865"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“Defended Himself,” </w:t>
      </w:r>
      <w:r w:rsidRPr="008C0417">
        <w:rPr>
          <w:i/>
          <w:sz w:val="20"/>
          <w:szCs w:val="20"/>
        </w:rPr>
        <w:t>The Marshall Messenger</w:t>
      </w:r>
      <w:r w:rsidRPr="008C0417">
        <w:rPr>
          <w:sz w:val="20"/>
          <w:szCs w:val="20"/>
        </w:rPr>
        <w:t>, March 2, 1912.</w:t>
      </w:r>
    </w:p>
  </w:footnote>
  <w:footnote w:id="22">
    <w:p w14:paraId="456B33D7" w14:textId="326CDAAE" w:rsidR="00855E8B" w:rsidRPr="008C0417" w:rsidRDefault="00855E8B" w:rsidP="00133451">
      <w:pPr>
        <w:pStyle w:val="FootnoteText"/>
        <w:rPr>
          <w:sz w:val="20"/>
          <w:szCs w:val="20"/>
        </w:rPr>
      </w:pPr>
      <w:r w:rsidRPr="008C0417">
        <w:rPr>
          <w:rStyle w:val="FootnoteReference"/>
          <w:sz w:val="20"/>
          <w:szCs w:val="20"/>
        </w:rPr>
        <w:footnoteRef/>
      </w:r>
      <w:r w:rsidRPr="008C0417">
        <w:rPr>
          <w:sz w:val="20"/>
          <w:szCs w:val="20"/>
        </w:rPr>
        <w:t xml:space="preserve"> “Defended Himself,” </w:t>
      </w:r>
      <w:r w:rsidRPr="008C0417">
        <w:rPr>
          <w:i/>
          <w:sz w:val="20"/>
          <w:szCs w:val="20"/>
        </w:rPr>
        <w:t>The Marshall Messenger</w:t>
      </w:r>
      <w:r w:rsidRPr="008C0417">
        <w:rPr>
          <w:sz w:val="20"/>
          <w:szCs w:val="20"/>
        </w:rPr>
        <w:t>, March 2, 1912.</w:t>
      </w:r>
    </w:p>
  </w:footnote>
  <w:footnote w:id="23">
    <w:p w14:paraId="1FC513B1" w14:textId="710200B0"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“Tennie Sneed Safe In Prison,” </w:t>
      </w:r>
      <w:r w:rsidRPr="008C0417">
        <w:rPr>
          <w:i/>
          <w:sz w:val="20"/>
          <w:szCs w:val="20"/>
        </w:rPr>
        <w:t>The Marshall Messenger</w:t>
      </w:r>
      <w:r w:rsidRPr="008C0417">
        <w:rPr>
          <w:sz w:val="20"/>
          <w:szCs w:val="20"/>
        </w:rPr>
        <w:t>, February 9, 1912.</w:t>
      </w:r>
    </w:p>
  </w:footnote>
  <w:footnote w:id="24">
    <w:p w14:paraId="171D3E18" w14:textId="228DDB1B" w:rsidR="00855E8B" w:rsidRPr="00F11D55" w:rsidRDefault="00855E8B">
      <w:pPr>
        <w:pStyle w:val="FootnoteText"/>
        <w:rPr>
          <w:color w:val="000000" w:themeColor="text1"/>
          <w:sz w:val="20"/>
          <w:szCs w:val="20"/>
        </w:rPr>
      </w:pPr>
      <w:r w:rsidRPr="008C0417">
        <w:rPr>
          <w:rStyle w:val="FootnoteReference"/>
          <w:sz w:val="20"/>
          <w:szCs w:val="20"/>
        </w:rPr>
        <w:footnoteRef/>
      </w:r>
      <w:r w:rsidRPr="008C0417">
        <w:rPr>
          <w:sz w:val="20"/>
          <w:szCs w:val="20"/>
        </w:rPr>
        <w:t xml:space="preserve"> </w:t>
      </w:r>
      <w:r>
        <w:rPr>
          <w:sz w:val="20"/>
          <w:szCs w:val="20"/>
        </w:rPr>
        <w:t xml:space="preserve"> </w:t>
      </w:r>
      <w:r w:rsidRPr="008C0417">
        <w:rPr>
          <w:sz w:val="20"/>
          <w:szCs w:val="20"/>
        </w:rPr>
        <w:t xml:space="preserve">Brundage, </w:t>
      </w:r>
      <w:r w:rsidRPr="008C0417">
        <w:rPr>
          <w:i/>
          <w:sz w:val="20"/>
          <w:szCs w:val="20"/>
        </w:rPr>
        <w:t>Lynching in the New South: Georgia and Virginia</w:t>
      </w:r>
      <w:r>
        <w:rPr>
          <w:sz w:val="20"/>
          <w:szCs w:val="20"/>
        </w:rPr>
        <w:t>, 31</w:t>
      </w:r>
      <w:r w:rsidRPr="008C0417">
        <w:rPr>
          <w:sz w:val="20"/>
          <w:szCs w:val="20"/>
        </w:rPr>
        <w:t>.</w:t>
      </w:r>
    </w:p>
  </w:footnote>
  <w:footnote w:id="25">
    <w:p w14:paraId="46828469" w14:textId="1A35CA7C"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“Sneed Lived With Them,” </w:t>
      </w:r>
      <w:r w:rsidRPr="008C0417">
        <w:rPr>
          <w:i/>
          <w:sz w:val="20"/>
          <w:szCs w:val="20"/>
        </w:rPr>
        <w:t>The Marshall Messenger</w:t>
      </w:r>
      <w:r w:rsidRPr="008C0417">
        <w:rPr>
          <w:sz w:val="20"/>
          <w:szCs w:val="20"/>
        </w:rPr>
        <w:t>, February 15, 1912.</w:t>
      </w:r>
    </w:p>
  </w:footnote>
  <w:footnote w:id="26">
    <w:p w14:paraId="470E663C" w14:textId="68AB8066" w:rsidR="00855E8B" w:rsidRDefault="00855E8B">
      <w:pPr>
        <w:pStyle w:val="FootnoteText"/>
      </w:pPr>
      <w:r w:rsidRPr="008C0417">
        <w:rPr>
          <w:rStyle w:val="FootnoteReference"/>
          <w:sz w:val="20"/>
          <w:szCs w:val="20"/>
        </w:rPr>
        <w:footnoteRef/>
      </w:r>
      <w:r w:rsidRPr="008C0417">
        <w:rPr>
          <w:sz w:val="20"/>
          <w:szCs w:val="20"/>
        </w:rPr>
        <w:t xml:space="preserve"> “Two Negroes Were Hung,” </w:t>
      </w:r>
      <w:r w:rsidRPr="008C0417">
        <w:rPr>
          <w:i/>
          <w:sz w:val="20"/>
          <w:szCs w:val="20"/>
        </w:rPr>
        <w:t>The Marshall Messenger</w:t>
      </w:r>
      <w:r w:rsidRPr="008C0417">
        <w:rPr>
          <w:sz w:val="20"/>
          <w:szCs w:val="20"/>
        </w:rPr>
        <w:t>, February 20, 1912.</w:t>
      </w:r>
    </w:p>
  </w:footnote>
  <w:footnote w:id="27">
    <w:p w14:paraId="0EE376B4" w14:textId="58EB52C0"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w:t>
      </w:r>
      <w:r w:rsidRPr="00C62A37">
        <w:rPr>
          <w:sz w:val="20"/>
          <w:szCs w:val="20"/>
        </w:rPr>
        <w:t xml:space="preserve">Brandon Jett, “‘Let Us Be Law Abiding Citizens’ Mob Violence and the Local Response in Harrison County, Texas, 1890-1925,” </w:t>
      </w:r>
      <w:r w:rsidRPr="00C62A37">
        <w:rPr>
          <w:i/>
          <w:sz w:val="20"/>
          <w:szCs w:val="20"/>
        </w:rPr>
        <w:t xml:space="preserve">East Texas Historical Journal </w:t>
      </w:r>
      <w:r w:rsidRPr="00C62A37">
        <w:rPr>
          <w:sz w:val="20"/>
          <w:szCs w:val="20"/>
        </w:rPr>
        <w:t>54, no. 2 (2016): 34; Even though Jett recognizes this in his article on Harrison County, he does not discuss Jackson’s death in terms of her gender in any further detail.</w:t>
      </w:r>
    </w:p>
  </w:footnote>
  <w:footnote w:id="28">
    <w:p w14:paraId="6975678E" w14:textId="37E0E901"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“Prejudice Alleged,” </w:t>
      </w:r>
      <w:r w:rsidRPr="008C0417">
        <w:rPr>
          <w:i/>
          <w:sz w:val="20"/>
          <w:szCs w:val="20"/>
        </w:rPr>
        <w:t>The Marshall Messenger</w:t>
      </w:r>
      <w:r w:rsidRPr="008C0417">
        <w:rPr>
          <w:sz w:val="20"/>
          <w:szCs w:val="20"/>
        </w:rPr>
        <w:t>, February 29, 1912.</w:t>
      </w:r>
    </w:p>
  </w:footnote>
  <w:footnote w:id="29">
    <w:p w14:paraId="14D9A524" w14:textId="621E9825"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“Murder Trial Is Called In Court,” </w:t>
      </w:r>
      <w:r w:rsidRPr="008C0417">
        <w:rPr>
          <w:i/>
          <w:sz w:val="20"/>
          <w:szCs w:val="20"/>
        </w:rPr>
        <w:t>The Palestine Daily Herald</w:t>
      </w:r>
      <w:r w:rsidRPr="008C0417">
        <w:rPr>
          <w:sz w:val="20"/>
          <w:szCs w:val="20"/>
        </w:rPr>
        <w:t>, July 7, 1913.</w:t>
      </w:r>
    </w:p>
  </w:footnote>
  <w:footnote w:id="30">
    <w:p w14:paraId="64EA8AAC" w14:textId="795D90DB"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w:t>
      </w:r>
      <w:r w:rsidRPr="008C0417">
        <w:rPr>
          <w:i/>
          <w:sz w:val="20"/>
          <w:szCs w:val="20"/>
        </w:rPr>
        <w:t xml:space="preserve">The State of Texas vs. Tennie Sneed </w:t>
      </w:r>
      <w:r w:rsidRPr="008C0417">
        <w:rPr>
          <w:sz w:val="20"/>
          <w:szCs w:val="20"/>
        </w:rPr>
        <w:t xml:space="preserve">Returning Verdict, January 28, 1914, Case no. 5097, Anderson County District Clerk, Palestine, Texas. </w:t>
      </w:r>
    </w:p>
  </w:footnote>
  <w:footnote w:id="31">
    <w:p w14:paraId="79F8DAEA" w14:textId="1B26FF69" w:rsidR="00855E8B" w:rsidRPr="001C5F51" w:rsidRDefault="00855E8B">
      <w:pPr>
        <w:pStyle w:val="FootnoteText"/>
        <w:rPr>
          <w:sz w:val="20"/>
          <w:szCs w:val="20"/>
        </w:rPr>
      </w:pPr>
      <w:r>
        <w:rPr>
          <w:rStyle w:val="FootnoteReference"/>
        </w:rPr>
        <w:footnoteRef/>
      </w:r>
      <w:r>
        <w:t xml:space="preserve"> </w:t>
      </w:r>
      <w:r>
        <w:rPr>
          <w:i/>
          <w:sz w:val="20"/>
          <w:szCs w:val="20"/>
        </w:rPr>
        <w:t xml:space="preserve">The State of Texas vs. Tennie Sneed </w:t>
      </w:r>
      <w:r>
        <w:rPr>
          <w:sz w:val="20"/>
          <w:szCs w:val="20"/>
        </w:rPr>
        <w:t>Jury Decision, January 14</w:t>
      </w:r>
      <w:r w:rsidRPr="008C0417">
        <w:rPr>
          <w:sz w:val="20"/>
          <w:szCs w:val="20"/>
        </w:rPr>
        <w:t>, 1914, Case no. 5097, Anderson County District Clerk, Palestine, Texas.</w:t>
      </w:r>
    </w:p>
  </w:footnote>
  <w:footnote w:id="32">
    <w:p w14:paraId="6890AB80" w14:textId="799597A4" w:rsidR="00855E8B" w:rsidRPr="00065A59" w:rsidRDefault="00855E8B">
      <w:pPr>
        <w:pStyle w:val="FootnoteText"/>
        <w:rPr>
          <w:i/>
        </w:rPr>
      </w:pPr>
      <w:r w:rsidRPr="008C0417">
        <w:rPr>
          <w:rStyle w:val="FootnoteReference"/>
          <w:sz w:val="20"/>
          <w:szCs w:val="20"/>
        </w:rPr>
        <w:footnoteRef/>
      </w:r>
      <w:r>
        <w:rPr>
          <w:sz w:val="20"/>
          <w:szCs w:val="20"/>
        </w:rPr>
        <w:t xml:space="preserve"> Texas Convict and Conduct Registers, “Tennie Sneed,” Texas State Archives, </w:t>
      </w:r>
      <w:r>
        <w:rPr>
          <w:i/>
          <w:sz w:val="20"/>
          <w:szCs w:val="20"/>
        </w:rPr>
        <w:t xml:space="preserve">Ancestry.com. </w:t>
      </w:r>
    </w:p>
  </w:footnote>
  <w:footnote w:id="33">
    <w:p w14:paraId="19B0C489" w14:textId="48C19284" w:rsidR="00855E8B" w:rsidRPr="008C0417" w:rsidRDefault="00855E8B">
      <w:pPr>
        <w:pStyle w:val="FootnoteText"/>
        <w:rPr>
          <w:sz w:val="20"/>
          <w:szCs w:val="20"/>
        </w:rPr>
      </w:pPr>
      <w:r w:rsidRPr="008C0417">
        <w:rPr>
          <w:rStyle w:val="FootnoteReference"/>
          <w:sz w:val="20"/>
          <w:szCs w:val="20"/>
        </w:rPr>
        <w:footnoteRef/>
      </w:r>
      <w:r w:rsidRPr="008C0417">
        <w:rPr>
          <w:sz w:val="20"/>
          <w:szCs w:val="20"/>
        </w:rPr>
        <w:t xml:space="preserve"> </w:t>
      </w:r>
      <w:r>
        <w:rPr>
          <w:sz w:val="20"/>
          <w:szCs w:val="20"/>
        </w:rPr>
        <w:t xml:space="preserve">1940 United States Census, Anderson, Grimes County, Texas, “Tennie Sneed,” </w:t>
      </w:r>
      <w:r>
        <w:rPr>
          <w:i/>
          <w:sz w:val="20"/>
          <w:szCs w:val="20"/>
        </w:rPr>
        <w:t>Ancestry.com.</w:t>
      </w:r>
    </w:p>
  </w:footnote>
  <w:footnote w:id="34">
    <w:p w14:paraId="79D0C638" w14:textId="7A912D4C" w:rsidR="00855E8B" w:rsidRPr="00065A59" w:rsidRDefault="00855E8B">
      <w:pPr>
        <w:pStyle w:val="FootnoteText"/>
        <w:rPr>
          <w:i/>
          <w:sz w:val="20"/>
          <w:szCs w:val="20"/>
        </w:rPr>
      </w:pPr>
      <w:r w:rsidRPr="008C0417">
        <w:rPr>
          <w:rStyle w:val="FootnoteReference"/>
          <w:sz w:val="20"/>
          <w:szCs w:val="20"/>
        </w:rPr>
        <w:footnoteRef/>
      </w:r>
      <w:r>
        <w:rPr>
          <w:sz w:val="20"/>
          <w:szCs w:val="20"/>
        </w:rPr>
        <w:t xml:space="preserve"> Death Certificate for Tennie Sneed, September 14, 1972, Lubbock, Texas, </w:t>
      </w:r>
      <w:r>
        <w:rPr>
          <w:i/>
          <w:sz w:val="20"/>
          <w:szCs w:val="20"/>
        </w:rPr>
        <w:t xml:space="preserve">Ancestry.com. </w:t>
      </w:r>
    </w:p>
  </w:footnote>
  <w:footnote w:id="35">
    <w:p w14:paraId="668E33D0" w14:textId="080204E5" w:rsidR="00855E8B" w:rsidRPr="00065A59" w:rsidRDefault="00855E8B">
      <w:pPr>
        <w:pStyle w:val="FootnoteText"/>
        <w:rPr>
          <w:i/>
          <w:sz w:val="20"/>
          <w:szCs w:val="20"/>
        </w:rPr>
      </w:pPr>
      <w:r w:rsidRPr="008C0417">
        <w:rPr>
          <w:rStyle w:val="FootnoteReference"/>
          <w:sz w:val="20"/>
          <w:szCs w:val="20"/>
        </w:rPr>
        <w:footnoteRef/>
      </w:r>
      <w:r w:rsidRPr="008C0417">
        <w:rPr>
          <w:sz w:val="20"/>
          <w:szCs w:val="20"/>
        </w:rPr>
        <w:t xml:space="preserve"> </w:t>
      </w:r>
      <w:r>
        <w:rPr>
          <w:sz w:val="20"/>
          <w:szCs w:val="20"/>
        </w:rPr>
        <w:t xml:space="preserve">Death Certificate for Eva Lee Sneed Cade, January 28, 2013, Lubbock, Texas, </w:t>
      </w:r>
      <w:r>
        <w:rPr>
          <w:i/>
          <w:sz w:val="20"/>
          <w:szCs w:val="20"/>
        </w:rPr>
        <w:t xml:space="preserve">Ancestry.com. </w:t>
      </w:r>
    </w:p>
  </w:footnote>
  <w:footnote w:id="36">
    <w:p w14:paraId="0AD77796" w14:textId="555648C2" w:rsidR="00855E8B" w:rsidRDefault="00855E8B">
      <w:pPr>
        <w:pStyle w:val="FootnoteText"/>
      </w:pPr>
      <w:r w:rsidRPr="008C0417">
        <w:rPr>
          <w:rStyle w:val="FootnoteReference"/>
          <w:sz w:val="20"/>
          <w:szCs w:val="20"/>
        </w:rPr>
        <w:footnoteRef/>
      </w:r>
      <w:r w:rsidRPr="008C0417">
        <w:rPr>
          <w:sz w:val="20"/>
          <w:szCs w:val="20"/>
        </w:rPr>
        <w:t xml:space="preserve"> Brandon Jett is</w:t>
      </w:r>
      <w:r>
        <w:rPr>
          <w:sz w:val="20"/>
          <w:szCs w:val="20"/>
        </w:rPr>
        <w:t xml:space="preserve"> the only historian to discuss Jackson, but he is</w:t>
      </w:r>
      <w:r w:rsidRPr="008C0417">
        <w:rPr>
          <w:sz w:val="20"/>
          <w:szCs w:val="20"/>
        </w:rPr>
        <w:t xml:space="preserve"> incorrect in several of his assertions. Namely, that Jackson, Sanders and Sneed lived together, which he likely accepted unquestioned as that same assertion appeared in many Harrison County newspapers. Additionally he claims it is unclear what happened to Sneed after his first trial in Marshall, which is also incorrect.</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AD5"/>
    <w:rsid w:val="00045B95"/>
    <w:rsid w:val="0005035F"/>
    <w:rsid w:val="0005332B"/>
    <w:rsid w:val="00065A59"/>
    <w:rsid w:val="000B2C18"/>
    <w:rsid w:val="000B73FD"/>
    <w:rsid w:val="00103A3F"/>
    <w:rsid w:val="00106958"/>
    <w:rsid w:val="001247FB"/>
    <w:rsid w:val="00133451"/>
    <w:rsid w:val="0014795D"/>
    <w:rsid w:val="00150160"/>
    <w:rsid w:val="00165983"/>
    <w:rsid w:val="00172567"/>
    <w:rsid w:val="00193774"/>
    <w:rsid w:val="0019677A"/>
    <w:rsid w:val="00196FA2"/>
    <w:rsid w:val="001B3D17"/>
    <w:rsid w:val="001C0945"/>
    <w:rsid w:val="001C5F51"/>
    <w:rsid w:val="001D1362"/>
    <w:rsid w:val="001E789F"/>
    <w:rsid w:val="001F0BC4"/>
    <w:rsid w:val="00204035"/>
    <w:rsid w:val="002124CD"/>
    <w:rsid w:val="00234CCE"/>
    <w:rsid w:val="002407BF"/>
    <w:rsid w:val="002732A2"/>
    <w:rsid w:val="002830CF"/>
    <w:rsid w:val="002A20EE"/>
    <w:rsid w:val="002A7458"/>
    <w:rsid w:val="002B3847"/>
    <w:rsid w:val="002B5AD5"/>
    <w:rsid w:val="002C2C10"/>
    <w:rsid w:val="002C679D"/>
    <w:rsid w:val="002E5E14"/>
    <w:rsid w:val="003219CE"/>
    <w:rsid w:val="0032792E"/>
    <w:rsid w:val="00331D11"/>
    <w:rsid w:val="0033749F"/>
    <w:rsid w:val="00343756"/>
    <w:rsid w:val="00363B52"/>
    <w:rsid w:val="00370BD3"/>
    <w:rsid w:val="00374007"/>
    <w:rsid w:val="003871E2"/>
    <w:rsid w:val="00391EF7"/>
    <w:rsid w:val="003A2A0F"/>
    <w:rsid w:val="003B6D21"/>
    <w:rsid w:val="003C0180"/>
    <w:rsid w:val="003D1EFD"/>
    <w:rsid w:val="003E48E7"/>
    <w:rsid w:val="003E6EB3"/>
    <w:rsid w:val="003E7BE5"/>
    <w:rsid w:val="003E7E81"/>
    <w:rsid w:val="003F0E43"/>
    <w:rsid w:val="003F6996"/>
    <w:rsid w:val="00400843"/>
    <w:rsid w:val="00401025"/>
    <w:rsid w:val="004148EC"/>
    <w:rsid w:val="00424CBA"/>
    <w:rsid w:val="004278F9"/>
    <w:rsid w:val="00431390"/>
    <w:rsid w:val="00432FF7"/>
    <w:rsid w:val="004449DB"/>
    <w:rsid w:val="00470376"/>
    <w:rsid w:val="004A0A46"/>
    <w:rsid w:val="004B043B"/>
    <w:rsid w:val="004C5500"/>
    <w:rsid w:val="00503908"/>
    <w:rsid w:val="00520794"/>
    <w:rsid w:val="0055110E"/>
    <w:rsid w:val="00574F71"/>
    <w:rsid w:val="00575948"/>
    <w:rsid w:val="00585F38"/>
    <w:rsid w:val="00586891"/>
    <w:rsid w:val="00595652"/>
    <w:rsid w:val="005A4AAB"/>
    <w:rsid w:val="005A6B7C"/>
    <w:rsid w:val="005F5096"/>
    <w:rsid w:val="005F59AE"/>
    <w:rsid w:val="00614353"/>
    <w:rsid w:val="00635000"/>
    <w:rsid w:val="00643309"/>
    <w:rsid w:val="00644C9C"/>
    <w:rsid w:val="00650A5E"/>
    <w:rsid w:val="00661450"/>
    <w:rsid w:val="00680157"/>
    <w:rsid w:val="00696EF0"/>
    <w:rsid w:val="006C2A48"/>
    <w:rsid w:val="006C49D1"/>
    <w:rsid w:val="006D2E27"/>
    <w:rsid w:val="006D6A45"/>
    <w:rsid w:val="00701067"/>
    <w:rsid w:val="00705678"/>
    <w:rsid w:val="00707ABA"/>
    <w:rsid w:val="00707E85"/>
    <w:rsid w:val="00710947"/>
    <w:rsid w:val="00710E79"/>
    <w:rsid w:val="00725624"/>
    <w:rsid w:val="00730E12"/>
    <w:rsid w:val="00735FB1"/>
    <w:rsid w:val="0075536D"/>
    <w:rsid w:val="00761D5E"/>
    <w:rsid w:val="0076662E"/>
    <w:rsid w:val="00786B18"/>
    <w:rsid w:val="007935BE"/>
    <w:rsid w:val="00796D63"/>
    <w:rsid w:val="007B1C80"/>
    <w:rsid w:val="007C38F1"/>
    <w:rsid w:val="007E02E8"/>
    <w:rsid w:val="007E58AD"/>
    <w:rsid w:val="0081317D"/>
    <w:rsid w:val="00836700"/>
    <w:rsid w:val="00836D5E"/>
    <w:rsid w:val="00840821"/>
    <w:rsid w:val="00840F9A"/>
    <w:rsid w:val="00853139"/>
    <w:rsid w:val="00855E8B"/>
    <w:rsid w:val="00874AD7"/>
    <w:rsid w:val="00874E58"/>
    <w:rsid w:val="00881D43"/>
    <w:rsid w:val="00885278"/>
    <w:rsid w:val="00890112"/>
    <w:rsid w:val="008C0417"/>
    <w:rsid w:val="008C7204"/>
    <w:rsid w:val="008D14F9"/>
    <w:rsid w:val="00913129"/>
    <w:rsid w:val="009145BF"/>
    <w:rsid w:val="00926B90"/>
    <w:rsid w:val="00936B1D"/>
    <w:rsid w:val="00957328"/>
    <w:rsid w:val="00960B4C"/>
    <w:rsid w:val="00963924"/>
    <w:rsid w:val="0097044E"/>
    <w:rsid w:val="00993731"/>
    <w:rsid w:val="009B3F34"/>
    <w:rsid w:val="009C15BF"/>
    <w:rsid w:val="009C3844"/>
    <w:rsid w:val="009C3E81"/>
    <w:rsid w:val="009D7F4F"/>
    <w:rsid w:val="009F3293"/>
    <w:rsid w:val="00A15CCA"/>
    <w:rsid w:val="00A3366E"/>
    <w:rsid w:val="00A34654"/>
    <w:rsid w:val="00A46B59"/>
    <w:rsid w:val="00A46C46"/>
    <w:rsid w:val="00A53FD9"/>
    <w:rsid w:val="00A63B8A"/>
    <w:rsid w:val="00A754A8"/>
    <w:rsid w:val="00A8129A"/>
    <w:rsid w:val="00A85433"/>
    <w:rsid w:val="00A87EE1"/>
    <w:rsid w:val="00A94791"/>
    <w:rsid w:val="00AA4CF0"/>
    <w:rsid w:val="00AB3D69"/>
    <w:rsid w:val="00AB7394"/>
    <w:rsid w:val="00AD2A94"/>
    <w:rsid w:val="00AD2CE2"/>
    <w:rsid w:val="00AD3A8D"/>
    <w:rsid w:val="00AD795E"/>
    <w:rsid w:val="00AF233D"/>
    <w:rsid w:val="00B2269C"/>
    <w:rsid w:val="00B3043F"/>
    <w:rsid w:val="00B32531"/>
    <w:rsid w:val="00B35198"/>
    <w:rsid w:val="00B36FBE"/>
    <w:rsid w:val="00B65506"/>
    <w:rsid w:val="00B7495F"/>
    <w:rsid w:val="00B822E6"/>
    <w:rsid w:val="00BA40C2"/>
    <w:rsid w:val="00BC460C"/>
    <w:rsid w:val="00C04762"/>
    <w:rsid w:val="00C14918"/>
    <w:rsid w:val="00C51B4C"/>
    <w:rsid w:val="00C558DA"/>
    <w:rsid w:val="00C62A37"/>
    <w:rsid w:val="00C74BB6"/>
    <w:rsid w:val="00C770BD"/>
    <w:rsid w:val="00D17F4C"/>
    <w:rsid w:val="00D27C64"/>
    <w:rsid w:val="00D33F8E"/>
    <w:rsid w:val="00D36034"/>
    <w:rsid w:val="00D5205E"/>
    <w:rsid w:val="00D7193B"/>
    <w:rsid w:val="00D7715B"/>
    <w:rsid w:val="00D87BFC"/>
    <w:rsid w:val="00D934D9"/>
    <w:rsid w:val="00DD0908"/>
    <w:rsid w:val="00DD745F"/>
    <w:rsid w:val="00E12F0E"/>
    <w:rsid w:val="00E14AD0"/>
    <w:rsid w:val="00E17D73"/>
    <w:rsid w:val="00E20D37"/>
    <w:rsid w:val="00E22867"/>
    <w:rsid w:val="00E314CB"/>
    <w:rsid w:val="00E40536"/>
    <w:rsid w:val="00E41C0D"/>
    <w:rsid w:val="00E62F5A"/>
    <w:rsid w:val="00E66336"/>
    <w:rsid w:val="00EA6BF4"/>
    <w:rsid w:val="00EB7E4E"/>
    <w:rsid w:val="00F076B0"/>
    <w:rsid w:val="00F1196F"/>
    <w:rsid w:val="00F11D55"/>
    <w:rsid w:val="00F139F0"/>
    <w:rsid w:val="00F160CF"/>
    <w:rsid w:val="00F23009"/>
    <w:rsid w:val="00F27EB0"/>
    <w:rsid w:val="00F314E0"/>
    <w:rsid w:val="00F44394"/>
    <w:rsid w:val="00F522F0"/>
    <w:rsid w:val="00F67BFD"/>
    <w:rsid w:val="00F845D7"/>
    <w:rsid w:val="00FA146A"/>
    <w:rsid w:val="00FA46F7"/>
    <w:rsid w:val="00FB2936"/>
    <w:rsid w:val="00FC02F2"/>
    <w:rsid w:val="00FC7ADB"/>
    <w:rsid w:val="00FE4711"/>
    <w:rsid w:val="00FF1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CF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6B7C"/>
    <w:pPr>
      <w:spacing w:line="276" w:lineRule="auto"/>
      <w:contextualSpacing/>
    </w:pPr>
    <w:rPr>
      <w:rFonts w:ascii="Arial" w:eastAsia="Arial" w:hAnsi="Arial" w:cs="Arial"/>
      <w:sz w:val="22"/>
      <w:szCs w:val="22"/>
      <w:lang w:val="en"/>
    </w:rPr>
  </w:style>
  <w:style w:type="paragraph" w:styleId="Footer">
    <w:name w:val="footer"/>
    <w:basedOn w:val="Normal"/>
    <w:link w:val="FooterChar"/>
    <w:uiPriority w:val="99"/>
    <w:unhideWhenUsed/>
    <w:rsid w:val="001E789F"/>
    <w:pPr>
      <w:tabs>
        <w:tab w:val="center" w:pos="4320"/>
        <w:tab w:val="right" w:pos="8640"/>
      </w:tabs>
    </w:pPr>
  </w:style>
  <w:style w:type="character" w:customStyle="1" w:styleId="FooterChar">
    <w:name w:val="Footer Char"/>
    <w:basedOn w:val="DefaultParagraphFont"/>
    <w:link w:val="Footer"/>
    <w:uiPriority w:val="99"/>
    <w:rsid w:val="001E789F"/>
  </w:style>
  <w:style w:type="character" w:styleId="PageNumber">
    <w:name w:val="page number"/>
    <w:basedOn w:val="DefaultParagraphFont"/>
    <w:uiPriority w:val="99"/>
    <w:semiHidden/>
    <w:unhideWhenUsed/>
    <w:rsid w:val="001E789F"/>
  </w:style>
  <w:style w:type="paragraph" w:styleId="Header">
    <w:name w:val="header"/>
    <w:basedOn w:val="Normal"/>
    <w:link w:val="HeaderChar"/>
    <w:uiPriority w:val="99"/>
    <w:unhideWhenUsed/>
    <w:rsid w:val="001E789F"/>
    <w:pPr>
      <w:tabs>
        <w:tab w:val="center" w:pos="4320"/>
        <w:tab w:val="right" w:pos="8640"/>
      </w:tabs>
    </w:pPr>
  </w:style>
  <w:style w:type="character" w:customStyle="1" w:styleId="HeaderChar">
    <w:name w:val="Header Char"/>
    <w:basedOn w:val="DefaultParagraphFont"/>
    <w:link w:val="Header"/>
    <w:uiPriority w:val="99"/>
    <w:rsid w:val="001E789F"/>
  </w:style>
  <w:style w:type="paragraph" w:styleId="FootnoteText">
    <w:name w:val="footnote text"/>
    <w:basedOn w:val="Normal"/>
    <w:link w:val="FootnoteTextChar"/>
    <w:uiPriority w:val="99"/>
    <w:unhideWhenUsed/>
    <w:rsid w:val="0032792E"/>
  </w:style>
  <w:style w:type="character" w:customStyle="1" w:styleId="FootnoteTextChar">
    <w:name w:val="Footnote Text Char"/>
    <w:basedOn w:val="DefaultParagraphFont"/>
    <w:link w:val="FootnoteText"/>
    <w:uiPriority w:val="99"/>
    <w:rsid w:val="0032792E"/>
  </w:style>
  <w:style w:type="character" w:styleId="FootnoteReference">
    <w:name w:val="footnote reference"/>
    <w:basedOn w:val="DefaultParagraphFont"/>
    <w:uiPriority w:val="99"/>
    <w:unhideWhenUsed/>
    <w:rsid w:val="0032792E"/>
    <w:rPr>
      <w:vertAlign w:val="superscript"/>
    </w:rPr>
  </w:style>
  <w:style w:type="paragraph" w:styleId="EndnoteText">
    <w:name w:val="endnote text"/>
    <w:basedOn w:val="Normal"/>
    <w:link w:val="EndnoteTextChar"/>
    <w:uiPriority w:val="99"/>
    <w:unhideWhenUsed/>
    <w:rsid w:val="003E48E7"/>
  </w:style>
  <w:style w:type="character" w:customStyle="1" w:styleId="EndnoteTextChar">
    <w:name w:val="Endnote Text Char"/>
    <w:basedOn w:val="DefaultParagraphFont"/>
    <w:link w:val="EndnoteText"/>
    <w:uiPriority w:val="99"/>
    <w:rsid w:val="003E48E7"/>
  </w:style>
  <w:style w:type="character" w:styleId="EndnoteReference">
    <w:name w:val="endnote reference"/>
    <w:basedOn w:val="DefaultParagraphFont"/>
    <w:uiPriority w:val="99"/>
    <w:unhideWhenUsed/>
    <w:rsid w:val="003E48E7"/>
    <w:rPr>
      <w:vertAlign w:val="superscript"/>
    </w:rPr>
  </w:style>
  <w:style w:type="character" w:styleId="CommentReference">
    <w:name w:val="annotation reference"/>
    <w:basedOn w:val="DefaultParagraphFont"/>
    <w:uiPriority w:val="99"/>
    <w:semiHidden/>
    <w:unhideWhenUsed/>
    <w:rsid w:val="00D934D9"/>
    <w:rPr>
      <w:sz w:val="18"/>
      <w:szCs w:val="18"/>
    </w:rPr>
  </w:style>
  <w:style w:type="paragraph" w:styleId="CommentText">
    <w:name w:val="annotation text"/>
    <w:basedOn w:val="Normal"/>
    <w:link w:val="CommentTextChar"/>
    <w:uiPriority w:val="99"/>
    <w:semiHidden/>
    <w:unhideWhenUsed/>
    <w:rsid w:val="00D934D9"/>
  </w:style>
  <w:style w:type="character" w:customStyle="1" w:styleId="CommentTextChar">
    <w:name w:val="Comment Text Char"/>
    <w:basedOn w:val="DefaultParagraphFont"/>
    <w:link w:val="CommentText"/>
    <w:uiPriority w:val="99"/>
    <w:semiHidden/>
    <w:rsid w:val="00D934D9"/>
  </w:style>
  <w:style w:type="paragraph" w:styleId="CommentSubject">
    <w:name w:val="annotation subject"/>
    <w:basedOn w:val="CommentText"/>
    <w:next w:val="CommentText"/>
    <w:link w:val="CommentSubjectChar"/>
    <w:uiPriority w:val="99"/>
    <w:semiHidden/>
    <w:unhideWhenUsed/>
    <w:rsid w:val="00D934D9"/>
    <w:rPr>
      <w:b/>
      <w:bCs/>
      <w:sz w:val="20"/>
      <w:szCs w:val="20"/>
    </w:rPr>
  </w:style>
  <w:style w:type="character" w:customStyle="1" w:styleId="CommentSubjectChar">
    <w:name w:val="Comment Subject Char"/>
    <w:basedOn w:val="CommentTextChar"/>
    <w:link w:val="CommentSubject"/>
    <w:uiPriority w:val="99"/>
    <w:semiHidden/>
    <w:rsid w:val="00D934D9"/>
    <w:rPr>
      <w:b/>
      <w:bCs/>
      <w:sz w:val="20"/>
      <w:szCs w:val="20"/>
    </w:rPr>
  </w:style>
  <w:style w:type="paragraph" w:styleId="BalloonText">
    <w:name w:val="Balloon Text"/>
    <w:basedOn w:val="Normal"/>
    <w:link w:val="BalloonTextChar"/>
    <w:uiPriority w:val="99"/>
    <w:semiHidden/>
    <w:unhideWhenUsed/>
    <w:rsid w:val="00D934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4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6B7C"/>
    <w:pPr>
      <w:spacing w:line="276" w:lineRule="auto"/>
      <w:contextualSpacing/>
    </w:pPr>
    <w:rPr>
      <w:rFonts w:ascii="Arial" w:eastAsia="Arial" w:hAnsi="Arial" w:cs="Arial"/>
      <w:sz w:val="22"/>
      <w:szCs w:val="22"/>
      <w:lang w:val="en"/>
    </w:rPr>
  </w:style>
  <w:style w:type="paragraph" w:styleId="Footer">
    <w:name w:val="footer"/>
    <w:basedOn w:val="Normal"/>
    <w:link w:val="FooterChar"/>
    <w:uiPriority w:val="99"/>
    <w:unhideWhenUsed/>
    <w:rsid w:val="001E789F"/>
    <w:pPr>
      <w:tabs>
        <w:tab w:val="center" w:pos="4320"/>
        <w:tab w:val="right" w:pos="8640"/>
      </w:tabs>
    </w:pPr>
  </w:style>
  <w:style w:type="character" w:customStyle="1" w:styleId="FooterChar">
    <w:name w:val="Footer Char"/>
    <w:basedOn w:val="DefaultParagraphFont"/>
    <w:link w:val="Footer"/>
    <w:uiPriority w:val="99"/>
    <w:rsid w:val="001E789F"/>
  </w:style>
  <w:style w:type="character" w:styleId="PageNumber">
    <w:name w:val="page number"/>
    <w:basedOn w:val="DefaultParagraphFont"/>
    <w:uiPriority w:val="99"/>
    <w:semiHidden/>
    <w:unhideWhenUsed/>
    <w:rsid w:val="001E789F"/>
  </w:style>
  <w:style w:type="paragraph" w:styleId="Header">
    <w:name w:val="header"/>
    <w:basedOn w:val="Normal"/>
    <w:link w:val="HeaderChar"/>
    <w:uiPriority w:val="99"/>
    <w:unhideWhenUsed/>
    <w:rsid w:val="001E789F"/>
    <w:pPr>
      <w:tabs>
        <w:tab w:val="center" w:pos="4320"/>
        <w:tab w:val="right" w:pos="8640"/>
      </w:tabs>
    </w:pPr>
  </w:style>
  <w:style w:type="character" w:customStyle="1" w:styleId="HeaderChar">
    <w:name w:val="Header Char"/>
    <w:basedOn w:val="DefaultParagraphFont"/>
    <w:link w:val="Header"/>
    <w:uiPriority w:val="99"/>
    <w:rsid w:val="001E789F"/>
  </w:style>
  <w:style w:type="paragraph" w:styleId="FootnoteText">
    <w:name w:val="footnote text"/>
    <w:basedOn w:val="Normal"/>
    <w:link w:val="FootnoteTextChar"/>
    <w:uiPriority w:val="99"/>
    <w:unhideWhenUsed/>
    <w:rsid w:val="0032792E"/>
  </w:style>
  <w:style w:type="character" w:customStyle="1" w:styleId="FootnoteTextChar">
    <w:name w:val="Footnote Text Char"/>
    <w:basedOn w:val="DefaultParagraphFont"/>
    <w:link w:val="FootnoteText"/>
    <w:uiPriority w:val="99"/>
    <w:rsid w:val="0032792E"/>
  </w:style>
  <w:style w:type="character" w:styleId="FootnoteReference">
    <w:name w:val="footnote reference"/>
    <w:basedOn w:val="DefaultParagraphFont"/>
    <w:uiPriority w:val="99"/>
    <w:unhideWhenUsed/>
    <w:rsid w:val="0032792E"/>
    <w:rPr>
      <w:vertAlign w:val="superscript"/>
    </w:rPr>
  </w:style>
  <w:style w:type="paragraph" w:styleId="EndnoteText">
    <w:name w:val="endnote text"/>
    <w:basedOn w:val="Normal"/>
    <w:link w:val="EndnoteTextChar"/>
    <w:uiPriority w:val="99"/>
    <w:unhideWhenUsed/>
    <w:rsid w:val="003E48E7"/>
  </w:style>
  <w:style w:type="character" w:customStyle="1" w:styleId="EndnoteTextChar">
    <w:name w:val="Endnote Text Char"/>
    <w:basedOn w:val="DefaultParagraphFont"/>
    <w:link w:val="EndnoteText"/>
    <w:uiPriority w:val="99"/>
    <w:rsid w:val="003E48E7"/>
  </w:style>
  <w:style w:type="character" w:styleId="EndnoteReference">
    <w:name w:val="endnote reference"/>
    <w:basedOn w:val="DefaultParagraphFont"/>
    <w:uiPriority w:val="99"/>
    <w:unhideWhenUsed/>
    <w:rsid w:val="003E48E7"/>
    <w:rPr>
      <w:vertAlign w:val="superscript"/>
    </w:rPr>
  </w:style>
  <w:style w:type="character" w:styleId="CommentReference">
    <w:name w:val="annotation reference"/>
    <w:basedOn w:val="DefaultParagraphFont"/>
    <w:uiPriority w:val="99"/>
    <w:semiHidden/>
    <w:unhideWhenUsed/>
    <w:rsid w:val="00D934D9"/>
    <w:rPr>
      <w:sz w:val="18"/>
      <w:szCs w:val="18"/>
    </w:rPr>
  </w:style>
  <w:style w:type="paragraph" w:styleId="CommentText">
    <w:name w:val="annotation text"/>
    <w:basedOn w:val="Normal"/>
    <w:link w:val="CommentTextChar"/>
    <w:uiPriority w:val="99"/>
    <w:semiHidden/>
    <w:unhideWhenUsed/>
    <w:rsid w:val="00D934D9"/>
  </w:style>
  <w:style w:type="character" w:customStyle="1" w:styleId="CommentTextChar">
    <w:name w:val="Comment Text Char"/>
    <w:basedOn w:val="DefaultParagraphFont"/>
    <w:link w:val="CommentText"/>
    <w:uiPriority w:val="99"/>
    <w:semiHidden/>
    <w:rsid w:val="00D934D9"/>
  </w:style>
  <w:style w:type="paragraph" w:styleId="CommentSubject">
    <w:name w:val="annotation subject"/>
    <w:basedOn w:val="CommentText"/>
    <w:next w:val="CommentText"/>
    <w:link w:val="CommentSubjectChar"/>
    <w:uiPriority w:val="99"/>
    <w:semiHidden/>
    <w:unhideWhenUsed/>
    <w:rsid w:val="00D934D9"/>
    <w:rPr>
      <w:b/>
      <w:bCs/>
      <w:sz w:val="20"/>
      <w:szCs w:val="20"/>
    </w:rPr>
  </w:style>
  <w:style w:type="character" w:customStyle="1" w:styleId="CommentSubjectChar">
    <w:name w:val="Comment Subject Char"/>
    <w:basedOn w:val="CommentTextChar"/>
    <w:link w:val="CommentSubject"/>
    <w:uiPriority w:val="99"/>
    <w:semiHidden/>
    <w:rsid w:val="00D934D9"/>
    <w:rPr>
      <w:b/>
      <w:bCs/>
      <w:sz w:val="20"/>
      <w:szCs w:val="20"/>
    </w:rPr>
  </w:style>
  <w:style w:type="paragraph" w:styleId="BalloonText">
    <w:name w:val="Balloon Text"/>
    <w:basedOn w:val="Normal"/>
    <w:link w:val="BalloonTextChar"/>
    <w:uiPriority w:val="99"/>
    <w:semiHidden/>
    <w:unhideWhenUsed/>
    <w:rsid w:val="00D934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4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6133ECC-19A8-0742-AFFF-4B467D8A5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2869</Words>
  <Characters>14520</Characters>
  <Application>Microsoft Macintosh Word</Application>
  <DocSecurity>0</DocSecurity>
  <Lines>238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Brown</dc:creator>
  <cp:keywords/>
  <dc:description/>
  <cp:lastModifiedBy>Haley Brown</cp:lastModifiedBy>
  <cp:revision>7</cp:revision>
  <cp:lastPrinted>2019-04-09T16:32:00Z</cp:lastPrinted>
  <dcterms:created xsi:type="dcterms:W3CDTF">2019-09-06T14:52:00Z</dcterms:created>
  <dcterms:modified xsi:type="dcterms:W3CDTF">2019-09-07T00:29:00Z</dcterms:modified>
</cp:coreProperties>
</file>