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C4" w:rsidRPr="00B61DC4" w:rsidRDefault="00B61DC4" w:rsidP="00C843C6">
      <w:pPr>
        <w:jc w:val="center"/>
        <w:rPr>
          <w:rFonts w:ascii="Times New Roman" w:eastAsia="Times New Roman" w:hAnsi="Times New Roman" w:cs="Times New Roman"/>
          <w:sz w:val="24"/>
          <w:szCs w:val="24"/>
        </w:rPr>
      </w:pPr>
      <w:r w:rsidRPr="00B61DC4">
        <w:rPr>
          <w:rFonts w:ascii="Times New Roman" w:eastAsia="Times New Roman" w:hAnsi="Times New Roman" w:cs="Times New Roman"/>
          <w:b/>
          <w:bCs/>
          <w:color w:val="000000"/>
          <w:sz w:val="24"/>
          <w:szCs w:val="24"/>
        </w:rPr>
        <w:t xml:space="preserve">Riding </w:t>
      </w:r>
      <w:proofErr w:type="gramStart"/>
      <w:r w:rsidRPr="00B61DC4">
        <w:rPr>
          <w:rFonts w:ascii="Times New Roman" w:eastAsia="Times New Roman" w:hAnsi="Times New Roman" w:cs="Times New Roman"/>
          <w:b/>
          <w:bCs/>
          <w:color w:val="000000"/>
          <w:sz w:val="24"/>
          <w:szCs w:val="24"/>
        </w:rPr>
        <w:t>The</w:t>
      </w:r>
      <w:proofErr w:type="gramEnd"/>
      <w:r w:rsidRPr="00B61DC4">
        <w:rPr>
          <w:rFonts w:ascii="Times New Roman" w:eastAsia="Times New Roman" w:hAnsi="Times New Roman" w:cs="Times New Roman"/>
          <w:b/>
          <w:bCs/>
          <w:color w:val="000000"/>
          <w:sz w:val="24"/>
          <w:szCs w:val="24"/>
        </w:rPr>
        <w:t xml:space="preserve"> Horse: Punishment of Forgery in the Theodosian Code</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xml:space="preserve">While many of the punishments used throughout Late Antiquity and into the Middle Ages are today considered cruel and unusual, their contemporary use and sanction followed specific guidelines expressed in law codes which governed the process of punishment. Functioning as legislative timelines, law codes also convey the issues a society deemed punishable, and to what extent; one such document is the </w:t>
      </w:r>
      <w:r w:rsidRPr="00B61DC4">
        <w:rPr>
          <w:rFonts w:ascii="Times New Roman" w:eastAsia="Times New Roman" w:hAnsi="Times New Roman" w:cs="Times New Roman"/>
          <w:i/>
          <w:iCs/>
          <w:color w:val="000000"/>
          <w:sz w:val="24"/>
          <w:szCs w:val="24"/>
        </w:rPr>
        <w:t xml:space="preserve">Codex </w:t>
      </w:r>
      <w:proofErr w:type="spellStart"/>
      <w:r w:rsidRPr="00B61DC4">
        <w:rPr>
          <w:rFonts w:ascii="Times New Roman" w:eastAsia="Times New Roman" w:hAnsi="Times New Roman" w:cs="Times New Roman"/>
          <w:i/>
          <w:iCs/>
          <w:color w:val="000000"/>
          <w:sz w:val="24"/>
          <w:szCs w:val="24"/>
        </w:rPr>
        <w:t>Theodosianus</w:t>
      </w:r>
      <w:proofErr w:type="spellEnd"/>
      <w:r w:rsidRPr="00B61DC4">
        <w:rPr>
          <w:rFonts w:ascii="Times New Roman" w:eastAsia="Times New Roman" w:hAnsi="Times New Roman" w:cs="Times New Roman"/>
          <w:color w:val="000000"/>
          <w:sz w:val="24"/>
          <w:szCs w:val="24"/>
        </w:rPr>
        <w:t xml:space="preserve">, or </w:t>
      </w:r>
      <w:r w:rsidRPr="00B61DC4">
        <w:rPr>
          <w:rFonts w:ascii="Times New Roman" w:eastAsia="Times New Roman" w:hAnsi="Times New Roman" w:cs="Times New Roman"/>
          <w:i/>
          <w:iCs/>
          <w:color w:val="000000"/>
          <w:sz w:val="24"/>
          <w:szCs w:val="24"/>
        </w:rPr>
        <w:t>Theodosian Code</w:t>
      </w:r>
      <w:r w:rsidRPr="00B61DC4">
        <w:rPr>
          <w:rFonts w:ascii="Times New Roman" w:eastAsia="Times New Roman" w:hAnsi="Times New Roman" w:cs="Times New Roman"/>
          <w:color w:val="000000"/>
          <w:sz w:val="24"/>
          <w:szCs w:val="24"/>
        </w:rPr>
        <w:t xml:space="preserve">. In 369 </w:t>
      </w:r>
      <w:proofErr w:type="gramStart"/>
      <w:r w:rsidRPr="00B61DC4">
        <w:rPr>
          <w:rFonts w:ascii="Times New Roman" w:eastAsia="Times New Roman" w:hAnsi="Times New Roman" w:cs="Times New Roman"/>
          <w:color w:val="000000"/>
          <w:sz w:val="24"/>
          <w:szCs w:val="24"/>
        </w:rPr>
        <w:t>AD</w:t>
      </w:r>
      <w:proofErr w:type="gramEnd"/>
      <w:r w:rsidRPr="00B61DC4">
        <w:rPr>
          <w:rFonts w:ascii="Times New Roman" w:eastAsia="Times New Roman" w:hAnsi="Times New Roman" w:cs="Times New Roman"/>
          <w:color w:val="000000"/>
          <w:sz w:val="24"/>
          <w:szCs w:val="24"/>
        </w:rPr>
        <w:t>, the emperors Valens and Valentinian I received an anonymous petition requesting the organization of the law. According to the petitioner, legal confusion existed throughout the Roman state that was generated by “wicked men.” Organization of the law codes did not occur for another sixty years until the creation of the first code commission in March 429 under Emperor Theodosius II.</w:t>
      </w:r>
      <w:r w:rsidR="00340779">
        <w:rPr>
          <w:rStyle w:val="FootnoteReference"/>
          <w:rFonts w:ascii="Times New Roman" w:eastAsia="Times New Roman" w:hAnsi="Times New Roman" w:cs="Times New Roman"/>
          <w:color w:val="000000"/>
          <w:sz w:val="24"/>
          <w:szCs w:val="24"/>
        </w:rPr>
        <w:footnoteReference w:id="1"/>
      </w:r>
      <w:r w:rsidRPr="00B61DC4">
        <w:rPr>
          <w:rFonts w:ascii="Times New Roman" w:eastAsia="Times New Roman" w:hAnsi="Times New Roman" w:cs="Times New Roman"/>
          <w:color w:val="000000"/>
          <w:sz w:val="24"/>
          <w:szCs w:val="24"/>
        </w:rPr>
        <w:t xml:space="preserve"> Prior to the commissioning of the code, a codification existed in the </w:t>
      </w:r>
      <w:proofErr w:type="spellStart"/>
      <w:r w:rsidRPr="00B61DC4">
        <w:rPr>
          <w:rFonts w:ascii="Times New Roman" w:eastAsia="Times New Roman" w:hAnsi="Times New Roman" w:cs="Times New Roman"/>
          <w:color w:val="000000"/>
          <w:sz w:val="24"/>
          <w:szCs w:val="24"/>
        </w:rPr>
        <w:t>Diocletianic</w:t>
      </w:r>
      <w:proofErr w:type="spellEnd"/>
      <w:r w:rsidRPr="00B61DC4">
        <w:rPr>
          <w:rFonts w:ascii="Times New Roman" w:eastAsia="Times New Roman" w:hAnsi="Times New Roman" w:cs="Times New Roman"/>
          <w:color w:val="000000"/>
          <w:sz w:val="24"/>
          <w:szCs w:val="24"/>
        </w:rPr>
        <w:t xml:space="preserve"> compilations of Gregorian and Hermogenian laws dating from the 290s.</w:t>
      </w:r>
      <w:r w:rsidR="00340779">
        <w:rPr>
          <w:rStyle w:val="FootnoteReference"/>
          <w:rFonts w:ascii="Times New Roman" w:eastAsia="Times New Roman" w:hAnsi="Times New Roman" w:cs="Times New Roman"/>
          <w:color w:val="000000"/>
          <w:sz w:val="24"/>
          <w:szCs w:val="24"/>
        </w:rPr>
        <w:footnoteReference w:id="2"/>
      </w:r>
      <w:r w:rsidRPr="00B61DC4">
        <w:rPr>
          <w:rFonts w:ascii="Times New Roman" w:eastAsia="Times New Roman" w:hAnsi="Times New Roman" w:cs="Times New Roman"/>
          <w:color w:val="000000"/>
          <w:sz w:val="24"/>
          <w:szCs w:val="24"/>
        </w:rPr>
        <w:t xml:space="preserve"> The </w:t>
      </w:r>
      <w:r w:rsidRPr="00B61DC4">
        <w:rPr>
          <w:rFonts w:ascii="Times New Roman" w:eastAsia="Times New Roman" w:hAnsi="Times New Roman" w:cs="Times New Roman"/>
          <w:i/>
          <w:iCs/>
          <w:color w:val="000000"/>
          <w:sz w:val="24"/>
          <w:szCs w:val="24"/>
        </w:rPr>
        <w:t>Theodosian Code</w:t>
      </w:r>
      <w:r w:rsidRPr="00B61DC4">
        <w:rPr>
          <w:rFonts w:ascii="Times New Roman" w:eastAsia="Times New Roman" w:hAnsi="Times New Roman" w:cs="Times New Roman"/>
          <w:color w:val="000000"/>
          <w:sz w:val="24"/>
          <w:szCs w:val="24"/>
        </w:rPr>
        <w:t xml:space="preserve"> compiled Roman laws issued by the emperors from 313 AD, after Constantine consolidated power in the Western Empire, until 438 AD, when the code was completed.</w:t>
      </w:r>
      <w:r w:rsidR="00340779">
        <w:rPr>
          <w:rStyle w:val="FootnoteReference"/>
          <w:rFonts w:ascii="Times New Roman" w:eastAsia="Times New Roman" w:hAnsi="Times New Roman" w:cs="Times New Roman"/>
          <w:color w:val="000000"/>
          <w:sz w:val="24"/>
          <w:szCs w:val="24"/>
        </w:rPr>
        <w:footnoteReference w:id="3"/>
      </w:r>
    </w:p>
    <w:p w:rsidR="00C843C6" w:rsidRDefault="00B61DC4" w:rsidP="00C843C6">
      <w:pPr>
        <w:rPr>
          <w:rFonts w:ascii="Times New Roman" w:eastAsia="Times New Roman" w:hAnsi="Times New Roman" w:cs="Times New Roman"/>
          <w:color w:val="000000"/>
          <w:sz w:val="24"/>
          <w:szCs w:val="24"/>
        </w:rPr>
      </w:pPr>
      <w:r w:rsidRPr="00B61DC4">
        <w:rPr>
          <w:rFonts w:ascii="Times New Roman" w:eastAsia="Times New Roman" w:hAnsi="Times New Roman" w:cs="Times New Roman"/>
          <w:color w:val="000000"/>
          <w:sz w:val="24"/>
          <w:szCs w:val="24"/>
        </w:rPr>
        <w:t>        </w:t>
      </w:r>
      <w:r w:rsidRPr="00B61DC4">
        <w:rPr>
          <w:rFonts w:ascii="Times New Roman" w:eastAsia="Times New Roman" w:hAnsi="Times New Roman" w:cs="Times New Roman"/>
          <w:color w:val="000000"/>
          <w:sz w:val="24"/>
          <w:szCs w:val="24"/>
        </w:rPr>
        <w:tab/>
        <w:t xml:space="preserve">The </w:t>
      </w:r>
      <w:r w:rsidRPr="00B61DC4">
        <w:rPr>
          <w:rFonts w:ascii="Times New Roman" w:eastAsia="Times New Roman" w:hAnsi="Times New Roman" w:cs="Times New Roman"/>
          <w:i/>
          <w:iCs/>
          <w:color w:val="000000"/>
          <w:sz w:val="24"/>
          <w:szCs w:val="24"/>
        </w:rPr>
        <w:t xml:space="preserve">Theodosian Code, </w:t>
      </w:r>
      <w:r w:rsidRPr="00B61DC4">
        <w:rPr>
          <w:rFonts w:ascii="Times New Roman" w:eastAsia="Times New Roman" w:hAnsi="Times New Roman" w:cs="Times New Roman"/>
          <w:color w:val="000000"/>
          <w:sz w:val="24"/>
          <w:szCs w:val="24"/>
        </w:rPr>
        <w:t>also referenced as CT, covers over a century of Roman legislation, spanning the rule of numerous emperors. Among the various punishments which appear in the code, this paper will specifically discuss the torture horse. This torture method is often associated with the Spanish Inquisition and may be more popularly known as the Spanish donkey, or wooden horse. However, this method of punishment was in use long before the late fifteenth century.</w:t>
      </w:r>
    </w:p>
    <w:p w:rsidR="00B61DC4" w:rsidRPr="00B61DC4" w:rsidRDefault="00C843C6" w:rsidP="00C843C6">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T</w:t>
      </w:r>
      <w:r w:rsidR="00B61DC4" w:rsidRPr="00B61DC4">
        <w:rPr>
          <w:rFonts w:ascii="Times New Roman" w:eastAsia="Times New Roman" w:hAnsi="Times New Roman" w:cs="Times New Roman"/>
          <w:color w:val="000000"/>
          <w:sz w:val="24"/>
          <w:szCs w:val="24"/>
        </w:rPr>
        <w:t xml:space="preserve">he ‘torture horse’ was also known as </w:t>
      </w:r>
      <w:proofErr w:type="spellStart"/>
      <w:r w:rsidR="00B61DC4" w:rsidRPr="00B61DC4">
        <w:rPr>
          <w:rFonts w:ascii="Times New Roman" w:eastAsia="Times New Roman" w:hAnsi="Times New Roman" w:cs="Times New Roman"/>
          <w:color w:val="000000"/>
          <w:sz w:val="24"/>
          <w:szCs w:val="24"/>
        </w:rPr>
        <w:t>e</w:t>
      </w:r>
      <w:r w:rsidR="00B61DC4" w:rsidRPr="00B61DC4">
        <w:rPr>
          <w:rFonts w:ascii="Times New Roman" w:eastAsia="Times New Roman" w:hAnsi="Times New Roman" w:cs="Times New Roman"/>
          <w:i/>
          <w:iCs/>
          <w:color w:val="000000"/>
          <w:sz w:val="24"/>
          <w:szCs w:val="24"/>
        </w:rPr>
        <w:t>quuleus</w:t>
      </w:r>
      <w:proofErr w:type="spellEnd"/>
      <w:r w:rsidR="00B61DC4" w:rsidRPr="00B61DC4">
        <w:rPr>
          <w:rFonts w:ascii="Times New Roman" w:eastAsia="Times New Roman" w:hAnsi="Times New Roman" w:cs="Times New Roman"/>
          <w:color w:val="000000"/>
          <w:sz w:val="24"/>
          <w:szCs w:val="24"/>
        </w:rPr>
        <w:t>, Latin for ‘little horse’. According to Brian Innes, “Its name implies that it may have been a frame rather like a vaulting-horse, over which the victim was stretched by weights.”</w:t>
      </w:r>
      <w:r w:rsidR="00340779">
        <w:rPr>
          <w:rStyle w:val="FootnoteReference"/>
          <w:rFonts w:ascii="Times New Roman" w:eastAsia="Times New Roman" w:hAnsi="Times New Roman" w:cs="Times New Roman"/>
          <w:color w:val="000000"/>
          <w:sz w:val="24"/>
          <w:szCs w:val="24"/>
        </w:rPr>
        <w:footnoteReference w:id="4"/>
      </w:r>
      <w:r w:rsidR="00B61DC4" w:rsidRPr="00B61DC4">
        <w:rPr>
          <w:rFonts w:ascii="Times New Roman" w:eastAsia="Times New Roman" w:hAnsi="Times New Roman" w:cs="Times New Roman"/>
          <w:color w:val="000000"/>
          <w:sz w:val="24"/>
          <w:szCs w:val="24"/>
        </w:rPr>
        <w:t xml:space="preserve"> In fact, the weight of the body alone, positioned naked over a triangular beam, would cause immense pain after only a few moments. Genital discomfort and hip displacement often occurred once weights were added. In only one of the three instances mentioned in the </w:t>
      </w:r>
      <w:r w:rsidR="00B61DC4" w:rsidRPr="00B61DC4">
        <w:rPr>
          <w:rFonts w:ascii="Times New Roman" w:eastAsia="Times New Roman" w:hAnsi="Times New Roman" w:cs="Times New Roman"/>
          <w:i/>
          <w:iCs/>
          <w:color w:val="000000"/>
          <w:sz w:val="24"/>
          <w:szCs w:val="24"/>
        </w:rPr>
        <w:t>Theodosian Code,</w:t>
      </w:r>
      <w:r w:rsidR="00B61DC4" w:rsidRPr="00B61DC4">
        <w:rPr>
          <w:rFonts w:ascii="Times New Roman" w:eastAsia="Times New Roman" w:hAnsi="Times New Roman" w:cs="Times New Roman"/>
          <w:color w:val="000000"/>
          <w:sz w:val="24"/>
          <w:szCs w:val="24"/>
        </w:rPr>
        <w:t xml:space="preserve"> in which the torture horse was approved as punishment, was this brutality used in isolation. The other two occurrences called for additional punishments such as iron claws or further lacerations.</w:t>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w:t>
      </w:r>
      <w:r w:rsidRPr="00B61DC4">
        <w:rPr>
          <w:rFonts w:ascii="Times New Roman" w:eastAsia="Times New Roman" w:hAnsi="Times New Roman" w:cs="Times New Roman"/>
          <w:color w:val="000000"/>
          <w:sz w:val="24"/>
          <w:szCs w:val="24"/>
        </w:rPr>
        <w:tab/>
        <w:t xml:space="preserve">The choice of torture implements for specific crimes was not arbitrary. The three cases in which the punishment is mentioned allude to cases of forgery, specifically forgery against the Roman state. The first, usurpation of step bread required forgery of official documents and corrupted the ration system (CT 14, 17; 6). The second, fraudulent accounting, directly affected the finances of the government (CT 8, 1; 4). Witchcraft, the third case in which the torture horse was used as punishment, may initially seem to be an outlier alongside the two cases which discuss forgery (CT 9, 16; 6). However, further discussion concerning the history of witchcraft, soothsaying, and sorcery in the Roman </w:t>
      </w:r>
      <w:r w:rsidRPr="00B61DC4">
        <w:rPr>
          <w:rFonts w:ascii="Times New Roman" w:eastAsia="Times New Roman" w:hAnsi="Times New Roman" w:cs="Times New Roman"/>
          <w:sz w:val="24"/>
          <w:szCs w:val="24"/>
        </w:rPr>
        <w:t>Empire will reveal its connections to forgery. This paper asks</w:t>
      </w:r>
      <w:r w:rsidR="00C843C6" w:rsidRPr="001906C4">
        <w:rPr>
          <w:rFonts w:ascii="Times New Roman" w:eastAsia="Times New Roman" w:hAnsi="Times New Roman" w:cs="Times New Roman"/>
          <w:sz w:val="24"/>
          <w:szCs w:val="24"/>
        </w:rPr>
        <w:t xml:space="preserve"> if</w:t>
      </w:r>
      <w:r w:rsidR="00B26C2D" w:rsidRPr="001906C4">
        <w:rPr>
          <w:rFonts w:ascii="Times New Roman" w:eastAsia="Times New Roman" w:hAnsi="Times New Roman" w:cs="Times New Roman"/>
          <w:sz w:val="24"/>
          <w:szCs w:val="24"/>
        </w:rPr>
        <w:t xml:space="preserve"> crimes were categorized and disciplined by</w:t>
      </w:r>
      <w:r w:rsidR="00B0404B" w:rsidRPr="001906C4">
        <w:rPr>
          <w:rFonts w:ascii="Times New Roman" w:eastAsia="Times New Roman" w:hAnsi="Times New Roman" w:cs="Times New Roman"/>
          <w:sz w:val="24"/>
          <w:szCs w:val="24"/>
        </w:rPr>
        <w:t xml:space="preserve"> </w:t>
      </w:r>
      <w:r w:rsidR="00C66551" w:rsidRPr="001906C4">
        <w:rPr>
          <w:rFonts w:ascii="Times New Roman" w:eastAsia="Times New Roman" w:hAnsi="Times New Roman" w:cs="Times New Roman"/>
          <w:sz w:val="24"/>
          <w:szCs w:val="24"/>
        </w:rPr>
        <w:t>government sanctioned form</w:t>
      </w:r>
      <w:r w:rsidR="00B26C2D" w:rsidRPr="001906C4">
        <w:rPr>
          <w:rFonts w:ascii="Times New Roman" w:eastAsia="Times New Roman" w:hAnsi="Times New Roman" w:cs="Times New Roman"/>
          <w:sz w:val="24"/>
          <w:szCs w:val="24"/>
        </w:rPr>
        <w:t>s</w:t>
      </w:r>
      <w:r w:rsidR="00C66551" w:rsidRPr="001906C4">
        <w:rPr>
          <w:rFonts w:ascii="Times New Roman" w:eastAsia="Times New Roman" w:hAnsi="Times New Roman" w:cs="Times New Roman"/>
          <w:sz w:val="24"/>
          <w:szCs w:val="24"/>
        </w:rPr>
        <w:t xml:space="preserve"> of punishment</w:t>
      </w:r>
      <w:r w:rsidR="00B26C2D" w:rsidRPr="001906C4">
        <w:rPr>
          <w:rFonts w:ascii="Times New Roman" w:eastAsia="Times New Roman" w:hAnsi="Times New Roman" w:cs="Times New Roman"/>
          <w:sz w:val="24"/>
          <w:szCs w:val="24"/>
        </w:rPr>
        <w:t xml:space="preserve"> that were regul</w:t>
      </w:r>
      <w:r w:rsidR="00B0404B" w:rsidRPr="001906C4">
        <w:rPr>
          <w:rFonts w:ascii="Times New Roman" w:eastAsia="Times New Roman" w:hAnsi="Times New Roman" w:cs="Times New Roman"/>
          <w:sz w:val="24"/>
          <w:szCs w:val="24"/>
        </w:rPr>
        <w:t xml:space="preserve">ated </w:t>
      </w:r>
      <w:r w:rsidR="00C66551" w:rsidRPr="001906C4">
        <w:rPr>
          <w:rFonts w:ascii="Times New Roman" w:eastAsia="Times New Roman" w:hAnsi="Times New Roman" w:cs="Times New Roman"/>
          <w:sz w:val="24"/>
          <w:szCs w:val="24"/>
        </w:rPr>
        <w:t>b</w:t>
      </w:r>
      <w:r w:rsidR="00B26C2D" w:rsidRPr="001906C4">
        <w:rPr>
          <w:rFonts w:ascii="Times New Roman" w:eastAsia="Times New Roman" w:hAnsi="Times New Roman" w:cs="Times New Roman"/>
          <w:sz w:val="24"/>
          <w:szCs w:val="24"/>
        </w:rPr>
        <w:t xml:space="preserve">y </w:t>
      </w:r>
      <w:r w:rsidR="00C66551" w:rsidRPr="001906C4">
        <w:rPr>
          <w:rFonts w:ascii="Times New Roman" w:eastAsia="Times New Roman" w:hAnsi="Times New Roman" w:cs="Times New Roman"/>
          <w:sz w:val="24"/>
          <w:szCs w:val="24"/>
        </w:rPr>
        <w:t xml:space="preserve">structures found in law codes, </w:t>
      </w:r>
      <w:r w:rsidR="00C843C6" w:rsidRPr="001906C4">
        <w:rPr>
          <w:rFonts w:ascii="Times New Roman" w:eastAsia="Times New Roman" w:hAnsi="Times New Roman" w:cs="Times New Roman"/>
          <w:sz w:val="24"/>
          <w:szCs w:val="24"/>
        </w:rPr>
        <w:t xml:space="preserve">using the torture horse as it is found in the </w:t>
      </w:r>
      <w:r w:rsidR="00C843C6" w:rsidRPr="001906C4">
        <w:rPr>
          <w:rFonts w:ascii="Times New Roman" w:eastAsia="Times New Roman" w:hAnsi="Times New Roman" w:cs="Times New Roman"/>
          <w:i/>
          <w:iCs/>
          <w:sz w:val="24"/>
          <w:szCs w:val="24"/>
        </w:rPr>
        <w:t xml:space="preserve">Theodosian Code </w:t>
      </w:r>
      <w:r w:rsidR="00C843C6" w:rsidRPr="001906C4">
        <w:rPr>
          <w:rFonts w:ascii="Times New Roman" w:eastAsia="Times New Roman" w:hAnsi="Times New Roman" w:cs="Times New Roman"/>
          <w:sz w:val="24"/>
          <w:szCs w:val="24"/>
        </w:rPr>
        <w:t>as an example.</w:t>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w:t>
      </w:r>
      <w:r w:rsidRPr="00B61DC4">
        <w:rPr>
          <w:rFonts w:ascii="Times New Roman" w:eastAsia="Times New Roman" w:hAnsi="Times New Roman" w:cs="Times New Roman"/>
          <w:color w:val="000000"/>
          <w:sz w:val="24"/>
          <w:szCs w:val="24"/>
        </w:rPr>
        <w:tab/>
        <w:t xml:space="preserve">Laws concerning the care and sale of horses within the empire will be briefly discussed to gain an understanding of their place in Roman society. These laws, analyzed in conjunction with </w:t>
      </w:r>
      <w:r w:rsidRPr="00B61DC4">
        <w:rPr>
          <w:rFonts w:ascii="Times New Roman" w:eastAsia="Times New Roman" w:hAnsi="Times New Roman" w:cs="Times New Roman"/>
          <w:color w:val="000000"/>
          <w:sz w:val="24"/>
          <w:szCs w:val="24"/>
        </w:rPr>
        <w:lastRenderedPageBreak/>
        <w:t xml:space="preserve">the arguments of scholars, such as Jill Harries and Ruth </w:t>
      </w:r>
      <w:proofErr w:type="spellStart"/>
      <w:r w:rsidRPr="00B61DC4">
        <w:rPr>
          <w:rFonts w:ascii="Times New Roman" w:eastAsia="Times New Roman" w:hAnsi="Times New Roman" w:cs="Times New Roman"/>
          <w:color w:val="000000"/>
          <w:sz w:val="24"/>
          <w:szCs w:val="24"/>
        </w:rPr>
        <w:t>Mellinkoff</w:t>
      </w:r>
      <w:proofErr w:type="spellEnd"/>
      <w:r w:rsidRPr="00B61DC4">
        <w:rPr>
          <w:rFonts w:ascii="Times New Roman" w:eastAsia="Times New Roman" w:hAnsi="Times New Roman" w:cs="Times New Roman"/>
          <w:color w:val="000000"/>
          <w:sz w:val="24"/>
          <w:szCs w:val="24"/>
        </w:rPr>
        <w:t>, help to explain why the torture horse was used to punish the crime of forgery.</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xml:space="preserve">Horses were highly prized in Roman society, especially those bred in the stables of </w:t>
      </w:r>
      <w:proofErr w:type="spellStart"/>
      <w:r w:rsidRPr="00B61DC4">
        <w:rPr>
          <w:rFonts w:ascii="Times New Roman" w:eastAsia="Times New Roman" w:hAnsi="Times New Roman" w:cs="Times New Roman"/>
          <w:color w:val="000000"/>
          <w:sz w:val="24"/>
          <w:szCs w:val="24"/>
        </w:rPr>
        <w:t>Pamatius</w:t>
      </w:r>
      <w:proofErr w:type="spellEnd"/>
      <w:r w:rsidRPr="00B61DC4">
        <w:rPr>
          <w:rFonts w:ascii="Times New Roman" w:eastAsia="Times New Roman" w:hAnsi="Times New Roman" w:cs="Times New Roman"/>
          <w:color w:val="000000"/>
          <w:sz w:val="24"/>
          <w:szCs w:val="24"/>
        </w:rPr>
        <w:t xml:space="preserve"> in Cappadocia and Hermogenes in </w:t>
      </w:r>
      <w:proofErr w:type="spellStart"/>
      <w:r w:rsidRPr="00B61DC4">
        <w:rPr>
          <w:rFonts w:ascii="Times New Roman" w:eastAsia="Times New Roman" w:hAnsi="Times New Roman" w:cs="Times New Roman"/>
          <w:color w:val="000000"/>
          <w:sz w:val="24"/>
          <w:szCs w:val="24"/>
        </w:rPr>
        <w:t>Ponus</w:t>
      </w:r>
      <w:proofErr w:type="spellEnd"/>
      <w:r w:rsidRPr="00B61DC4">
        <w:rPr>
          <w:rFonts w:ascii="Times New Roman" w:eastAsia="Times New Roman" w:hAnsi="Times New Roman" w:cs="Times New Roman"/>
          <w:color w:val="000000"/>
          <w:sz w:val="24"/>
          <w:szCs w:val="24"/>
        </w:rPr>
        <w:t xml:space="preserve">, both located in modern day Turkey. Horses from outside the empire, specifically Spain and Greece, were considered inferior and potentially cursed. A Roman proverb conveys the misfortunes which befell all who possessed a specific Greek horse originally bred for the clerk, </w:t>
      </w:r>
      <w:proofErr w:type="spellStart"/>
      <w:r w:rsidRPr="00B61DC4">
        <w:rPr>
          <w:rFonts w:ascii="Times New Roman" w:eastAsia="Times New Roman" w:hAnsi="Times New Roman" w:cs="Times New Roman"/>
          <w:color w:val="000000"/>
          <w:sz w:val="24"/>
          <w:szCs w:val="24"/>
        </w:rPr>
        <w:t>Seius</w:t>
      </w:r>
      <w:proofErr w:type="spellEnd"/>
      <w:r w:rsidR="00B26C2D">
        <w:rPr>
          <w:rFonts w:ascii="Times New Roman" w:eastAsia="Times New Roman" w:hAnsi="Times New Roman" w:cs="Times New Roman"/>
          <w:color w:val="000000"/>
          <w:sz w:val="24"/>
          <w:szCs w:val="24"/>
        </w:rPr>
        <w:t>.</w:t>
      </w:r>
      <w:r w:rsidR="00340779">
        <w:rPr>
          <w:rStyle w:val="FootnoteReference"/>
          <w:rFonts w:ascii="Times New Roman" w:eastAsia="Times New Roman" w:hAnsi="Times New Roman" w:cs="Times New Roman"/>
          <w:color w:val="000000"/>
          <w:sz w:val="24"/>
          <w:szCs w:val="24"/>
        </w:rPr>
        <w:footnoteReference w:id="5"/>
      </w:r>
      <w:r w:rsidRPr="00B61DC4">
        <w:rPr>
          <w:rFonts w:ascii="Times New Roman" w:eastAsia="Times New Roman" w:hAnsi="Times New Roman" w:cs="Times New Roman"/>
          <w:color w:val="000000"/>
          <w:sz w:val="24"/>
          <w:szCs w:val="24"/>
        </w:rPr>
        <w:t xml:space="preserve"> The clerk, as well as </w:t>
      </w:r>
      <w:proofErr w:type="spellStart"/>
      <w:r w:rsidRPr="00B61DC4">
        <w:rPr>
          <w:rFonts w:ascii="Times New Roman" w:eastAsia="Times New Roman" w:hAnsi="Times New Roman" w:cs="Times New Roman"/>
          <w:color w:val="000000"/>
          <w:sz w:val="24"/>
          <w:szCs w:val="24"/>
        </w:rPr>
        <w:t>Dolabella</w:t>
      </w:r>
      <w:proofErr w:type="spellEnd"/>
      <w:r w:rsidRPr="00B61DC4">
        <w:rPr>
          <w:rFonts w:ascii="Times New Roman" w:eastAsia="Times New Roman" w:hAnsi="Times New Roman" w:cs="Times New Roman"/>
          <w:color w:val="000000"/>
          <w:sz w:val="24"/>
          <w:szCs w:val="24"/>
        </w:rPr>
        <w:t xml:space="preserve">, Gaius Cassius, and Mark Antony were all said to have owned the horse and met gruesome ends shortly after taking possession of it. A tablet excavated in 1984 from a first or second century tomb in the Villa </w:t>
      </w:r>
      <w:proofErr w:type="spellStart"/>
      <w:r w:rsidRPr="00B61DC4">
        <w:rPr>
          <w:rFonts w:ascii="Times New Roman" w:eastAsia="Times New Roman" w:hAnsi="Times New Roman" w:cs="Times New Roman"/>
          <w:color w:val="000000"/>
          <w:sz w:val="24"/>
          <w:szCs w:val="24"/>
        </w:rPr>
        <w:t>Doria</w:t>
      </w:r>
      <w:proofErr w:type="spellEnd"/>
      <w:r w:rsidRPr="00B61DC4">
        <w:rPr>
          <w:rFonts w:ascii="Times New Roman" w:eastAsia="Times New Roman" w:hAnsi="Times New Roman" w:cs="Times New Roman"/>
          <w:color w:val="000000"/>
          <w:sz w:val="24"/>
          <w:szCs w:val="24"/>
        </w:rPr>
        <w:t xml:space="preserve"> </w:t>
      </w:r>
      <w:proofErr w:type="spellStart"/>
      <w:r w:rsidRPr="00B61DC4">
        <w:rPr>
          <w:rFonts w:ascii="Times New Roman" w:eastAsia="Times New Roman" w:hAnsi="Times New Roman" w:cs="Times New Roman"/>
          <w:color w:val="000000"/>
          <w:sz w:val="24"/>
          <w:szCs w:val="24"/>
        </w:rPr>
        <w:t>Pamphili</w:t>
      </w:r>
      <w:proofErr w:type="spellEnd"/>
      <w:r w:rsidRPr="00B61DC4">
        <w:rPr>
          <w:rFonts w:ascii="Times New Roman" w:eastAsia="Times New Roman" w:hAnsi="Times New Roman" w:cs="Times New Roman"/>
          <w:color w:val="000000"/>
          <w:sz w:val="24"/>
          <w:szCs w:val="24"/>
        </w:rPr>
        <w:t>, contains Greek and Latin inscriptions cursing the horses and drivers of eight teams.</w:t>
      </w:r>
      <w:r w:rsidR="00340779">
        <w:rPr>
          <w:rStyle w:val="FootnoteReference"/>
          <w:rFonts w:ascii="Times New Roman" w:eastAsia="Times New Roman" w:hAnsi="Times New Roman" w:cs="Times New Roman"/>
          <w:color w:val="000000"/>
          <w:sz w:val="24"/>
          <w:szCs w:val="24"/>
        </w:rPr>
        <w:footnoteReference w:id="6"/>
      </w:r>
      <w:r w:rsidRPr="00B61DC4">
        <w:rPr>
          <w:rFonts w:ascii="Times New Roman" w:eastAsia="Times New Roman" w:hAnsi="Times New Roman" w:cs="Times New Roman"/>
          <w:color w:val="000000"/>
          <w:sz w:val="24"/>
          <w:szCs w:val="24"/>
        </w:rPr>
        <w:t xml:space="preserve"> It is unknown why the tablet was included in the grave goods, but the object, as well as the proverb, alludes to the possibility that cursed horses were not uncommon in Roman society.</w:t>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w:t>
      </w:r>
      <w:r w:rsidRPr="00B61DC4">
        <w:rPr>
          <w:rFonts w:ascii="Times New Roman" w:eastAsia="Times New Roman" w:hAnsi="Times New Roman" w:cs="Times New Roman"/>
          <w:color w:val="000000"/>
          <w:sz w:val="24"/>
          <w:szCs w:val="24"/>
        </w:rPr>
        <w:tab/>
        <w:t>Generals rode fine horses into battle and emperors rode in chariots pulled by horses during the ceremony of adventus, the arrival of emperors to a town.</w:t>
      </w:r>
      <w:r w:rsidR="00340779">
        <w:rPr>
          <w:rStyle w:val="FootnoteReference"/>
          <w:rFonts w:ascii="Times New Roman" w:eastAsia="Times New Roman" w:hAnsi="Times New Roman" w:cs="Times New Roman"/>
          <w:color w:val="000000"/>
          <w:sz w:val="24"/>
          <w:szCs w:val="24"/>
        </w:rPr>
        <w:footnoteReference w:id="7"/>
      </w:r>
      <w:r w:rsidRPr="00B61DC4">
        <w:rPr>
          <w:rFonts w:ascii="Times New Roman" w:eastAsia="Times New Roman" w:hAnsi="Times New Roman" w:cs="Times New Roman"/>
          <w:color w:val="000000"/>
          <w:sz w:val="24"/>
          <w:szCs w:val="24"/>
        </w:rPr>
        <w:t xml:space="preserve"> Sabine </w:t>
      </w:r>
      <w:proofErr w:type="spellStart"/>
      <w:r w:rsidRPr="00B61DC4">
        <w:rPr>
          <w:rFonts w:ascii="Times New Roman" w:eastAsia="Times New Roman" w:hAnsi="Times New Roman" w:cs="Times New Roman"/>
          <w:color w:val="000000"/>
          <w:sz w:val="24"/>
          <w:szCs w:val="24"/>
        </w:rPr>
        <w:t>MacCormack</w:t>
      </w:r>
      <w:proofErr w:type="spellEnd"/>
      <w:r w:rsidRPr="00B61DC4">
        <w:rPr>
          <w:rFonts w:ascii="Times New Roman" w:eastAsia="Times New Roman" w:hAnsi="Times New Roman" w:cs="Times New Roman"/>
          <w:color w:val="000000"/>
          <w:sz w:val="24"/>
          <w:szCs w:val="24"/>
        </w:rPr>
        <w:t xml:space="preserve"> mentions depictions of horses relating to the ceremony in her article “Change and Continuity in Late Antiquity: The Ceremony of “Adventus.” A medallion commemorating Constantine’s arrival in Milan depicts him mounted on a horse led by the goddess Victoria, victory, holding a wreath and followed by the goddess Roma, </w:t>
      </w:r>
      <w:proofErr w:type="spellStart"/>
      <w:r w:rsidRPr="00B61DC4">
        <w:rPr>
          <w:rFonts w:ascii="Times New Roman" w:eastAsia="Times New Roman" w:hAnsi="Times New Roman" w:cs="Times New Roman"/>
          <w:color w:val="000000"/>
          <w:sz w:val="24"/>
          <w:szCs w:val="24"/>
        </w:rPr>
        <w:t>virtus</w:t>
      </w:r>
      <w:proofErr w:type="spellEnd"/>
      <w:r w:rsidRPr="00B61DC4">
        <w:rPr>
          <w:rFonts w:ascii="Times New Roman" w:eastAsia="Times New Roman" w:hAnsi="Times New Roman" w:cs="Times New Roman"/>
          <w:color w:val="000000"/>
          <w:sz w:val="24"/>
          <w:szCs w:val="24"/>
        </w:rPr>
        <w:t>.</w:t>
      </w:r>
      <w:r w:rsidR="00340779">
        <w:rPr>
          <w:rStyle w:val="FootnoteReference"/>
          <w:rFonts w:ascii="Times New Roman" w:eastAsia="Times New Roman" w:hAnsi="Times New Roman" w:cs="Times New Roman"/>
          <w:color w:val="000000"/>
          <w:sz w:val="24"/>
          <w:szCs w:val="24"/>
        </w:rPr>
        <w:footnoteReference w:id="8"/>
      </w:r>
      <w:r w:rsidRPr="00B61DC4">
        <w:rPr>
          <w:rFonts w:ascii="Times New Roman" w:eastAsia="Times New Roman" w:hAnsi="Times New Roman" w:cs="Times New Roman"/>
          <w:color w:val="000000"/>
          <w:sz w:val="24"/>
          <w:szCs w:val="24"/>
        </w:rPr>
        <w:t xml:space="preserve"> This depiction reflects the prestige and valor of the emperor, a symbol which the horse was instrumental in portraying. The privilege of </w:t>
      </w:r>
      <w:r w:rsidRPr="00B61DC4">
        <w:rPr>
          <w:rFonts w:ascii="Times New Roman" w:eastAsia="Times New Roman" w:hAnsi="Times New Roman" w:cs="Times New Roman"/>
          <w:color w:val="000000"/>
          <w:sz w:val="24"/>
          <w:szCs w:val="24"/>
        </w:rPr>
        <w:lastRenderedPageBreak/>
        <w:t>possessing a horse was bestowed upon senators, dignitaries, administrators, army veterans, and decurions.</w:t>
      </w:r>
      <w:r w:rsidR="00340779">
        <w:rPr>
          <w:rStyle w:val="FootnoteReference"/>
          <w:rFonts w:ascii="Times New Roman" w:eastAsia="Times New Roman" w:hAnsi="Times New Roman" w:cs="Times New Roman"/>
          <w:color w:val="000000"/>
          <w:sz w:val="24"/>
          <w:szCs w:val="24"/>
        </w:rPr>
        <w:footnoteReference w:id="9"/>
      </w:r>
      <w:r w:rsidRPr="00B61DC4">
        <w:rPr>
          <w:rFonts w:ascii="Times New Roman" w:eastAsia="Times New Roman" w:hAnsi="Times New Roman" w:cs="Times New Roman"/>
          <w:color w:val="000000"/>
          <w:sz w:val="24"/>
          <w:szCs w:val="24"/>
        </w:rPr>
        <w:t xml:space="preserve"> For a member of the elite class, who was allowed to own horses, having the privilege removed and being forced to ‘ride’ the torture horse would be both painful and humiliating.</w:t>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w:t>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w:t>
      </w:r>
      <w:r w:rsidRPr="00B61DC4">
        <w:rPr>
          <w:rFonts w:ascii="Times New Roman" w:eastAsia="Times New Roman" w:hAnsi="Times New Roman" w:cs="Times New Roman"/>
          <w:color w:val="000000"/>
          <w:sz w:val="24"/>
          <w:szCs w:val="24"/>
        </w:rPr>
        <w:tab/>
        <w:t>As the Roman Empire expanded and began governing non-Roman peoples, new techniques of taxation were imposed.</w:t>
      </w:r>
      <w:r w:rsidR="00340779">
        <w:rPr>
          <w:rStyle w:val="FootnoteReference"/>
          <w:rFonts w:ascii="Times New Roman" w:eastAsia="Times New Roman" w:hAnsi="Times New Roman" w:cs="Times New Roman"/>
          <w:color w:val="000000"/>
          <w:sz w:val="24"/>
          <w:szCs w:val="24"/>
        </w:rPr>
        <w:footnoteReference w:id="10"/>
      </w:r>
      <w:r w:rsidRPr="00B61DC4">
        <w:rPr>
          <w:rFonts w:ascii="Times New Roman" w:eastAsia="Times New Roman" w:hAnsi="Times New Roman" w:cs="Times New Roman"/>
          <w:color w:val="000000"/>
          <w:sz w:val="24"/>
          <w:szCs w:val="24"/>
        </w:rPr>
        <w:t xml:space="preserve"> Accountants played a crucial role in tracking the empire’s revenue. The </w:t>
      </w:r>
      <w:r w:rsidRPr="00B61DC4">
        <w:rPr>
          <w:rFonts w:ascii="Times New Roman" w:eastAsia="Times New Roman" w:hAnsi="Times New Roman" w:cs="Times New Roman"/>
          <w:i/>
          <w:iCs/>
          <w:color w:val="000000"/>
          <w:sz w:val="24"/>
          <w:szCs w:val="24"/>
        </w:rPr>
        <w:t>Theodosian Code</w:t>
      </w:r>
      <w:r w:rsidRPr="00B61DC4">
        <w:rPr>
          <w:rFonts w:ascii="Times New Roman" w:eastAsia="Times New Roman" w:hAnsi="Times New Roman" w:cs="Times New Roman"/>
          <w:color w:val="000000"/>
          <w:sz w:val="24"/>
          <w:szCs w:val="24"/>
        </w:rPr>
        <w:t xml:space="preserve"> contains legislation for civil accountants, military accountants, and judicial assistants, all of whom possessing critical roles in the monetary functioning of the empire. Laws regulating forgery, extortion and embezzlement can be found throughout the law codes. Reforms which produced courts handling such crimes can be attributed to second century B.C. Roman general, Sulla.</w:t>
      </w:r>
      <w:r w:rsidR="00340779">
        <w:rPr>
          <w:rStyle w:val="FootnoteReference"/>
          <w:rFonts w:ascii="Times New Roman" w:eastAsia="Times New Roman" w:hAnsi="Times New Roman" w:cs="Times New Roman"/>
          <w:color w:val="000000"/>
          <w:sz w:val="24"/>
          <w:szCs w:val="24"/>
        </w:rPr>
        <w:footnoteReference w:id="11"/>
      </w:r>
      <w:r w:rsidRPr="00B61DC4">
        <w:rPr>
          <w:rFonts w:ascii="Times New Roman" w:eastAsia="Times New Roman" w:hAnsi="Times New Roman" w:cs="Times New Roman"/>
          <w:color w:val="000000"/>
          <w:sz w:val="24"/>
          <w:szCs w:val="24"/>
        </w:rPr>
        <w:t xml:space="preserve"> “</w:t>
      </w:r>
      <w:proofErr w:type="spellStart"/>
      <w:r w:rsidRPr="00B61DC4">
        <w:rPr>
          <w:rFonts w:ascii="Times New Roman" w:eastAsia="Times New Roman" w:hAnsi="Times New Roman" w:cs="Times New Roman"/>
          <w:i/>
          <w:iCs/>
          <w:color w:val="000000"/>
          <w:sz w:val="24"/>
          <w:szCs w:val="24"/>
        </w:rPr>
        <w:t>Crimen</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laesae</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maiestatis</w:t>
      </w:r>
      <w:proofErr w:type="spellEnd"/>
      <w:r w:rsidRPr="00B61DC4">
        <w:rPr>
          <w:rFonts w:ascii="Times New Roman" w:eastAsia="Times New Roman" w:hAnsi="Times New Roman" w:cs="Times New Roman"/>
          <w:i/>
          <w:iCs/>
          <w:color w:val="000000"/>
          <w:sz w:val="24"/>
          <w:szCs w:val="24"/>
        </w:rPr>
        <w:t>,</w:t>
      </w:r>
      <w:r w:rsidRPr="00B61DC4">
        <w:rPr>
          <w:rFonts w:ascii="Times New Roman" w:eastAsia="Times New Roman" w:hAnsi="Times New Roman" w:cs="Times New Roman"/>
          <w:color w:val="000000"/>
          <w:sz w:val="24"/>
          <w:szCs w:val="24"/>
        </w:rPr>
        <w:t xml:space="preserve"> Latin for the diminishing of the majesty of the </w:t>
      </w:r>
      <w:proofErr w:type="spellStart"/>
      <w:r w:rsidRPr="00B61DC4">
        <w:rPr>
          <w:rFonts w:ascii="Times New Roman" w:eastAsia="Times New Roman" w:hAnsi="Times New Roman" w:cs="Times New Roman"/>
          <w:i/>
          <w:iCs/>
          <w:color w:val="000000"/>
          <w:sz w:val="24"/>
          <w:szCs w:val="24"/>
        </w:rPr>
        <w:t>populus</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romanus</w:t>
      </w:r>
      <w:proofErr w:type="spellEnd"/>
      <w:r w:rsidRPr="00B61DC4">
        <w:rPr>
          <w:rFonts w:ascii="Times New Roman" w:eastAsia="Times New Roman" w:hAnsi="Times New Roman" w:cs="Times New Roman"/>
          <w:color w:val="000000"/>
          <w:sz w:val="24"/>
          <w:szCs w:val="24"/>
        </w:rPr>
        <w:t xml:space="preserve"> – the emperor”</w:t>
      </w:r>
      <w:r w:rsidR="00340779">
        <w:rPr>
          <w:rStyle w:val="FootnoteReference"/>
          <w:rFonts w:ascii="Times New Roman" w:eastAsia="Times New Roman" w:hAnsi="Times New Roman" w:cs="Times New Roman"/>
          <w:color w:val="000000"/>
          <w:sz w:val="24"/>
          <w:szCs w:val="24"/>
        </w:rPr>
        <w:footnoteReference w:id="12"/>
      </w:r>
      <w:r w:rsidRPr="00B61DC4">
        <w:rPr>
          <w:rFonts w:ascii="Times New Roman" w:eastAsia="Times New Roman" w:hAnsi="Times New Roman" w:cs="Times New Roman"/>
          <w:color w:val="000000"/>
          <w:sz w:val="24"/>
          <w:szCs w:val="24"/>
        </w:rPr>
        <w:t xml:space="preserve">, included the embezzlement of money from the empire. According to Clyde Pharr, a translator of the </w:t>
      </w:r>
      <w:r w:rsidRPr="00B61DC4">
        <w:rPr>
          <w:rFonts w:ascii="Times New Roman" w:eastAsia="Times New Roman" w:hAnsi="Times New Roman" w:cs="Times New Roman"/>
          <w:i/>
          <w:iCs/>
          <w:color w:val="000000"/>
          <w:sz w:val="24"/>
          <w:szCs w:val="24"/>
        </w:rPr>
        <w:t>Theodosian Code</w:t>
      </w:r>
      <w:r w:rsidRPr="00B61DC4">
        <w:rPr>
          <w:rFonts w:ascii="Times New Roman" w:eastAsia="Times New Roman" w:hAnsi="Times New Roman" w:cs="Times New Roman"/>
          <w:color w:val="000000"/>
          <w:sz w:val="24"/>
          <w:szCs w:val="24"/>
        </w:rPr>
        <w:t>, embezzlement and corruption were rampant within Roman bureaucracy. CT 8.1.4 mentions the “rapacious and fraudulent conduct of the accountants” as well as the laws that “We formerly sanctioned and as We now sanction again.”</w:t>
      </w:r>
      <w:r w:rsidR="00340779">
        <w:rPr>
          <w:rStyle w:val="FootnoteReference"/>
          <w:rFonts w:ascii="Times New Roman" w:eastAsia="Times New Roman" w:hAnsi="Times New Roman" w:cs="Times New Roman"/>
          <w:color w:val="000000"/>
          <w:sz w:val="24"/>
          <w:szCs w:val="24"/>
        </w:rPr>
        <w:footnoteReference w:id="13"/>
      </w:r>
      <w:r w:rsidRPr="00B61DC4">
        <w:rPr>
          <w:rFonts w:ascii="Times New Roman" w:eastAsia="Times New Roman" w:hAnsi="Times New Roman" w:cs="Times New Roman"/>
          <w:color w:val="000000"/>
          <w:sz w:val="24"/>
          <w:szCs w:val="24"/>
        </w:rPr>
        <w:t xml:space="preserve"> Repeated sanctions against fraudulent accountants and other bureaucratic authorities did little to stem the crimes. Pharr notes, that many brave threats were made to end the corruption; however, the guilty generally evaded punishment due to the power held by great landholders.</w:t>
      </w:r>
      <w:r w:rsidR="00340779">
        <w:rPr>
          <w:rStyle w:val="FootnoteReference"/>
          <w:rFonts w:ascii="Times New Roman" w:eastAsia="Times New Roman" w:hAnsi="Times New Roman" w:cs="Times New Roman"/>
          <w:color w:val="000000"/>
          <w:sz w:val="24"/>
          <w:szCs w:val="24"/>
        </w:rPr>
        <w:footnoteReference w:id="14"/>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lastRenderedPageBreak/>
        <w:t>Concerns with government funds extended to the payment of soldiers. CT 7.4.28, created in 406, states that excessive funds would no longer be sent to the military accountants to disseminate to soldiers; all requests for compensation needed to be made in person in order to keep funds away from fraudulent accountants.</w:t>
      </w:r>
      <w:r w:rsidR="00340779">
        <w:rPr>
          <w:rStyle w:val="FootnoteReference"/>
          <w:rFonts w:ascii="Times New Roman" w:eastAsia="Times New Roman" w:hAnsi="Times New Roman" w:cs="Times New Roman"/>
          <w:color w:val="000000"/>
          <w:sz w:val="24"/>
          <w:szCs w:val="24"/>
        </w:rPr>
        <w:footnoteReference w:id="15"/>
      </w:r>
      <w:r w:rsidRPr="00B61DC4">
        <w:rPr>
          <w:rFonts w:ascii="Times New Roman" w:eastAsia="Times New Roman" w:hAnsi="Times New Roman" w:cs="Times New Roman"/>
          <w:color w:val="000000"/>
          <w:sz w:val="24"/>
          <w:szCs w:val="24"/>
        </w:rPr>
        <w:t xml:space="preserve"> A considerable list of laws exist concerning accounting fraud within the </w:t>
      </w:r>
      <w:r w:rsidRPr="00B61DC4">
        <w:rPr>
          <w:rFonts w:ascii="Times New Roman" w:eastAsia="Times New Roman" w:hAnsi="Times New Roman" w:cs="Times New Roman"/>
          <w:i/>
          <w:iCs/>
          <w:color w:val="000000"/>
          <w:sz w:val="24"/>
          <w:szCs w:val="24"/>
        </w:rPr>
        <w:t>Theodosian Code</w:t>
      </w:r>
      <w:r w:rsidRPr="00B61DC4">
        <w:rPr>
          <w:rFonts w:ascii="Times New Roman" w:eastAsia="Times New Roman" w:hAnsi="Times New Roman" w:cs="Times New Roman"/>
          <w:color w:val="000000"/>
          <w:sz w:val="24"/>
          <w:szCs w:val="24"/>
        </w:rPr>
        <w:t>. Indeed, CT 8.1 contains seventeen edicts alone regarding “Civil Accountants, Military Accountants, Bureau Clerks, and Secretaries (</w:t>
      </w:r>
      <w:r w:rsidRPr="00B61DC4">
        <w:rPr>
          <w:rFonts w:ascii="Times New Roman" w:eastAsia="Times New Roman" w:hAnsi="Times New Roman" w:cs="Times New Roman"/>
          <w:i/>
          <w:iCs/>
          <w:color w:val="000000"/>
          <w:sz w:val="24"/>
          <w:szCs w:val="24"/>
        </w:rPr>
        <w:t xml:space="preserve">De </w:t>
      </w:r>
      <w:proofErr w:type="spellStart"/>
      <w:r w:rsidRPr="00B61DC4">
        <w:rPr>
          <w:rFonts w:ascii="Times New Roman" w:eastAsia="Times New Roman" w:hAnsi="Times New Roman" w:cs="Times New Roman"/>
          <w:i/>
          <w:iCs/>
          <w:color w:val="000000"/>
          <w:sz w:val="24"/>
          <w:szCs w:val="24"/>
        </w:rPr>
        <w:t>Numerariis</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Actuariis</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Scriniariis</w:t>
      </w:r>
      <w:proofErr w:type="spellEnd"/>
      <w:r w:rsidRPr="00B61DC4">
        <w:rPr>
          <w:rFonts w:ascii="Times New Roman" w:eastAsia="Times New Roman" w:hAnsi="Times New Roman" w:cs="Times New Roman"/>
          <w:i/>
          <w:iCs/>
          <w:color w:val="000000"/>
          <w:sz w:val="24"/>
          <w:szCs w:val="24"/>
        </w:rPr>
        <w:t xml:space="preserve">, et </w:t>
      </w:r>
      <w:proofErr w:type="spellStart"/>
      <w:r w:rsidRPr="00B61DC4">
        <w:rPr>
          <w:rFonts w:ascii="Times New Roman" w:eastAsia="Times New Roman" w:hAnsi="Times New Roman" w:cs="Times New Roman"/>
          <w:i/>
          <w:iCs/>
          <w:color w:val="000000"/>
          <w:sz w:val="24"/>
          <w:szCs w:val="24"/>
        </w:rPr>
        <w:t>Exceptoribus</w:t>
      </w:r>
      <w:proofErr w:type="spellEnd"/>
      <w:r w:rsidRPr="00B61DC4">
        <w:rPr>
          <w:rFonts w:ascii="Times New Roman" w:eastAsia="Times New Roman" w:hAnsi="Times New Roman" w:cs="Times New Roman"/>
          <w:color w:val="000000"/>
          <w:sz w:val="24"/>
          <w:szCs w:val="24"/>
        </w:rPr>
        <w:t>).”</w:t>
      </w:r>
      <w:r w:rsidR="00340779">
        <w:rPr>
          <w:rStyle w:val="FootnoteReference"/>
          <w:rFonts w:ascii="Times New Roman" w:eastAsia="Times New Roman" w:hAnsi="Times New Roman" w:cs="Times New Roman"/>
          <w:color w:val="000000"/>
          <w:sz w:val="24"/>
          <w:szCs w:val="24"/>
        </w:rPr>
        <w:footnoteReference w:id="16"/>
      </w:r>
      <w:r w:rsidRPr="00B61DC4">
        <w:rPr>
          <w:rFonts w:ascii="Times New Roman" w:eastAsia="Times New Roman" w:hAnsi="Times New Roman" w:cs="Times New Roman"/>
          <w:color w:val="000000"/>
          <w:sz w:val="24"/>
          <w:szCs w:val="24"/>
        </w:rPr>
        <w:t xml:space="preserve"> In an attempt to enforce decrees and end the corruption within the empire, stripping accountants of their status in society and submitting them to a torture both painful and humiliating may have been a desperate effort that proved ineffective. CT 8.1.4, states that those found guilty of fraud, be they landowner or slave, “shall be made subject to the ignoble status,”</w:t>
      </w:r>
      <w:r w:rsidR="00340779">
        <w:rPr>
          <w:rStyle w:val="FootnoteReference"/>
          <w:rFonts w:ascii="Times New Roman" w:eastAsia="Times New Roman" w:hAnsi="Times New Roman" w:cs="Times New Roman"/>
          <w:color w:val="000000"/>
          <w:sz w:val="24"/>
          <w:szCs w:val="24"/>
        </w:rPr>
        <w:footnoteReference w:id="17"/>
      </w:r>
      <w:r w:rsidRPr="00B61DC4">
        <w:rPr>
          <w:rFonts w:ascii="Times New Roman" w:eastAsia="Times New Roman" w:hAnsi="Times New Roman" w:cs="Times New Roman"/>
          <w:color w:val="000000"/>
          <w:sz w:val="24"/>
          <w:szCs w:val="24"/>
        </w:rPr>
        <w:t xml:space="preserve"> placing them in the class of plebeian and susceptible to torture. After they had been subjected to the torture horse “and to lacerations”, they would not be allowed to perform the duties of an accountant for at least two years.</w:t>
      </w:r>
      <w:r w:rsidR="009B69FB">
        <w:rPr>
          <w:rStyle w:val="FootnoteReference"/>
          <w:rFonts w:ascii="Times New Roman" w:eastAsia="Times New Roman" w:hAnsi="Times New Roman" w:cs="Times New Roman"/>
          <w:color w:val="000000"/>
          <w:sz w:val="24"/>
          <w:szCs w:val="24"/>
        </w:rPr>
        <w:footnoteReference w:id="18"/>
      </w:r>
      <w:r w:rsidRPr="00B61DC4">
        <w:rPr>
          <w:rFonts w:ascii="Times New Roman" w:eastAsia="Times New Roman" w:hAnsi="Times New Roman" w:cs="Times New Roman"/>
          <w:color w:val="000000"/>
          <w:sz w:val="24"/>
          <w:szCs w:val="24"/>
        </w:rPr>
        <w:t> </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Harries mentions the limited time accountants were allowed to hold their positions in order for them to be held accountable for any wrongdoings which may have occurred during their tenure.</w:t>
      </w:r>
      <w:r w:rsidR="009B69FB">
        <w:rPr>
          <w:rStyle w:val="FootnoteReference"/>
          <w:rFonts w:ascii="Times New Roman" w:eastAsia="Times New Roman" w:hAnsi="Times New Roman" w:cs="Times New Roman"/>
          <w:color w:val="000000"/>
          <w:sz w:val="24"/>
          <w:szCs w:val="24"/>
        </w:rPr>
        <w:footnoteReference w:id="19"/>
      </w:r>
      <w:r w:rsidRPr="00B61DC4">
        <w:rPr>
          <w:rFonts w:ascii="Times New Roman" w:eastAsia="Times New Roman" w:hAnsi="Times New Roman" w:cs="Times New Roman"/>
          <w:color w:val="000000"/>
          <w:sz w:val="24"/>
          <w:szCs w:val="24"/>
        </w:rPr>
        <w:t xml:space="preserve"> Previous law codes may have stated the restricted time an accountant could hold tenure which substantiates her claims of accountability after tenure has ended. However, CT 8.1.4 makes specific declaration that any accountants who committed fraudulent acts would be removed from their status in order that they may be held accountable at the time of the offense.</w:t>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lastRenderedPageBreak/>
        <w:t> </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The second case is that of “step bread,” which is literally bread sold from the step. Bread was the staple foodstuff of the Roman Empire, so laws sought to control those who produced it. Susan R. Holman discusses the near enslavement of bakers and their children to the state, forbidding the changing of occupation and enforcing marriages to other bakers.</w:t>
      </w:r>
      <w:r w:rsidR="009B69FB">
        <w:rPr>
          <w:rStyle w:val="FootnoteReference"/>
          <w:rFonts w:ascii="Times New Roman" w:eastAsia="Times New Roman" w:hAnsi="Times New Roman" w:cs="Times New Roman"/>
          <w:color w:val="000000"/>
          <w:sz w:val="24"/>
          <w:szCs w:val="24"/>
        </w:rPr>
        <w:footnoteReference w:id="20"/>
      </w:r>
      <w:r w:rsidRPr="00B61DC4">
        <w:rPr>
          <w:rFonts w:ascii="Times New Roman" w:eastAsia="Times New Roman" w:hAnsi="Times New Roman" w:cs="Times New Roman"/>
          <w:color w:val="000000"/>
          <w:sz w:val="24"/>
          <w:szCs w:val="24"/>
        </w:rPr>
        <w:t xml:space="preserve"> They were not allowed to sell or distribute the bread independently, but instead distributed it from </w:t>
      </w:r>
      <w:proofErr w:type="spellStart"/>
      <w:r w:rsidRPr="00B61DC4">
        <w:rPr>
          <w:rFonts w:ascii="Times New Roman" w:eastAsia="Times New Roman" w:hAnsi="Times New Roman" w:cs="Times New Roman"/>
          <w:i/>
          <w:iCs/>
          <w:color w:val="000000"/>
          <w:sz w:val="24"/>
          <w:szCs w:val="24"/>
        </w:rPr>
        <w:t>gradus</w:t>
      </w:r>
      <w:proofErr w:type="spellEnd"/>
      <w:r w:rsidRPr="00B61DC4">
        <w:rPr>
          <w:rFonts w:ascii="Times New Roman" w:eastAsia="Times New Roman" w:hAnsi="Times New Roman" w:cs="Times New Roman"/>
          <w:color w:val="000000"/>
          <w:sz w:val="24"/>
          <w:szCs w:val="24"/>
        </w:rPr>
        <w:t>, “steps at various points throughout the city.”</w:t>
      </w:r>
      <w:r w:rsidR="009B69FB">
        <w:rPr>
          <w:rStyle w:val="FootnoteReference"/>
          <w:rFonts w:ascii="Times New Roman" w:eastAsia="Times New Roman" w:hAnsi="Times New Roman" w:cs="Times New Roman"/>
          <w:color w:val="000000"/>
          <w:sz w:val="24"/>
          <w:szCs w:val="24"/>
        </w:rPr>
        <w:footnoteReference w:id="21"/>
      </w:r>
      <w:r w:rsidRPr="00B61DC4">
        <w:rPr>
          <w:rFonts w:ascii="Times New Roman" w:eastAsia="Times New Roman" w:hAnsi="Times New Roman" w:cs="Times New Roman"/>
          <w:color w:val="000000"/>
          <w:sz w:val="24"/>
          <w:szCs w:val="24"/>
        </w:rPr>
        <w:t xml:space="preserve"> CT 14.17.3 states that “no man shall have conferred upon him the favor, and no man shall have incurred on him the outrage”</w:t>
      </w:r>
      <w:r w:rsidR="009B69FB">
        <w:rPr>
          <w:rStyle w:val="FootnoteReference"/>
          <w:rFonts w:ascii="Times New Roman" w:eastAsia="Times New Roman" w:hAnsi="Times New Roman" w:cs="Times New Roman"/>
          <w:color w:val="000000"/>
          <w:sz w:val="24"/>
          <w:szCs w:val="24"/>
        </w:rPr>
        <w:footnoteReference w:id="22"/>
      </w:r>
      <w:r w:rsidRPr="00B61DC4">
        <w:rPr>
          <w:rFonts w:ascii="Times New Roman" w:eastAsia="Times New Roman" w:hAnsi="Times New Roman" w:cs="Times New Roman"/>
          <w:color w:val="000000"/>
          <w:sz w:val="24"/>
          <w:szCs w:val="24"/>
        </w:rPr>
        <w:t xml:space="preserve"> of receiving his rations from the baker’s storefront. The code does not express if it would be considered an outrage to those receiving bread or if officials would find this outrageous.</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xml:space="preserve">Recipients of step bread were required to be on lists to receive their neighborhood’s </w:t>
      </w:r>
      <w:proofErr w:type="spellStart"/>
      <w:r w:rsidRPr="00B61DC4">
        <w:rPr>
          <w:rFonts w:ascii="Times New Roman" w:eastAsia="Times New Roman" w:hAnsi="Times New Roman" w:cs="Times New Roman"/>
          <w:i/>
          <w:iCs/>
          <w:color w:val="000000"/>
          <w:sz w:val="24"/>
          <w:szCs w:val="24"/>
        </w:rPr>
        <w:t>gradus</w:t>
      </w:r>
      <w:proofErr w:type="spellEnd"/>
      <w:r w:rsidRPr="00B61DC4">
        <w:rPr>
          <w:rFonts w:ascii="Times New Roman" w:eastAsia="Times New Roman" w:hAnsi="Times New Roman" w:cs="Times New Roman"/>
          <w:color w:val="000000"/>
          <w:sz w:val="24"/>
          <w:szCs w:val="24"/>
        </w:rPr>
        <w:t>.</w:t>
      </w:r>
      <w:r w:rsidR="009B69FB">
        <w:rPr>
          <w:rStyle w:val="FootnoteReference"/>
          <w:rFonts w:ascii="Times New Roman" w:eastAsia="Times New Roman" w:hAnsi="Times New Roman" w:cs="Times New Roman"/>
          <w:color w:val="000000"/>
          <w:sz w:val="24"/>
          <w:szCs w:val="24"/>
        </w:rPr>
        <w:footnoteReference w:id="23"/>
      </w:r>
      <w:r w:rsidRPr="00B61DC4">
        <w:rPr>
          <w:rFonts w:ascii="Times New Roman" w:eastAsia="Times New Roman" w:hAnsi="Times New Roman" w:cs="Times New Roman"/>
          <w:color w:val="000000"/>
          <w:sz w:val="24"/>
          <w:szCs w:val="24"/>
        </w:rPr>
        <w:t xml:space="preserve"> The </w:t>
      </w:r>
      <w:r w:rsidRPr="00B61DC4">
        <w:rPr>
          <w:rFonts w:ascii="Times New Roman" w:eastAsia="Times New Roman" w:hAnsi="Times New Roman" w:cs="Times New Roman"/>
          <w:i/>
          <w:iCs/>
          <w:color w:val="000000"/>
          <w:sz w:val="24"/>
          <w:szCs w:val="24"/>
        </w:rPr>
        <w:t xml:space="preserve">Theodosian Code </w:t>
      </w:r>
      <w:r w:rsidRPr="00B61DC4">
        <w:rPr>
          <w:rFonts w:ascii="Times New Roman" w:eastAsia="Times New Roman" w:hAnsi="Times New Roman" w:cs="Times New Roman"/>
          <w:color w:val="000000"/>
          <w:sz w:val="24"/>
          <w:szCs w:val="24"/>
        </w:rPr>
        <w:t>contains edicts pointing to the bread being distributed according to household size, and was also placed on public steps in relation to ‘grade’.</w:t>
      </w:r>
      <w:r w:rsidR="009B69FB">
        <w:rPr>
          <w:rStyle w:val="FootnoteReference"/>
          <w:rFonts w:ascii="Times New Roman" w:eastAsia="Times New Roman" w:hAnsi="Times New Roman" w:cs="Times New Roman"/>
          <w:color w:val="000000"/>
          <w:sz w:val="24"/>
          <w:szCs w:val="24"/>
        </w:rPr>
        <w:footnoteReference w:id="24"/>
      </w:r>
      <w:r w:rsidRPr="00B61DC4">
        <w:rPr>
          <w:rFonts w:ascii="Times New Roman" w:eastAsia="Times New Roman" w:hAnsi="Times New Roman" w:cs="Times New Roman"/>
          <w:color w:val="000000"/>
          <w:sz w:val="24"/>
          <w:szCs w:val="24"/>
        </w:rPr>
        <w:t xml:space="preserve"> The transfer of bread from one step to another was expressly prohibited by edict CT 14.17.2. This edict mentions the use of the torture horse in accordance with the illegal procurement of step bread. “If any overseer, procurator, or slave of a Senator should ever obtain step bread by usurpation, through the favoritism, venality, or even the consent of the scribe, he shall be subjected to the punishment of the torture horse.”</w:t>
      </w:r>
      <w:r w:rsidR="009B69FB">
        <w:rPr>
          <w:rStyle w:val="FootnoteReference"/>
          <w:rFonts w:ascii="Times New Roman" w:eastAsia="Times New Roman" w:hAnsi="Times New Roman" w:cs="Times New Roman"/>
          <w:color w:val="000000"/>
          <w:sz w:val="24"/>
          <w:szCs w:val="24"/>
        </w:rPr>
        <w:footnoteReference w:id="25"/>
      </w:r>
      <w:r w:rsidRPr="00B61DC4">
        <w:rPr>
          <w:rFonts w:ascii="Times New Roman" w:eastAsia="Times New Roman" w:hAnsi="Times New Roman" w:cs="Times New Roman"/>
          <w:color w:val="000000"/>
          <w:sz w:val="24"/>
          <w:szCs w:val="24"/>
        </w:rPr>
        <w:t xml:space="preserve"> Overseers, procurators and senators were wealthy citizens; the slave of the senator’s household is here considered an extension of the household. As such, </w:t>
      </w:r>
      <w:r w:rsidRPr="00B61DC4">
        <w:rPr>
          <w:rFonts w:ascii="Times New Roman" w:eastAsia="Times New Roman" w:hAnsi="Times New Roman" w:cs="Times New Roman"/>
          <w:color w:val="000000"/>
          <w:sz w:val="24"/>
          <w:szCs w:val="24"/>
        </w:rPr>
        <w:lastRenderedPageBreak/>
        <w:t>they were not viable candidates for receiving step bread since other foodstuffs was available to them. It was necessary to possess a bronze ticket, described in CT 14.17.5, a type of ration card stating the amount of step bread the holder could receive. If members of wealthier households wished to procure step bread, they would have to obtain a ticket or the bread through illegal means. If a scribe forged a ticket for a member of these groups, “the sword, as an avenger of the law, shall be employed against the scribes who are proved to have perpetrated this forbidden crime.”</w:t>
      </w:r>
      <w:r w:rsidR="00CC6856">
        <w:rPr>
          <w:rStyle w:val="FootnoteReference"/>
          <w:rFonts w:ascii="Times New Roman" w:eastAsia="Times New Roman" w:hAnsi="Times New Roman" w:cs="Times New Roman"/>
          <w:color w:val="000000"/>
          <w:sz w:val="24"/>
          <w:szCs w:val="24"/>
        </w:rPr>
        <w:footnoteReference w:id="26"/>
      </w:r>
      <w:r w:rsidRPr="00B61DC4">
        <w:rPr>
          <w:rFonts w:ascii="Times New Roman" w:eastAsia="Times New Roman" w:hAnsi="Times New Roman" w:cs="Times New Roman"/>
          <w:color w:val="000000"/>
          <w:sz w:val="24"/>
          <w:szCs w:val="24"/>
        </w:rPr>
        <w:t xml:space="preserve"> If the senator, who owned the slave, was aware of the plot to receive step bread, his house would become the property of the </w:t>
      </w:r>
      <w:proofErr w:type="spellStart"/>
      <w:r w:rsidRPr="00B61DC4">
        <w:rPr>
          <w:rFonts w:ascii="Times New Roman" w:eastAsia="Times New Roman" w:hAnsi="Times New Roman" w:cs="Times New Roman"/>
          <w:color w:val="000000"/>
          <w:sz w:val="24"/>
          <w:szCs w:val="24"/>
        </w:rPr>
        <w:t>fisc</w:t>
      </w:r>
      <w:proofErr w:type="spellEnd"/>
      <w:r w:rsidRPr="00B61DC4">
        <w:rPr>
          <w:rFonts w:ascii="Times New Roman" w:eastAsia="Times New Roman" w:hAnsi="Times New Roman" w:cs="Times New Roman"/>
          <w:color w:val="000000"/>
          <w:sz w:val="24"/>
          <w:szCs w:val="24"/>
        </w:rPr>
        <w:t>. However, if the senator was unaware of the crime, the slave would be placed in chains and would serve the baker.</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Rations could be given through hereditary inheritance, or sold in an official transaction. Bread rations were considered a gift “granted by the liberality of the sainted Constantine,”</w:t>
      </w:r>
      <w:r w:rsidR="00CC6856">
        <w:rPr>
          <w:rStyle w:val="FootnoteReference"/>
          <w:rFonts w:ascii="Times New Roman" w:eastAsia="Times New Roman" w:hAnsi="Times New Roman" w:cs="Times New Roman"/>
          <w:color w:val="000000"/>
          <w:sz w:val="24"/>
          <w:szCs w:val="24"/>
        </w:rPr>
        <w:footnoteReference w:id="27"/>
      </w:r>
      <w:r w:rsidRPr="00B61DC4">
        <w:rPr>
          <w:rFonts w:ascii="Times New Roman" w:eastAsia="Times New Roman" w:hAnsi="Times New Roman" w:cs="Times New Roman"/>
          <w:color w:val="000000"/>
          <w:sz w:val="24"/>
          <w:szCs w:val="24"/>
        </w:rPr>
        <w:t xml:space="preserve"> and were the property of each individual. Those who chose to violate the ration system, therefore, were not only acting against the empire’s legislation, but also the people. This supports the argument for, what O.F. Robinson called “diminishing the majesty of the </w:t>
      </w:r>
      <w:proofErr w:type="spellStart"/>
      <w:r w:rsidRPr="00B61DC4">
        <w:rPr>
          <w:rFonts w:ascii="Times New Roman" w:eastAsia="Times New Roman" w:hAnsi="Times New Roman" w:cs="Times New Roman"/>
          <w:i/>
          <w:iCs/>
          <w:color w:val="000000"/>
          <w:sz w:val="24"/>
          <w:szCs w:val="24"/>
        </w:rPr>
        <w:t>populus</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romanus</w:t>
      </w:r>
      <w:proofErr w:type="spellEnd"/>
      <w:r w:rsidRPr="00B61DC4">
        <w:rPr>
          <w:rFonts w:ascii="Times New Roman" w:eastAsia="Times New Roman" w:hAnsi="Times New Roman" w:cs="Times New Roman"/>
          <w:color w:val="000000"/>
          <w:sz w:val="24"/>
          <w:szCs w:val="24"/>
        </w:rPr>
        <w:t>.”</w:t>
      </w:r>
      <w:r w:rsidR="00CC6856">
        <w:rPr>
          <w:rStyle w:val="FootnoteReference"/>
          <w:rFonts w:ascii="Times New Roman" w:eastAsia="Times New Roman" w:hAnsi="Times New Roman" w:cs="Times New Roman"/>
          <w:color w:val="000000"/>
          <w:sz w:val="24"/>
          <w:szCs w:val="24"/>
        </w:rPr>
        <w:footnoteReference w:id="28"/>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The final case is witchcraft, which may appear to be an outlier. Witchcraft, soothsaying, and sorcery existed in tandem with faiths and religions well into the early stages of Christianity.</w:t>
      </w:r>
      <w:r w:rsidR="00CC6856">
        <w:rPr>
          <w:rStyle w:val="FootnoteReference"/>
          <w:rFonts w:ascii="Times New Roman" w:eastAsia="Times New Roman" w:hAnsi="Times New Roman" w:cs="Times New Roman"/>
          <w:color w:val="000000"/>
          <w:sz w:val="24"/>
          <w:szCs w:val="24"/>
        </w:rPr>
        <w:footnoteReference w:id="29"/>
      </w:r>
      <w:r w:rsidRPr="00B61DC4">
        <w:rPr>
          <w:rFonts w:ascii="Times New Roman" w:eastAsia="Times New Roman" w:hAnsi="Times New Roman" w:cs="Times New Roman"/>
          <w:color w:val="000000"/>
          <w:sz w:val="24"/>
          <w:szCs w:val="24"/>
        </w:rPr>
        <w:t xml:space="preserve"> Oracles and fortune tellers would be turned to for advice prior to battles or to assist in imperial legislation. However, acceptance of witchcraft of any kind began to decline in the late third and early fourth centuries. Joao de Pina-Cabral, in his chapter, “The gods of the Gentiles are demons,” in </w:t>
      </w:r>
      <w:r w:rsidRPr="00B61DC4">
        <w:rPr>
          <w:rFonts w:ascii="Times New Roman" w:eastAsia="Times New Roman" w:hAnsi="Times New Roman" w:cs="Times New Roman"/>
          <w:i/>
          <w:iCs/>
          <w:color w:val="000000"/>
          <w:sz w:val="24"/>
          <w:szCs w:val="24"/>
        </w:rPr>
        <w:t xml:space="preserve">On Histories, </w:t>
      </w:r>
      <w:r w:rsidRPr="00B61DC4">
        <w:rPr>
          <w:rFonts w:ascii="Times New Roman" w:eastAsia="Times New Roman" w:hAnsi="Times New Roman" w:cs="Times New Roman"/>
          <w:color w:val="000000"/>
          <w:sz w:val="24"/>
          <w:szCs w:val="24"/>
        </w:rPr>
        <w:t xml:space="preserve">considers the possibility that the decline in the toleration </w:t>
      </w:r>
      <w:r w:rsidRPr="00B61DC4">
        <w:rPr>
          <w:rFonts w:ascii="Times New Roman" w:eastAsia="Times New Roman" w:hAnsi="Times New Roman" w:cs="Times New Roman"/>
          <w:color w:val="000000"/>
          <w:sz w:val="24"/>
          <w:szCs w:val="24"/>
        </w:rPr>
        <w:lastRenderedPageBreak/>
        <w:t>of witchcraft is related directly to the rise of Christianity. Since the existence of numerous beliefs is essentially a plurality of truth, this would undermine the infallibility of the new faith.</w:t>
      </w:r>
      <w:r w:rsidR="00CC6856">
        <w:rPr>
          <w:rStyle w:val="FootnoteReference"/>
          <w:rFonts w:ascii="Times New Roman" w:eastAsia="Times New Roman" w:hAnsi="Times New Roman" w:cs="Times New Roman"/>
          <w:color w:val="000000"/>
          <w:sz w:val="24"/>
          <w:szCs w:val="24"/>
        </w:rPr>
        <w:footnoteReference w:id="30"/>
      </w:r>
      <w:r w:rsidRPr="00B61DC4">
        <w:rPr>
          <w:rFonts w:ascii="Times New Roman" w:eastAsia="Times New Roman" w:hAnsi="Times New Roman" w:cs="Times New Roman"/>
          <w:color w:val="000000"/>
          <w:sz w:val="24"/>
          <w:szCs w:val="24"/>
        </w:rPr>
        <w:t xml:space="preserve"> Initially, the church did not discount the existence of pagan gods but claimed the power held by the pagan gods was destructive and demonic.</w:t>
      </w:r>
      <w:r w:rsidR="00CC6856">
        <w:rPr>
          <w:rStyle w:val="FootnoteReference"/>
          <w:rFonts w:ascii="Times New Roman" w:eastAsia="Times New Roman" w:hAnsi="Times New Roman" w:cs="Times New Roman"/>
          <w:color w:val="000000"/>
          <w:sz w:val="24"/>
          <w:szCs w:val="24"/>
        </w:rPr>
        <w:footnoteReference w:id="31"/>
      </w:r>
      <w:r w:rsidRPr="00B61DC4">
        <w:rPr>
          <w:rFonts w:ascii="Times New Roman" w:eastAsia="Times New Roman" w:hAnsi="Times New Roman" w:cs="Times New Roman"/>
          <w:color w:val="000000"/>
          <w:sz w:val="24"/>
          <w:szCs w:val="24"/>
        </w:rPr>
        <w:t xml:space="preserve"> The demonization of pagan practices created a ‘phantasmagoric anti-order’</w:t>
      </w:r>
      <w:r w:rsidR="00CC6856">
        <w:rPr>
          <w:rStyle w:val="FootnoteReference"/>
          <w:rFonts w:ascii="Times New Roman" w:eastAsia="Times New Roman" w:hAnsi="Times New Roman" w:cs="Times New Roman"/>
          <w:color w:val="000000"/>
          <w:sz w:val="24"/>
          <w:szCs w:val="24"/>
        </w:rPr>
        <w:footnoteReference w:id="32"/>
      </w:r>
      <w:r w:rsidRPr="00B61DC4">
        <w:rPr>
          <w:rFonts w:ascii="Times New Roman" w:eastAsia="Times New Roman" w:hAnsi="Times New Roman" w:cs="Times New Roman"/>
          <w:color w:val="000000"/>
          <w:sz w:val="24"/>
          <w:szCs w:val="24"/>
        </w:rPr>
        <w:t xml:space="preserve"> that could not exist harmoniously with the new ‘true’ order upon which Christianity was then constructed. With the transition to Christianity, any beliefs or practices related to the old divinities were considered superstition.</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Soothsayers and practitioners of sorcery were able to defame the emperors with unsupported accusations; a punishment was therefore necessary to fit the crime. In the third century, free men who made any remarks against another’s reputation were subject to flogging.</w:t>
      </w:r>
      <w:r w:rsidR="00CC6856">
        <w:rPr>
          <w:rStyle w:val="FootnoteReference"/>
          <w:rFonts w:ascii="Times New Roman" w:eastAsia="Times New Roman" w:hAnsi="Times New Roman" w:cs="Times New Roman"/>
          <w:color w:val="000000"/>
          <w:sz w:val="24"/>
          <w:szCs w:val="24"/>
        </w:rPr>
        <w:footnoteReference w:id="33"/>
      </w:r>
      <w:r w:rsidRPr="00B61DC4">
        <w:rPr>
          <w:rFonts w:ascii="Times New Roman" w:eastAsia="Times New Roman" w:hAnsi="Times New Roman" w:cs="Times New Roman"/>
          <w:color w:val="000000"/>
          <w:sz w:val="24"/>
          <w:szCs w:val="24"/>
        </w:rPr>
        <w:t xml:space="preserve"> Other groups specifically persecuted in the code were those who practice </w:t>
      </w:r>
      <w:proofErr w:type="spellStart"/>
      <w:r w:rsidRPr="00B61DC4">
        <w:rPr>
          <w:rFonts w:ascii="Times New Roman" w:eastAsia="Times New Roman" w:hAnsi="Times New Roman" w:cs="Times New Roman"/>
          <w:i/>
          <w:iCs/>
          <w:color w:val="000000"/>
          <w:sz w:val="24"/>
          <w:szCs w:val="24"/>
        </w:rPr>
        <w:t>mathematicus</w:t>
      </w:r>
      <w:proofErr w:type="spellEnd"/>
      <w:r w:rsidRPr="00B61DC4">
        <w:rPr>
          <w:rFonts w:ascii="Times New Roman" w:eastAsia="Times New Roman" w:hAnsi="Times New Roman" w:cs="Times New Roman"/>
          <w:i/>
          <w:iCs/>
          <w:color w:val="000000"/>
          <w:sz w:val="24"/>
          <w:szCs w:val="24"/>
        </w:rPr>
        <w:t xml:space="preserve">, </w:t>
      </w:r>
      <w:r w:rsidRPr="00B61DC4">
        <w:rPr>
          <w:rFonts w:ascii="Times New Roman" w:eastAsia="Times New Roman" w:hAnsi="Times New Roman" w:cs="Times New Roman"/>
          <w:color w:val="000000"/>
          <w:sz w:val="24"/>
          <w:szCs w:val="24"/>
        </w:rPr>
        <w:t xml:space="preserve">Latin for astrology or numerology. In his </w:t>
      </w:r>
      <w:r w:rsidRPr="00B61DC4">
        <w:rPr>
          <w:rFonts w:ascii="Times New Roman" w:eastAsia="Times New Roman" w:hAnsi="Times New Roman" w:cs="Times New Roman"/>
          <w:i/>
          <w:iCs/>
          <w:color w:val="000000"/>
          <w:sz w:val="24"/>
          <w:szCs w:val="24"/>
        </w:rPr>
        <w:t>Odes XI</w:t>
      </w:r>
      <w:r w:rsidRPr="00B61DC4">
        <w:rPr>
          <w:rFonts w:ascii="Times New Roman" w:eastAsia="Times New Roman" w:hAnsi="Times New Roman" w:cs="Times New Roman"/>
          <w:color w:val="000000"/>
          <w:sz w:val="24"/>
          <w:szCs w:val="24"/>
        </w:rPr>
        <w:t xml:space="preserve"> to </w:t>
      </w:r>
      <w:proofErr w:type="spellStart"/>
      <w:r w:rsidRPr="00B61DC4">
        <w:rPr>
          <w:rFonts w:ascii="Times New Roman" w:eastAsia="Times New Roman" w:hAnsi="Times New Roman" w:cs="Times New Roman"/>
          <w:color w:val="000000"/>
          <w:sz w:val="24"/>
          <w:szCs w:val="24"/>
        </w:rPr>
        <w:t>Leuconoe</w:t>
      </w:r>
      <w:proofErr w:type="spellEnd"/>
      <w:r w:rsidRPr="00B61DC4">
        <w:rPr>
          <w:rFonts w:ascii="Times New Roman" w:eastAsia="Times New Roman" w:hAnsi="Times New Roman" w:cs="Times New Roman"/>
          <w:color w:val="000000"/>
          <w:sz w:val="24"/>
          <w:szCs w:val="24"/>
        </w:rPr>
        <w:t xml:space="preserve">, Horace asks that she </w:t>
      </w:r>
      <w:proofErr w:type="spellStart"/>
      <w:r w:rsidRPr="00B61DC4">
        <w:rPr>
          <w:rFonts w:ascii="Times New Roman" w:eastAsia="Times New Roman" w:hAnsi="Times New Roman" w:cs="Times New Roman"/>
          <w:i/>
          <w:iCs/>
          <w:color w:val="000000"/>
          <w:sz w:val="24"/>
          <w:szCs w:val="24"/>
        </w:rPr>
        <w:t>nec</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Babylonios</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temptaris</w:t>
      </w:r>
      <w:proofErr w:type="spellEnd"/>
      <w:r w:rsidRPr="00B61DC4">
        <w:rPr>
          <w:rFonts w:ascii="Times New Roman" w:eastAsia="Times New Roman" w:hAnsi="Times New Roman" w:cs="Times New Roman"/>
          <w:i/>
          <w:iCs/>
          <w:color w:val="000000"/>
          <w:sz w:val="24"/>
          <w:szCs w:val="24"/>
        </w:rPr>
        <w:t xml:space="preserve"> </w:t>
      </w:r>
      <w:proofErr w:type="spellStart"/>
      <w:r w:rsidRPr="00B61DC4">
        <w:rPr>
          <w:rFonts w:ascii="Times New Roman" w:eastAsia="Times New Roman" w:hAnsi="Times New Roman" w:cs="Times New Roman"/>
          <w:i/>
          <w:iCs/>
          <w:color w:val="000000"/>
          <w:sz w:val="24"/>
          <w:szCs w:val="24"/>
        </w:rPr>
        <w:t>numeros</w:t>
      </w:r>
      <w:proofErr w:type="spellEnd"/>
      <w:r w:rsidRPr="00B61DC4">
        <w:rPr>
          <w:rFonts w:ascii="Times New Roman" w:eastAsia="Times New Roman" w:hAnsi="Times New Roman" w:cs="Times New Roman"/>
          <w:color w:val="000000"/>
          <w:sz w:val="24"/>
          <w:szCs w:val="24"/>
        </w:rPr>
        <w:t>, not be tempted by Babylonian numbers. Numbers is a reference to tarot cards and those who claimed they were capable of telling the future. Telling the future or untruths created an issue of imperial security and was deemed an act of forgery by emperors Valens and Valentinian I. Robinson wrote that the emperors, “in the fourth century, ordered defamatory writings to be destroyed and their contents kept secret, on pain of capital punishment, as if the finder, by publication, became the author.”</w:t>
      </w:r>
      <w:r w:rsidR="00CC6856">
        <w:rPr>
          <w:rStyle w:val="FootnoteReference"/>
          <w:rFonts w:ascii="Times New Roman" w:eastAsia="Times New Roman" w:hAnsi="Times New Roman" w:cs="Times New Roman"/>
          <w:color w:val="000000"/>
          <w:sz w:val="24"/>
          <w:szCs w:val="24"/>
        </w:rPr>
        <w:footnoteReference w:id="34"/>
      </w:r>
      <w:r w:rsidRPr="00B61DC4">
        <w:rPr>
          <w:rFonts w:ascii="Times New Roman" w:eastAsia="Times New Roman" w:hAnsi="Times New Roman" w:cs="Times New Roman"/>
          <w:color w:val="000000"/>
          <w:sz w:val="24"/>
          <w:szCs w:val="24"/>
        </w:rPr>
        <w:t xml:space="preserve"> This deemed fortune tellers and soothsayers as forgers because they were “authors” of a future that could not be proven.</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lastRenderedPageBreak/>
        <w:t xml:space="preserve">In 356, CT 9.16.6 was passed which subjected </w:t>
      </w:r>
      <w:r w:rsidRPr="00B61DC4">
        <w:rPr>
          <w:rFonts w:ascii="Times New Roman" w:eastAsia="Times New Roman" w:hAnsi="Times New Roman" w:cs="Times New Roman"/>
          <w:i/>
          <w:iCs/>
          <w:color w:val="000000"/>
          <w:sz w:val="24"/>
          <w:szCs w:val="24"/>
        </w:rPr>
        <w:t>magi</w:t>
      </w:r>
      <w:r w:rsidRPr="00B61DC4">
        <w:rPr>
          <w:rFonts w:ascii="Times New Roman" w:eastAsia="Times New Roman" w:hAnsi="Times New Roman" w:cs="Times New Roman"/>
          <w:color w:val="000000"/>
          <w:sz w:val="24"/>
          <w:szCs w:val="24"/>
        </w:rPr>
        <w:t>, those who practiced sorcery, to the torture horse. Law codes generally required that a person of high rank be stripped of their noble status, and demoted to the rank of plebian, in order to be subjected to torture. However, CT 9.16.6 specifically notes that rank does not exempt a practitioner of witchcraft from torture, and a high-ranking official would be tortured as such. Further adding to the seriousness with which sorcery was considered, the offender was “delivered to the torture horse, iron claws shall tear his sides, and he shall suffer punishment worthy of his crime</w:t>
      </w:r>
      <w:proofErr w:type="gramStart"/>
      <w:r w:rsidRPr="00B61DC4">
        <w:rPr>
          <w:rFonts w:ascii="Times New Roman" w:eastAsia="Times New Roman" w:hAnsi="Times New Roman" w:cs="Times New Roman"/>
          <w:color w:val="000000"/>
          <w:sz w:val="24"/>
          <w:szCs w:val="24"/>
        </w:rPr>
        <w:t>.”(</w:t>
      </w:r>
      <w:proofErr w:type="gramEnd"/>
      <w:r w:rsidRPr="00B61DC4">
        <w:rPr>
          <w:rFonts w:ascii="Times New Roman" w:eastAsia="Times New Roman" w:hAnsi="Times New Roman" w:cs="Times New Roman"/>
          <w:color w:val="000000"/>
          <w:sz w:val="24"/>
          <w:szCs w:val="24"/>
        </w:rPr>
        <w:t>CT 238).</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Jill Harries recounts an incident which occurred during the reign of Valentinian I. In 369, he received a report that senators were “engaged in murderous and magical practices.”</w:t>
      </w:r>
      <w:r w:rsidR="00763E5C">
        <w:rPr>
          <w:rStyle w:val="FootnoteReference"/>
          <w:rFonts w:ascii="Times New Roman" w:eastAsia="Times New Roman" w:hAnsi="Times New Roman" w:cs="Times New Roman"/>
          <w:color w:val="000000"/>
          <w:sz w:val="24"/>
          <w:szCs w:val="24"/>
        </w:rPr>
        <w:footnoteReference w:id="35"/>
      </w:r>
      <w:r w:rsidRPr="00B61DC4">
        <w:rPr>
          <w:rFonts w:ascii="Times New Roman" w:eastAsia="Times New Roman" w:hAnsi="Times New Roman" w:cs="Times New Roman"/>
          <w:color w:val="000000"/>
          <w:sz w:val="24"/>
          <w:szCs w:val="24"/>
        </w:rPr>
        <w:t xml:space="preserve"> Valentinian I, enraged, issued a ruling which equaled these crimes to treason, making all those suspected of the act liable to torture. This decree placed practitioners of sorcery within the same realm as those who committed treason, subjecting them to capital punishment, death. As Harries notes, “This was a serious violation of the civil rights of those who counted most in society, the senatorial elite, and the result was a bloodbath in Rome.”</w:t>
      </w:r>
      <w:r w:rsidR="00763E5C">
        <w:rPr>
          <w:rStyle w:val="FootnoteReference"/>
          <w:rFonts w:ascii="Times New Roman" w:eastAsia="Times New Roman" w:hAnsi="Times New Roman" w:cs="Times New Roman"/>
          <w:color w:val="000000"/>
          <w:sz w:val="24"/>
          <w:szCs w:val="24"/>
        </w:rPr>
        <w:footnoteReference w:id="36"/>
      </w:r>
      <w:r w:rsidRPr="00B61DC4">
        <w:rPr>
          <w:rFonts w:ascii="Times New Roman" w:eastAsia="Times New Roman" w:hAnsi="Times New Roman" w:cs="Times New Roman"/>
          <w:color w:val="000000"/>
          <w:sz w:val="24"/>
          <w:szCs w:val="24"/>
        </w:rPr>
        <w:t xml:space="preserve"> A delegation approached Valentinian, requesting that the punishment fit the crime and, upon realizing his wrongdoing, rescinded the decree, reinstating the previous edict of using the torture horse as punishment. This story is not only a vignette into the understanding of how disliked the idea of senators engaged in magical practices would be to the emperor, but it also reinforces the acceptance there had to be for ordained punishments.</w:t>
      </w:r>
    </w:p>
    <w:p w:rsidR="00B61DC4" w:rsidRPr="00B61DC4" w:rsidRDefault="00B61DC4" w:rsidP="00C843C6">
      <w:pPr>
        <w:ind w:firstLine="720"/>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xml:space="preserve">Harries discusses the allowance for amnesties at certain times of the year due to the interaction of the empire with Christianity. She states, “however, the imperial indulgence did not extend to more serious crimes: no remission was granted to those guilty of treason, homicide, </w:t>
      </w:r>
      <w:r w:rsidRPr="00B61DC4">
        <w:rPr>
          <w:rFonts w:ascii="Times New Roman" w:eastAsia="Times New Roman" w:hAnsi="Times New Roman" w:cs="Times New Roman"/>
          <w:color w:val="000000"/>
          <w:sz w:val="24"/>
          <w:szCs w:val="24"/>
        </w:rPr>
        <w:lastRenderedPageBreak/>
        <w:t>sorcery and magic, fornication and adultery, sacrilege, violation of tombs, abduction and the counterfeiting of money.”</w:t>
      </w:r>
      <w:r w:rsidR="00763E5C">
        <w:rPr>
          <w:rStyle w:val="FootnoteReference"/>
          <w:rFonts w:ascii="Times New Roman" w:eastAsia="Times New Roman" w:hAnsi="Times New Roman" w:cs="Times New Roman"/>
          <w:color w:val="000000"/>
          <w:sz w:val="24"/>
          <w:szCs w:val="24"/>
        </w:rPr>
        <w:footnoteReference w:id="37"/>
      </w:r>
      <w:r w:rsidRPr="00B61DC4">
        <w:rPr>
          <w:rFonts w:ascii="Times New Roman" w:eastAsia="Times New Roman" w:hAnsi="Times New Roman" w:cs="Times New Roman"/>
          <w:color w:val="000000"/>
          <w:sz w:val="24"/>
          <w:szCs w:val="24"/>
        </w:rPr>
        <w:t xml:space="preserve"> Inclusion of the activities of accountants in the same vein as adulterers and sorcerers may have been an attempt by the emperors to demean the status of the men. Humiliation, as well as pain, may have been the ultimate goal of the use of the torture horse.</w:t>
      </w:r>
    </w:p>
    <w:p w:rsidR="00B61DC4" w:rsidRPr="00B61DC4" w:rsidRDefault="00B61DC4" w:rsidP="00C843C6">
      <w:pPr>
        <w:rPr>
          <w:rFonts w:ascii="Times New Roman" w:eastAsia="Times New Roman" w:hAnsi="Times New Roman" w:cs="Times New Roman"/>
          <w:sz w:val="24"/>
          <w:szCs w:val="24"/>
        </w:rPr>
      </w:pPr>
      <w:r w:rsidRPr="00B61DC4">
        <w:rPr>
          <w:rFonts w:ascii="Times New Roman" w:eastAsia="Times New Roman" w:hAnsi="Times New Roman" w:cs="Times New Roman"/>
          <w:color w:val="000000"/>
          <w:sz w:val="24"/>
          <w:szCs w:val="24"/>
        </w:rPr>
        <w:t>        </w:t>
      </w:r>
      <w:r w:rsidRPr="00B61DC4">
        <w:rPr>
          <w:rFonts w:ascii="Times New Roman" w:eastAsia="Times New Roman" w:hAnsi="Times New Roman" w:cs="Times New Roman"/>
          <w:color w:val="000000"/>
          <w:sz w:val="24"/>
          <w:szCs w:val="24"/>
        </w:rPr>
        <w:tab/>
        <w:t xml:space="preserve">Scholar Ruth </w:t>
      </w:r>
      <w:proofErr w:type="spellStart"/>
      <w:r w:rsidRPr="00B61DC4">
        <w:rPr>
          <w:rFonts w:ascii="Times New Roman" w:eastAsia="Times New Roman" w:hAnsi="Times New Roman" w:cs="Times New Roman"/>
          <w:color w:val="000000"/>
          <w:sz w:val="24"/>
          <w:szCs w:val="24"/>
        </w:rPr>
        <w:t>Mellinkoff</w:t>
      </w:r>
      <w:proofErr w:type="spellEnd"/>
      <w:r w:rsidRPr="00B61DC4">
        <w:rPr>
          <w:rFonts w:ascii="Times New Roman" w:eastAsia="Times New Roman" w:hAnsi="Times New Roman" w:cs="Times New Roman"/>
          <w:color w:val="000000"/>
          <w:sz w:val="24"/>
          <w:szCs w:val="24"/>
        </w:rPr>
        <w:t xml:space="preserve">, in her article “Riding Backwards: Theme of Humiliation and Symbol of Evil,” discusses instances where an offender was forced to ride an animal backwards, occasionally to the gallows, as a form of public humiliation. </w:t>
      </w:r>
      <w:proofErr w:type="spellStart"/>
      <w:r w:rsidRPr="00B61DC4">
        <w:rPr>
          <w:rFonts w:ascii="Times New Roman" w:eastAsia="Times New Roman" w:hAnsi="Times New Roman" w:cs="Times New Roman"/>
          <w:color w:val="000000"/>
          <w:sz w:val="24"/>
          <w:szCs w:val="24"/>
        </w:rPr>
        <w:t>Mellinkoff</w:t>
      </w:r>
      <w:proofErr w:type="spellEnd"/>
      <w:r w:rsidRPr="00B61DC4">
        <w:rPr>
          <w:rFonts w:ascii="Times New Roman" w:eastAsia="Times New Roman" w:hAnsi="Times New Roman" w:cs="Times New Roman"/>
          <w:color w:val="000000"/>
          <w:sz w:val="24"/>
          <w:szCs w:val="24"/>
        </w:rPr>
        <w:t xml:space="preserve"> records occurrences from the first century B.C.E. and the donkey ride of adulterer Nicolaus of Damascus,</w:t>
      </w:r>
      <w:r w:rsidR="00763E5C">
        <w:rPr>
          <w:rStyle w:val="FootnoteReference"/>
          <w:rFonts w:ascii="Times New Roman" w:eastAsia="Times New Roman" w:hAnsi="Times New Roman" w:cs="Times New Roman"/>
          <w:color w:val="000000"/>
          <w:sz w:val="24"/>
          <w:szCs w:val="24"/>
        </w:rPr>
        <w:footnoteReference w:id="38"/>
      </w:r>
      <w:r w:rsidRPr="00B61DC4">
        <w:rPr>
          <w:rFonts w:ascii="Times New Roman" w:eastAsia="Times New Roman" w:hAnsi="Times New Roman" w:cs="Times New Roman"/>
          <w:color w:val="000000"/>
          <w:sz w:val="24"/>
          <w:szCs w:val="24"/>
        </w:rPr>
        <w:t xml:space="preserve"> to the present day Holi festival in India where local bullies are made to ride donkeys backwards.</w:t>
      </w:r>
      <w:r w:rsidR="00763E5C">
        <w:rPr>
          <w:rStyle w:val="FootnoteReference"/>
          <w:rFonts w:ascii="Times New Roman" w:eastAsia="Times New Roman" w:hAnsi="Times New Roman" w:cs="Times New Roman"/>
          <w:color w:val="000000"/>
          <w:sz w:val="24"/>
          <w:szCs w:val="24"/>
        </w:rPr>
        <w:footnoteReference w:id="39"/>
      </w:r>
      <w:r w:rsidRPr="00B61DC4">
        <w:rPr>
          <w:rFonts w:ascii="Times New Roman" w:eastAsia="Times New Roman" w:hAnsi="Times New Roman" w:cs="Times New Roman"/>
          <w:color w:val="000000"/>
          <w:sz w:val="24"/>
          <w:szCs w:val="24"/>
        </w:rPr>
        <w:t xml:space="preserve"> The relevance of </w:t>
      </w:r>
      <w:proofErr w:type="spellStart"/>
      <w:r w:rsidRPr="00B61DC4">
        <w:rPr>
          <w:rFonts w:ascii="Times New Roman" w:eastAsia="Times New Roman" w:hAnsi="Times New Roman" w:cs="Times New Roman"/>
          <w:color w:val="000000"/>
          <w:sz w:val="24"/>
          <w:szCs w:val="24"/>
        </w:rPr>
        <w:t>Mellinkoff’s</w:t>
      </w:r>
      <w:proofErr w:type="spellEnd"/>
      <w:r w:rsidRPr="00B61DC4">
        <w:rPr>
          <w:rFonts w:ascii="Times New Roman" w:eastAsia="Times New Roman" w:hAnsi="Times New Roman" w:cs="Times New Roman"/>
          <w:color w:val="000000"/>
          <w:sz w:val="24"/>
          <w:szCs w:val="24"/>
        </w:rPr>
        <w:t xml:space="preserve"> argument to the case of the torture horse is the humiliation associated with riding incorrectly upon a horse or a simulation thereof. As previously discussed, riding and owning a horse was a privilege only elite members of society were afforded. Hence, using this symbol of high status as an emblem of punishment added layers of humiliation and public torment.</w:t>
      </w:r>
    </w:p>
    <w:p w:rsidR="00CF47D8" w:rsidRDefault="00B61DC4" w:rsidP="00C843C6">
      <w:pPr>
        <w:ind w:firstLine="720"/>
        <w:rPr>
          <w:rFonts w:ascii="Times New Roman" w:eastAsia="Times New Roman" w:hAnsi="Times New Roman" w:cs="Times New Roman"/>
          <w:color w:val="000000"/>
          <w:sz w:val="24"/>
          <w:szCs w:val="24"/>
        </w:rPr>
      </w:pPr>
      <w:r w:rsidRPr="00B61DC4">
        <w:rPr>
          <w:rFonts w:ascii="Times New Roman" w:eastAsia="Times New Roman" w:hAnsi="Times New Roman" w:cs="Times New Roman"/>
          <w:color w:val="000000"/>
          <w:sz w:val="24"/>
          <w:szCs w:val="24"/>
        </w:rPr>
        <w:t xml:space="preserve">Analysis of the </w:t>
      </w:r>
      <w:r w:rsidRPr="00B61DC4">
        <w:rPr>
          <w:rFonts w:ascii="Times New Roman" w:eastAsia="Times New Roman" w:hAnsi="Times New Roman" w:cs="Times New Roman"/>
          <w:i/>
          <w:iCs/>
          <w:color w:val="000000"/>
          <w:sz w:val="24"/>
          <w:szCs w:val="24"/>
        </w:rPr>
        <w:t>Theodosian Code</w:t>
      </w:r>
      <w:r w:rsidRPr="00B61DC4">
        <w:rPr>
          <w:rFonts w:ascii="Times New Roman" w:eastAsia="Times New Roman" w:hAnsi="Times New Roman" w:cs="Times New Roman"/>
          <w:color w:val="000000"/>
          <w:sz w:val="24"/>
          <w:szCs w:val="24"/>
        </w:rPr>
        <w:t xml:space="preserve"> and sanctioned punishments provide examples of legislation that reveal a deeper meaning within Roman society. The three cases punishable by the torture horse are all instances of forgery which reflected in some way against the Roman state. This paper serves as one example of a broader area of research deserving of attention. Further study of contemporary legislation will continue to illuminate the relationship between law codes and prescribed forms of punishment.</w:t>
      </w:r>
    </w:p>
    <w:p w:rsidR="00340779" w:rsidRPr="00CF47D8" w:rsidRDefault="00CF47D8" w:rsidP="00CF47D8">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br w:type="page"/>
      </w:r>
      <w:r w:rsidRPr="00CF47D8">
        <w:rPr>
          <w:rFonts w:ascii="Times New Roman" w:eastAsia="Times New Roman" w:hAnsi="Times New Roman" w:cs="Times New Roman"/>
          <w:color w:val="000000"/>
          <w:sz w:val="24"/>
          <w:szCs w:val="24"/>
          <w:u w:val="single"/>
        </w:rPr>
        <w:lastRenderedPageBreak/>
        <w:t>Bibliography</w:t>
      </w:r>
    </w:p>
    <w:p w:rsidR="00CF47D8" w:rsidRPr="00CF47D8" w:rsidRDefault="00CF47D8" w:rsidP="00CF47D8">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CF47D8">
        <w:rPr>
          <w:rFonts w:ascii="Times New Roman" w:hAnsi="Times New Roman" w:cs="Times New Roman"/>
          <w:sz w:val="24"/>
        </w:rPr>
        <w:t xml:space="preserve">Buckland, Raymond. </w:t>
      </w:r>
      <w:r w:rsidRPr="00CF47D8">
        <w:rPr>
          <w:rFonts w:ascii="Times New Roman" w:hAnsi="Times New Roman" w:cs="Times New Roman"/>
          <w:i/>
          <w:iCs/>
          <w:sz w:val="24"/>
        </w:rPr>
        <w:t>Witch Book</w:t>
      </w:r>
      <w:r w:rsidRPr="00CF47D8">
        <w:rPr>
          <w:rFonts w:ascii="Times New Roman" w:hAnsi="Times New Roman" w:cs="Times New Roman"/>
          <w:sz w:val="24"/>
        </w:rPr>
        <w:t>. Michigan: Visible Ink Press, 2001.</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Harries, Jill. </w:t>
      </w:r>
      <w:r w:rsidRPr="00CF47D8">
        <w:rPr>
          <w:rFonts w:ascii="Times New Roman" w:hAnsi="Times New Roman" w:cs="Times New Roman"/>
          <w:i/>
          <w:iCs/>
          <w:sz w:val="24"/>
        </w:rPr>
        <w:t>Law and Empire in Late Antiquity</w:t>
      </w:r>
      <w:r w:rsidRPr="00CF47D8">
        <w:rPr>
          <w:rFonts w:ascii="Times New Roman" w:hAnsi="Times New Roman" w:cs="Times New Roman"/>
          <w:sz w:val="24"/>
        </w:rPr>
        <w:t>. Cambridge: University of Cambridge, 1999.</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Harries, Jill, and Ian Wood. </w:t>
      </w:r>
      <w:r w:rsidRPr="00CF47D8">
        <w:rPr>
          <w:rFonts w:ascii="Times New Roman" w:hAnsi="Times New Roman" w:cs="Times New Roman"/>
          <w:i/>
          <w:iCs/>
          <w:sz w:val="24"/>
        </w:rPr>
        <w:t>The Theodosian Code</w:t>
      </w:r>
      <w:r w:rsidRPr="00CF47D8">
        <w:rPr>
          <w:rFonts w:ascii="Times New Roman" w:hAnsi="Times New Roman" w:cs="Times New Roman"/>
          <w:sz w:val="24"/>
        </w:rPr>
        <w:t>. Ithaca, New York: Cornell University Press, 1993.</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Holman, Susan. </w:t>
      </w:r>
      <w:r w:rsidRPr="00CF47D8">
        <w:rPr>
          <w:rFonts w:ascii="Times New Roman" w:hAnsi="Times New Roman" w:cs="Times New Roman"/>
          <w:i/>
          <w:iCs/>
          <w:sz w:val="24"/>
        </w:rPr>
        <w:t xml:space="preserve">The Hungry Are Dying: </w:t>
      </w:r>
      <w:proofErr w:type="spellStart"/>
      <w:r w:rsidRPr="00CF47D8">
        <w:rPr>
          <w:rFonts w:ascii="Times New Roman" w:hAnsi="Times New Roman" w:cs="Times New Roman"/>
          <w:i/>
          <w:iCs/>
          <w:sz w:val="24"/>
        </w:rPr>
        <w:t>Beggers</w:t>
      </w:r>
      <w:proofErr w:type="spellEnd"/>
      <w:r w:rsidRPr="00CF47D8">
        <w:rPr>
          <w:rFonts w:ascii="Times New Roman" w:hAnsi="Times New Roman" w:cs="Times New Roman"/>
          <w:i/>
          <w:iCs/>
          <w:sz w:val="24"/>
        </w:rPr>
        <w:t xml:space="preserve"> and Bishops in Roman Cappadocia</w:t>
      </w:r>
      <w:r w:rsidRPr="00CF47D8">
        <w:rPr>
          <w:rFonts w:ascii="Times New Roman" w:hAnsi="Times New Roman" w:cs="Times New Roman"/>
          <w:sz w:val="24"/>
        </w:rPr>
        <w:t>. Oxford: Oxford University Press, 2001.</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Innes, Brian. </w:t>
      </w:r>
      <w:r w:rsidRPr="00CF47D8">
        <w:rPr>
          <w:rFonts w:ascii="Times New Roman" w:hAnsi="Times New Roman" w:cs="Times New Roman"/>
          <w:i/>
          <w:iCs/>
          <w:sz w:val="24"/>
        </w:rPr>
        <w:t>The History of Torture</w:t>
      </w:r>
      <w:r w:rsidRPr="00CF47D8">
        <w:rPr>
          <w:rFonts w:ascii="Times New Roman" w:hAnsi="Times New Roman" w:cs="Times New Roman"/>
          <w:sz w:val="24"/>
        </w:rPr>
        <w:t>. London: Brown Books, 1998.</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Jordan, David. “A Curse on Charioteers and Horses at Rome.” </w:t>
      </w:r>
      <w:proofErr w:type="spellStart"/>
      <w:r w:rsidRPr="00CF47D8">
        <w:rPr>
          <w:rFonts w:ascii="Times New Roman" w:hAnsi="Times New Roman" w:cs="Times New Roman"/>
          <w:i/>
          <w:iCs/>
          <w:sz w:val="24"/>
        </w:rPr>
        <w:t>Zeitschrift</w:t>
      </w:r>
      <w:proofErr w:type="spellEnd"/>
      <w:r w:rsidRPr="00CF47D8">
        <w:rPr>
          <w:rFonts w:ascii="Times New Roman" w:hAnsi="Times New Roman" w:cs="Times New Roman"/>
          <w:i/>
          <w:iCs/>
          <w:sz w:val="24"/>
        </w:rPr>
        <w:t xml:space="preserve"> Fur </w:t>
      </w:r>
      <w:proofErr w:type="spellStart"/>
      <w:r w:rsidRPr="00CF47D8">
        <w:rPr>
          <w:rFonts w:ascii="Times New Roman" w:hAnsi="Times New Roman" w:cs="Times New Roman"/>
          <w:i/>
          <w:iCs/>
          <w:sz w:val="24"/>
        </w:rPr>
        <w:t>Papyrologie</w:t>
      </w:r>
      <w:proofErr w:type="spellEnd"/>
      <w:r w:rsidRPr="00CF47D8">
        <w:rPr>
          <w:rFonts w:ascii="Times New Roman" w:hAnsi="Times New Roman" w:cs="Times New Roman"/>
          <w:i/>
          <w:iCs/>
          <w:sz w:val="24"/>
        </w:rPr>
        <w:t xml:space="preserve"> Und </w:t>
      </w:r>
      <w:proofErr w:type="spellStart"/>
      <w:r w:rsidRPr="00CF47D8">
        <w:rPr>
          <w:rFonts w:ascii="Times New Roman" w:hAnsi="Times New Roman" w:cs="Times New Roman"/>
          <w:i/>
          <w:iCs/>
          <w:sz w:val="24"/>
        </w:rPr>
        <w:t>Epigraphik</w:t>
      </w:r>
      <w:proofErr w:type="spellEnd"/>
      <w:r w:rsidRPr="00CF47D8">
        <w:rPr>
          <w:rFonts w:ascii="Times New Roman" w:hAnsi="Times New Roman" w:cs="Times New Roman"/>
          <w:sz w:val="24"/>
        </w:rPr>
        <w:t xml:space="preserve"> 141 (2002): 141–47.</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Levi, Margaret. “Revenue Production in Republican Rome.” In </w:t>
      </w:r>
      <w:proofErr w:type="gramStart"/>
      <w:r w:rsidRPr="00CF47D8">
        <w:rPr>
          <w:rFonts w:ascii="Times New Roman" w:hAnsi="Times New Roman" w:cs="Times New Roman"/>
          <w:i/>
          <w:iCs/>
          <w:sz w:val="24"/>
        </w:rPr>
        <w:t>Of</w:t>
      </w:r>
      <w:proofErr w:type="gramEnd"/>
      <w:r w:rsidRPr="00CF47D8">
        <w:rPr>
          <w:rFonts w:ascii="Times New Roman" w:hAnsi="Times New Roman" w:cs="Times New Roman"/>
          <w:i/>
          <w:iCs/>
          <w:sz w:val="24"/>
        </w:rPr>
        <w:t xml:space="preserve"> Rule and Revenue</w:t>
      </w:r>
      <w:r w:rsidRPr="00CF47D8">
        <w:rPr>
          <w:rFonts w:ascii="Times New Roman" w:hAnsi="Times New Roman" w:cs="Times New Roman"/>
          <w:sz w:val="24"/>
        </w:rPr>
        <w:t>, 71–94. California: University of California Press, 1989.</w:t>
      </w:r>
    </w:p>
    <w:p w:rsidR="00CF47D8" w:rsidRPr="00CF47D8" w:rsidRDefault="00CF47D8" w:rsidP="00CF47D8">
      <w:pPr>
        <w:pStyle w:val="Bibliography"/>
        <w:rPr>
          <w:rFonts w:ascii="Times New Roman" w:hAnsi="Times New Roman" w:cs="Times New Roman"/>
          <w:sz w:val="24"/>
        </w:rPr>
      </w:pPr>
      <w:proofErr w:type="spellStart"/>
      <w:r w:rsidRPr="00CF47D8">
        <w:rPr>
          <w:rFonts w:ascii="Times New Roman" w:hAnsi="Times New Roman" w:cs="Times New Roman"/>
          <w:sz w:val="24"/>
        </w:rPr>
        <w:t>MacCormack</w:t>
      </w:r>
      <w:proofErr w:type="spellEnd"/>
      <w:r w:rsidRPr="00CF47D8">
        <w:rPr>
          <w:rFonts w:ascii="Times New Roman" w:hAnsi="Times New Roman" w:cs="Times New Roman"/>
          <w:sz w:val="24"/>
        </w:rPr>
        <w:t xml:space="preserve">, Sabine. “Change and Continuity in Late Antiquity: The Ceremony of ‘Adventus.’” </w:t>
      </w:r>
      <w:r w:rsidRPr="00CF47D8">
        <w:rPr>
          <w:rFonts w:ascii="Times New Roman" w:hAnsi="Times New Roman" w:cs="Times New Roman"/>
          <w:i/>
          <w:iCs/>
          <w:sz w:val="24"/>
        </w:rPr>
        <w:t xml:space="preserve">Historia: </w:t>
      </w:r>
      <w:proofErr w:type="spellStart"/>
      <w:r w:rsidRPr="00CF47D8">
        <w:rPr>
          <w:rFonts w:ascii="Times New Roman" w:hAnsi="Times New Roman" w:cs="Times New Roman"/>
          <w:i/>
          <w:iCs/>
          <w:sz w:val="24"/>
        </w:rPr>
        <w:t>Zeitschrift</w:t>
      </w:r>
      <w:proofErr w:type="spellEnd"/>
      <w:r w:rsidRPr="00CF47D8">
        <w:rPr>
          <w:rFonts w:ascii="Times New Roman" w:hAnsi="Times New Roman" w:cs="Times New Roman"/>
          <w:i/>
          <w:iCs/>
          <w:sz w:val="24"/>
        </w:rPr>
        <w:t xml:space="preserve"> Fur Alter </w:t>
      </w:r>
      <w:proofErr w:type="spellStart"/>
      <w:r w:rsidRPr="00CF47D8">
        <w:rPr>
          <w:rFonts w:ascii="Times New Roman" w:hAnsi="Times New Roman" w:cs="Times New Roman"/>
          <w:i/>
          <w:iCs/>
          <w:sz w:val="24"/>
        </w:rPr>
        <w:t>Geschichte</w:t>
      </w:r>
      <w:proofErr w:type="spellEnd"/>
      <w:r w:rsidRPr="00CF47D8">
        <w:rPr>
          <w:rFonts w:ascii="Times New Roman" w:hAnsi="Times New Roman" w:cs="Times New Roman"/>
          <w:sz w:val="24"/>
        </w:rPr>
        <w:t xml:space="preserve"> 21, no. 4 (</w:t>
      </w:r>
      <w:proofErr w:type="spellStart"/>
      <w:r w:rsidRPr="00CF47D8">
        <w:rPr>
          <w:rFonts w:ascii="Times New Roman" w:hAnsi="Times New Roman" w:cs="Times New Roman"/>
          <w:sz w:val="24"/>
        </w:rPr>
        <w:t>Qtr</w:t>
      </w:r>
      <w:proofErr w:type="spellEnd"/>
      <w:r w:rsidRPr="00CF47D8">
        <w:rPr>
          <w:rFonts w:ascii="Times New Roman" w:hAnsi="Times New Roman" w:cs="Times New Roman"/>
          <w:sz w:val="24"/>
        </w:rPr>
        <w:t xml:space="preserve"> 1972): 721–52.</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Matz, David. </w:t>
      </w:r>
      <w:r w:rsidRPr="00CF47D8">
        <w:rPr>
          <w:rFonts w:ascii="Times New Roman" w:hAnsi="Times New Roman" w:cs="Times New Roman"/>
          <w:i/>
          <w:iCs/>
          <w:sz w:val="24"/>
        </w:rPr>
        <w:t>Daily Life of the Ancient Romans</w:t>
      </w:r>
      <w:r w:rsidRPr="00CF47D8">
        <w:rPr>
          <w:rFonts w:ascii="Times New Roman" w:hAnsi="Times New Roman" w:cs="Times New Roman"/>
          <w:sz w:val="24"/>
        </w:rPr>
        <w:t>. Connecticut: Greenwood Publishing Group, 2002.</w:t>
      </w:r>
    </w:p>
    <w:p w:rsidR="00CF47D8" w:rsidRPr="00CF47D8" w:rsidRDefault="00CF47D8" w:rsidP="00CF47D8">
      <w:pPr>
        <w:pStyle w:val="Bibliography"/>
        <w:rPr>
          <w:rFonts w:ascii="Times New Roman" w:hAnsi="Times New Roman" w:cs="Times New Roman"/>
          <w:sz w:val="24"/>
        </w:rPr>
      </w:pPr>
      <w:proofErr w:type="spellStart"/>
      <w:r w:rsidRPr="00CF47D8">
        <w:rPr>
          <w:rFonts w:ascii="Times New Roman" w:hAnsi="Times New Roman" w:cs="Times New Roman"/>
          <w:sz w:val="24"/>
        </w:rPr>
        <w:t>Mellinkoff</w:t>
      </w:r>
      <w:proofErr w:type="spellEnd"/>
      <w:r w:rsidRPr="00CF47D8">
        <w:rPr>
          <w:rFonts w:ascii="Times New Roman" w:hAnsi="Times New Roman" w:cs="Times New Roman"/>
          <w:sz w:val="24"/>
        </w:rPr>
        <w:t xml:space="preserve">, Ruth. “Riding Backwards: Theme of Humiliation and Symbol of Evil.” </w:t>
      </w:r>
      <w:r w:rsidRPr="00CF47D8">
        <w:rPr>
          <w:rFonts w:ascii="Times New Roman" w:hAnsi="Times New Roman" w:cs="Times New Roman"/>
          <w:i/>
          <w:iCs/>
          <w:sz w:val="24"/>
        </w:rPr>
        <w:t>Viator</w:t>
      </w:r>
      <w:r w:rsidRPr="00CF47D8">
        <w:rPr>
          <w:rFonts w:ascii="Times New Roman" w:hAnsi="Times New Roman" w:cs="Times New Roman"/>
          <w:sz w:val="24"/>
        </w:rPr>
        <w:t xml:space="preserve"> 4 (1973): 153–76.</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Pharr, Clyde, trans. </w:t>
      </w:r>
      <w:r w:rsidRPr="00CF47D8">
        <w:rPr>
          <w:rFonts w:ascii="Times New Roman" w:hAnsi="Times New Roman" w:cs="Times New Roman"/>
          <w:i/>
          <w:iCs/>
          <w:sz w:val="24"/>
        </w:rPr>
        <w:t xml:space="preserve">The Theodosian Code and Novels and the </w:t>
      </w:r>
      <w:proofErr w:type="spellStart"/>
      <w:r w:rsidRPr="00CF47D8">
        <w:rPr>
          <w:rFonts w:ascii="Times New Roman" w:hAnsi="Times New Roman" w:cs="Times New Roman"/>
          <w:i/>
          <w:iCs/>
          <w:sz w:val="24"/>
        </w:rPr>
        <w:t>Sirmondian</w:t>
      </w:r>
      <w:proofErr w:type="spellEnd"/>
      <w:r w:rsidRPr="00CF47D8">
        <w:rPr>
          <w:rFonts w:ascii="Times New Roman" w:hAnsi="Times New Roman" w:cs="Times New Roman"/>
          <w:i/>
          <w:iCs/>
          <w:sz w:val="24"/>
        </w:rPr>
        <w:t xml:space="preserve"> Constitutions</w:t>
      </w:r>
      <w:r w:rsidRPr="00CF47D8">
        <w:rPr>
          <w:rFonts w:ascii="Times New Roman" w:hAnsi="Times New Roman" w:cs="Times New Roman"/>
          <w:sz w:val="24"/>
        </w:rPr>
        <w:t>. London: Oxford University Press, 1952.</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Pina-Cabral, Joao de. “The Gods of the Gentiles Are Demons: The Problem of Pagan Survivals in European Culture.” In </w:t>
      </w:r>
      <w:r w:rsidRPr="00CF47D8">
        <w:rPr>
          <w:rFonts w:ascii="Times New Roman" w:hAnsi="Times New Roman" w:cs="Times New Roman"/>
          <w:i/>
          <w:iCs/>
          <w:sz w:val="24"/>
        </w:rPr>
        <w:t>Other Histories</w:t>
      </w:r>
      <w:r w:rsidRPr="00CF47D8">
        <w:rPr>
          <w:rFonts w:ascii="Times New Roman" w:hAnsi="Times New Roman" w:cs="Times New Roman"/>
          <w:sz w:val="24"/>
        </w:rPr>
        <w:t>. Abingdon: Routledge, 1992.</w:t>
      </w:r>
    </w:p>
    <w:p w:rsidR="00CF47D8" w:rsidRPr="00CF47D8" w:rsidRDefault="00CF47D8" w:rsidP="00CF47D8">
      <w:pPr>
        <w:pStyle w:val="Bibliography"/>
        <w:rPr>
          <w:rFonts w:ascii="Times New Roman" w:hAnsi="Times New Roman" w:cs="Times New Roman"/>
          <w:sz w:val="24"/>
        </w:rPr>
      </w:pPr>
      <w:r w:rsidRPr="00CF47D8">
        <w:rPr>
          <w:rFonts w:ascii="Times New Roman" w:hAnsi="Times New Roman" w:cs="Times New Roman"/>
          <w:sz w:val="24"/>
        </w:rPr>
        <w:t xml:space="preserve">Robinson, O.F. </w:t>
      </w:r>
      <w:r w:rsidRPr="00CF47D8">
        <w:rPr>
          <w:rFonts w:ascii="Times New Roman" w:hAnsi="Times New Roman" w:cs="Times New Roman"/>
          <w:i/>
          <w:iCs/>
          <w:sz w:val="24"/>
        </w:rPr>
        <w:t>The Criminal Laws of Ancient Rome</w:t>
      </w:r>
      <w:r w:rsidRPr="00CF47D8">
        <w:rPr>
          <w:rFonts w:ascii="Times New Roman" w:hAnsi="Times New Roman" w:cs="Times New Roman"/>
          <w:sz w:val="24"/>
        </w:rPr>
        <w:t>. Maryland: John Hopkins University Press, 1995.</w:t>
      </w:r>
    </w:p>
    <w:p w:rsidR="00CF47D8" w:rsidRPr="00CF47D8" w:rsidRDefault="00CF47D8" w:rsidP="00CF47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bookmarkStart w:id="0" w:name="_GoBack"/>
      <w:bookmarkEnd w:id="0"/>
    </w:p>
    <w:sectPr w:rsidR="00CF47D8" w:rsidRPr="00CF47D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D78" w:rsidRDefault="00397D78" w:rsidP="00601AE3">
      <w:pPr>
        <w:spacing w:line="240" w:lineRule="auto"/>
      </w:pPr>
      <w:r>
        <w:separator/>
      </w:r>
    </w:p>
  </w:endnote>
  <w:endnote w:type="continuationSeparator" w:id="0">
    <w:p w:rsidR="00397D78" w:rsidRDefault="00397D78" w:rsidP="00601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248649"/>
      <w:docPartObj>
        <w:docPartGallery w:val="Page Numbers (Bottom of Page)"/>
        <w:docPartUnique/>
      </w:docPartObj>
    </w:sdtPr>
    <w:sdtEndPr>
      <w:rPr>
        <w:noProof/>
      </w:rPr>
    </w:sdtEndPr>
    <w:sdtContent>
      <w:p w:rsidR="00782AB3" w:rsidRDefault="00782A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82AB3" w:rsidRDefault="00782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D78" w:rsidRDefault="00397D78" w:rsidP="00601AE3">
      <w:pPr>
        <w:spacing w:line="240" w:lineRule="auto"/>
      </w:pPr>
      <w:r>
        <w:separator/>
      </w:r>
    </w:p>
  </w:footnote>
  <w:footnote w:type="continuationSeparator" w:id="0">
    <w:p w:rsidR="00397D78" w:rsidRDefault="00397D78" w:rsidP="00601AE3">
      <w:pPr>
        <w:spacing w:line="240" w:lineRule="auto"/>
      </w:pPr>
      <w:r>
        <w:continuationSeparator/>
      </w:r>
    </w:p>
  </w:footnote>
  <w:footnote w:id="1">
    <w:p w:rsidR="00340779" w:rsidRDefault="00340779">
      <w:pPr>
        <w:pStyle w:val="FootnoteText"/>
      </w:pPr>
      <w:r>
        <w:rPr>
          <w:rStyle w:val="FootnoteReference"/>
        </w:rPr>
        <w:footnoteRef/>
      </w:r>
      <w:r>
        <w:t xml:space="preserve"> </w:t>
      </w:r>
      <w:r>
        <w:fldChar w:fldCharType="begin"/>
      </w:r>
      <w:r>
        <w:instrText xml:space="preserve"> ADDIN ZOTERO_ITEM CSL_CITATION {"citationID":"oiucyBOk","properties":{"formattedCitation":"Jill Harries and Ian Wood, {\\i{}The Theodosian Code} (Ithaca, New York: Cornell University Press, 1993), 1.","plainCitation":"Jill Harries and Ian Wood, The Theodosian Code (Ithaca, New York: Cornell University Press, 1993), 1.","noteIndex":1},"citationItems":[{"id":112,"uris":["http://zotero.org/users/5328933/items/ZJZWDHYS"],"uri":["http://zotero.org/users/5328933/items/ZJZWDHYS"],"itemData":{"id":112,"type":"book","title":"The Theodosian Code","publisher":"Cornell University Press","publisher-place":"Ithaca, New York","event-place":"Ithaca, New York","author":[{"family":"Harries","given":"Jill"},{"family":"Wood","given":"Ian"}],"issued":{"date-parts":[["1993"]]}},"locator":"1"}],"schema":"https://github.com/citation-style-language/schema/raw/master/csl-citation.json"} </w:instrText>
      </w:r>
      <w:r>
        <w:fldChar w:fldCharType="separate"/>
      </w:r>
      <w:r w:rsidRPr="00340779">
        <w:rPr>
          <w:rFonts w:ascii="Calibri" w:hAnsi="Calibri" w:cs="Calibri"/>
          <w:szCs w:val="24"/>
        </w:rPr>
        <w:t xml:space="preserve">Jill Harries and Ian Wood, </w:t>
      </w:r>
      <w:r w:rsidRPr="00340779">
        <w:rPr>
          <w:rFonts w:ascii="Calibri" w:hAnsi="Calibri" w:cs="Calibri"/>
          <w:i/>
          <w:iCs/>
          <w:szCs w:val="24"/>
        </w:rPr>
        <w:t>The Theodosian Code</w:t>
      </w:r>
      <w:r w:rsidRPr="00340779">
        <w:rPr>
          <w:rFonts w:ascii="Calibri" w:hAnsi="Calibri" w:cs="Calibri"/>
          <w:szCs w:val="24"/>
        </w:rPr>
        <w:t xml:space="preserve"> (Ithaca, New York: Cornell University Press, 1993), 1.</w:t>
      </w:r>
      <w:r>
        <w:fldChar w:fldCharType="end"/>
      </w:r>
    </w:p>
  </w:footnote>
  <w:footnote w:id="2">
    <w:p w:rsidR="00340779" w:rsidRDefault="00340779">
      <w:pPr>
        <w:pStyle w:val="FootnoteText"/>
      </w:pPr>
      <w:r>
        <w:rPr>
          <w:rStyle w:val="FootnoteReference"/>
        </w:rPr>
        <w:footnoteRef/>
      </w:r>
      <w:r>
        <w:t xml:space="preserve"> </w:t>
      </w:r>
      <w:r>
        <w:fldChar w:fldCharType="begin"/>
      </w:r>
      <w:r>
        <w:instrText xml:space="preserve"> ADDIN ZOTERO_ITEM CSL_CITATION {"citationID":"3PF903V3","properties":{"formattedCitation":"Harries and Wood, 1.","plainCitation":"Harries and Wood, 1.","noteIndex":2},"citationItems":[{"id":112,"uris":["http://zotero.org/users/5328933/items/ZJZWDHYS"],"uri":["http://zotero.org/users/5328933/items/ZJZWDHYS"],"itemData":{"id":112,"type":"book","title":"The Theodosian Code","publisher":"Cornell University Press","publisher-place":"Ithaca, New York","event-place":"Ithaca, New York","author":[{"family":"Harries","given":"Jill"},{"family":"Wood","given":"Ian"}],"issued":{"date-parts":[["1993"]]}},"locator":"1"}],"schema":"https://github.com/citation-style-language/schema/raw/master/csl-citation.json"} </w:instrText>
      </w:r>
      <w:r>
        <w:fldChar w:fldCharType="separate"/>
      </w:r>
      <w:r w:rsidRPr="00340779">
        <w:rPr>
          <w:rFonts w:ascii="Calibri" w:hAnsi="Calibri" w:cs="Calibri"/>
        </w:rPr>
        <w:t>Harries and Wood, 1.</w:t>
      </w:r>
      <w:r>
        <w:fldChar w:fldCharType="end"/>
      </w:r>
    </w:p>
  </w:footnote>
  <w:footnote w:id="3">
    <w:p w:rsidR="00340779" w:rsidRDefault="00340779">
      <w:pPr>
        <w:pStyle w:val="FootnoteText"/>
      </w:pPr>
      <w:r>
        <w:rPr>
          <w:rStyle w:val="FootnoteReference"/>
        </w:rPr>
        <w:footnoteRef/>
      </w:r>
      <w:r>
        <w:t xml:space="preserve"> </w:t>
      </w:r>
      <w:r>
        <w:fldChar w:fldCharType="begin"/>
      </w:r>
      <w:r>
        <w:instrText xml:space="preserve"> ADDIN ZOTERO_ITEM CSL_CITATION {"citationID":"hijg59eZ","properties":{"formattedCitation":"Clyde Pharr, trans., {\\i{}The Theodosian Code and Novels and the Sirmondian Constitutions} (London: Oxford University Press, 1952), xvii.","plainCitation":"Clyde Pharr, trans., The Theodosian Code and Novels and the Sirmondian Constitutions (London: Oxford University Press, 1952), xvii.","noteIndex":3},"citationItems":[{"id":113,"uris":["http://zotero.org/users/5328933/items/AQX66Y29"],"uri":["http://zotero.org/users/5328933/items/AQX66Y29"],"itemData":{"id":113,"type":"book","title":"The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Press","publisher-place":"London","event-place":"London","translator":[{"family":"Pharr","given":"Clyde"}],"issued":{"date-parts":[["1952"]]}},"locator":"xvii"}],"schema":"https://github.com/citation-style-language/schema/raw/master/csl-citation.json"} </w:instrText>
      </w:r>
      <w:r>
        <w:fldChar w:fldCharType="separate"/>
      </w:r>
      <w:r w:rsidRPr="00340779">
        <w:rPr>
          <w:rFonts w:ascii="Calibri" w:hAnsi="Calibri" w:cs="Calibri"/>
          <w:szCs w:val="24"/>
        </w:rPr>
        <w:t xml:space="preserve">Clyde Pharr, trans., </w:t>
      </w:r>
      <w:r w:rsidRPr="00340779">
        <w:rPr>
          <w:rFonts w:ascii="Calibri" w:hAnsi="Calibri" w:cs="Calibri"/>
          <w:i/>
          <w:iCs/>
          <w:szCs w:val="24"/>
        </w:rPr>
        <w:t xml:space="preserve">The Theodosian Code and Novels and the </w:t>
      </w:r>
      <w:proofErr w:type="spellStart"/>
      <w:r w:rsidRPr="00340779">
        <w:rPr>
          <w:rFonts w:ascii="Calibri" w:hAnsi="Calibri" w:cs="Calibri"/>
          <w:i/>
          <w:iCs/>
          <w:szCs w:val="24"/>
        </w:rPr>
        <w:t>Sirmondian</w:t>
      </w:r>
      <w:proofErr w:type="spellEnd"/>
      <w:r w:rsidRPr="00340779">
        <w:rPr>
          <w:rFonts w:ascii="Calibri" w:hAnsi="Calibri" w:cs="Calibri"/>
          <w:i/>
          <w:iCs/>
          <w:szCs w:val="24"/>
        </w:rPr>
        <w:t xml:space="preserve"> Constitutions</w:t>
      </w:r>
      <w:r w:rsidRPr="00340779">
        <w:rPr>
          <w:rFonts w:ascii="Calibri" w:hAnsi="Calibri" w:cs="Calibri"/>
          <w:szCs w:val="24"/>
        </w:rPr>
        <w:t xml:space="preserve"> (London: Oxford University Press, 1952), xvii.</w:t>
      </w:r>
      <w:r>
        <w:fldChar w:fldCharType="end"/>
      </w:r>
    </w:p>
  </w:footnote>
  <w:footnote w:id="4">
    <w:p w:rsidR="00340779" w:rsidRDefault="00340779">
      <w:pPr>
        <w:pStyle w:val="FootnoteText"/>
      </w:pPr>
      <w:r>
        <w:rPr>
          <w:rStyle w:val="FootnoteReference"/>
        </w:rPr>
        <w:footnoteRef/>
      </w:r>
      <w:r>
        <w:t xml:space="preserve"> </w:t>
      </w:r>
      <w:r>
        <w:fldChar w:fldCharType="begin"/>
      </w:r>
      <w:r>
        <w:instrText xml:space="preserve"> ADDIN ZOTERO_ITEM CSL_CITATION {"citationID":"1NX1K602","properties":{"formattedCitation":"Brian Innes, {\\i{}The History of Torture} (London: Brown Books, 1998), 21.","plainCitation":"Brian Innes, The History of Torture (London: Brown Books, 1998), 21.","noteIndex":4},"citationItems":[{"id":114,"uris":["http://zotero.org/users/5328933/items/ZMYZ762F"],"uri":["http://zotero.org/users/5328933/items/ZMYZ762F"],"itemData":{"id":114,"type":"book","title":"The History of Torture","publisher":"Brown Books","publisher-place":"London","event-place":"London","author":[{"family":"Innes","given":"Brian"}],"issued":{"date-parts":[["1998"]]}},"locator":"21"}],"schema":"https://github.com/citation-style-language/schema/raw/master/csl-citation.json"} </w:instrText>
      </w:r>
      <w:r>
        <w:fldChar w:fldCharType="separate"/>
      </w:r>
      <w:r w:rsidRPr="00340779">
        <w:rPr>
          <w:rFonts w:ascii="Calibri" w:hAnsi="Calibri" w:cs="Calibri"/>
          <w:szCs w:val="24"/>
        </w:rPr>
        <w:t xml:space="preserve">Brian Innes, </w:t>
      </w:r>
      <w:r w:rsidRPr="00340779">
        <w:rPr>
          <w:rFonts w:ascii="Calibri" w:hAnsi="Calibri" w:cs="Calibri"/>
          <w:i/>
          <w:iCs/>
          <w:szCs w:val="24"/>
        </w:rPr>
        <w:t>The History of Torture</w:t>
      </w:r>
      <w:r w:rsidRPr="00340779">
        <w:rPr>
          <w:rFonts w:ascii="Calibri" w:hAnsi="Calibri" w:cs="Calibri"/>
          <w:szCs w:val="24"/>
        </w:rPr>
        <w:t xml:space="preserve"> (London: Brown Books, 1998), 21.</w:t>
      </w:r>
      <w:r>
        <w:fldChar w:fldCharType="end"/>
      </w:r>
    </w:p>
  </w:footnote>
  <w:footnote w:id="5">
    <w:p w:rsidR="00340779" w:rsidRDefault="00340779">
      <w:pPr>
        <w:pStyle w:val="FootnoteText"/>
      </w:pPr>
      <w:r>
        <w:rPr>
          <w:rStyle w:val="FootnoteReference"/>
        </w:rPr>
        <w:footnoteRef/>
      </w:r>
      <w:r>
        <w:t xml:space="preserve"> </w:t>
      </w:r>
      <w:r>
        <w:fldChar w:fldCharType="begin"/>
      </w:r>
      <w:r>
        <w:instrText xml:space="preserve"> ADDIN ZOTERO_ITEM CSL_CITATION {"citationID":"fWXpbFL7","properties":{"formattedCitation":"David Matz, {\\i{}Daily Life of the Ancient Romans} (Connecticut: Greenwood Publishing Group, 2002), 70.","plainCitation":"David Matz, Daily Life of the Ancient Romans (Connecticut: Greenwood Publishing Group, 2002), 70.","noteIndex":5},"citationItems":[{"id":142,"uris":["http://zotero.org/users/5328933/items/FVDKE797"],"uri":["http://zotero.org/users/5328933/items/FVDKE797"],"itemData":{"id":142,"type":"book","title":"Daily Life of the Ancient Romans","publisher":"Greenwood Publishing Group","publisher-place":"Connecticut","event-place":"Connecticut","author":[{"family":"Matz","given":"David"}],"issued":{"date-parts":[["2002"]]}},"locator":"70"}],"schema":"https://github.com/citation-style-language/schema/raw/master/csl-citation.json"} </w:instrText>
      </w:r>
      <w:r>
        <w:fldChar w:fldCharType="separate"/>
      </w:r>
      <w:r w:rsidRPr="00340779">
        <w:rPr>
          <w:rFonts w:ascii="Calibri" w:hAnsi="Calibri" w:cs="Calibri"/>
          <w:szCs w:val="24"/>
        </w:rPr>
        <w:t xml:space="preserve">David Matz, </w:t>
      </w:r>
      <w:r w:rsidRPr="00340779">
        <w:rPr>
          <w:rFonts w:ascii="Calibri" w:hAnsi="Calibri" w:cs="Calibri"/>
          <w:i/>
          <w:iCs/>
          <w:szCs w:val="24"/>
        </w:rPr>
        <w:t>Daily Life of the Ancient Romans</w:t>
      </w:r>
      <w:r w:rsidRPr="00340779">
        <w:rPr>
          <w:rFonts w:ascii="Calibri" w:hAnsi="Calibri" w:cs="Calibri"/>
          <w:szCs w:val="24"/>
        </w:rPr>
        <w:t xml:space="preserve"> (Connecticut: Greenwood Publishing Group, 2002), 70.</w:t>
      </w:r>
      <w:r>
        <w:fldChar w:fldCharType="end"/>
      </w:r>
    </w:p>
  </w:footnote>
  <w:footnote w:id="6">
    <w:p w:rsidR="00340779" w:rsidRDefault="00340779">
      <w:pPr>
        <w:pStyle w:val="FootnoteText"/>
      </w:pPr>
      <w:r>
        <w:rPr>
          <w:rStyle w:val="FootnoteReference"/>
        </w:rPr>
        <w:footnoteRef/>
      </w:r>
      <w:r>
        <w:t xml:space="preserve"> </w:t>
      </w:r>
      <w:r>
        <w:fldChar w:fldCharType="begin"/>
      </w:r>
      <w:r>
        <w:instrText xml:space="preserve"> ADDIN ZOTERO_ITEM CSL_CITATION {"citationID":"CK6vDUdZ","properties":{"formattedCitation":"David Jordan, \\uc0\\u8220{}A Curse on Charioteers and Horses at Rome,\\uc0\\u8221{} {\\i{}Zeitschrift Fur Papyrologie Und Epigraphik} 141 (2002): 141.","plainCitation":"David Jordan, “A Curse on Charioteers and Horses at Rome,” Zeitschrift Fur Papyrologie Und Epigraphik 141 (2002): 141.","noteIndex":6},"citationItems":[{"id":144,"uris":["http://zotero.org/users/5328933/items/9BU47376"],"uri":["http://zotero.org/users/5328933/items/9BU47376"],"itemData":{"id":144,"type":"article-journal","title":"A Curse on Charioteers and Horses at Rome","container-title":"Zeitschrift fur Papyrologie und Epigraphik","page":"141-147","volume":"141","author":[{"family":"Jordan","given":"David"}],"issued":{"date-parts":[["2002"]]}},"locator":"141"}],"schema":"https://github.com/citation-style-language/schema/raw/master/csl-citation.json"} </w:instrText>
      </w:r>
      <w:r>
        <w:fldChar w:fldCharType="separate"/>
      </w:r>
      <w:r w:rsidRPr="00340779">
        <w:rPr>
          <w:rFonts w:ascii="Calibri" w:hAnsi="Calibri" w:cs="Calibri"/>
          <w:szCs w:val="24"/>
        </w:rPr>
        <w:t xml:space="preserve">David Jordan, “A Curse on Charioteers and Horses at Rome,” </w:t>
      </w:r>
      <w:proofErr w:type="spellStart"/>
      <w:r w:rsidRPr="00340779">
        <w:rPr>
          <w:rFonts w:ascii="Calibri" w:hAnsi="Calibri" w:cs="Calibri"/>
          <w:i/>
          <w:iCs/>
          <w:szCs w:val="24"/>
        </w:rPr>
        <w:t>Zeitschrift</w:t>
      </w:r>
      <w:proofErr w:type="spellEnd"/>
      <w:r w:rsidRPr="00340779">
        <w:rPr>
          <w:rFonts w:ascii="Calibri" w:hAnsi="Calibri" w:cs="Calibri"/>
          <w:i/>
          <w:iCs/>
          <w:szCs w:val="24"/>
        </w:rPr>
        <w:t xml:space="preserve"> Fur </w:t>
      </w:r>
      <w:proofErr w:type="spellStart"/>
      <w:r w:rsidRPr="00340779">
        <w:rPr>
          <w:rFonts w:ascii="Calibri" w:hAnsi="Calibri" w:cs="Calibri"/>
          <w:i/>
          <w:iCs/>
          <w:szCs w:val="24"/>
        </w:rPr>
        <w:t>Papyrologie</w:t>
      </w:r>
      <w:proofErr w:type="spellEnd"/>
      <w:r w:rsidRPr="00340779">
        <w:rPr>
          <w:rFonts w:ascii="Calibri" w:hAnsi="Calibri" w:cs="Calibri"/>
          <w:i/>
          <w:iCs/>
          <w:szCs w:val="24"/>
        </w:rPr>
        <w:t xml:space="preserve"> Und </w:t>
      </w:r>
      <w:proofErr w:type="spellStart"/>
      <w:r w:rsidRPr="00340779">
        <w:rPr>
          <w:rFonts w:ascii="Calibri" w:hAnsi="Calibri" w:cs="Calibri"/>
          <w:i/>
          <w:iCs/>
          <w:szCs w:val="24"/>
        </w:rPr>
        <w:t>Epigraphik</w:t>
      </w:r>
      <w:proofErr w:type="spellEnd"/>
      <w:r w:rsidRPr="00340779">
        <w:rPr>
          <w:rFonts w:ascii="Calibri" w:hAnsi="Calibri" w:cs="Calibri"/>
          <w:szCs w:val="24"/>
        </w:rPr>
        <w:t xml:space="preserve"> 141 (2002): 141.</w:t>
      </w:r>
      <w:r>
        <w:fldChar w:fldCharType="end"/>
      </w:r>
      <w:r w:rsidR="001906C4">
        <w:t xml:space="preserve"> </w:t>
      </w:r>
      <w:r>
        <w:t xml:space="preserve">The article acknowledges an earlier translation by Gabriella Bevilacqua, and offers </w:t>
      </w:r>
      <w:r w:rsidR="001906C4">
        <w:t>an</w:t>
      </w:r>
      <w:r>
        <w:t xml:space="preserve"> interpretation.</w:t>
      </w:r>
    </w:p>
  </w:footnote>
  <w:footnote w:id="7">
    <w:p w:rsidR="00340779" w:rsidRDefault="00340779">
      <w:pPr>
        <w:pStyle w:val="FootnoteText"/>
      </w:pPr>
      <w:r>
        <w:rPr>
          <w:rStyle w:val="FootnoteReference"/>
        </w:rPr>
        <w:footnoteRef/>
      </w:r>
      <w:r>
        <w:t xml:space="preserve"> </w:t>
      </w:r>
      <w:r>
        <w:fldChar w:fldCharType="begin"/>
      </w:r>
      <w:r>
        <w:instrText xml:space="preserve"> ADDIN ZOTERO_ITEM CSL_CITATION {"citationID":"e2QPGM9w","properties":{"formattedCitation":"Sabine MacCormack, \\uc0\\u8220{}Change and Continuity in Late Antiquity: The Ceremony of \\uc0\\u8216{}Adventus,\\uc0\\u8217{}\\uc0\\u8221{} {\\i{}Historia: Zeitschrift Fur Alter Geschichte} 21, no. 4 (Qtr 1972): 727.","plainCitation":"Sabine MacCormack, “Change and Continuity in Late Antiquity: The Ceremony of ‘Adventus,’” Historia: Zeitschrift Fur Alter Geschichte 21, no. 4 (Qtr 1972): 727.","noteIndex":7},"citationItems":[{"id":145,"uris":["http://zotero.org/users/5328933/items/4QS5IPP4"],"uri":["http://zotero.org/users/5328933/items/4QS5IPP4"],"itemData":{"id":145,"type":"article-journal","title":"Change and Continuity in Late Antiquity: The Ceremony of \"Adventus\"","container-title":"Historia: Zeitschrift fur Alter Geschichte","page":"721-752","volume":"21","issue":"4","author":[{"family":"MacCormack","given":"Sabine"}],"issued":{"date-parts":[["1972"]],"season":"Qtr"}},"locator":"727"}],"schema":"https://github.com/citation-style-language/schema/raw/master/csl-citation.json"} </w:instrText>
      </w:r>
      <w:r>
        <w:fldChar w:fldCharType="separate"/>
      </w:r>
      <w:r w:rsidRPr="00340779">
        <w:rPr>
          <w:rFonts w:ascii="Calibri" w:hAnsi="Calibri" w:cs="Calibri"/>
          <w:szCs w:val="24"/>
        </w:rPr>
        <w:t xml:space="preserve">Sabine </w:t>
      </w:r>
      <w:proofErr w:type="spellStart"/>
      <w:r w:rsidRPr="00340779">
        <w:rPr>
          <w:rFonts w:ascii="Calibri" w:hAnsi="Calibri" w:cs="Calibri"/>
          <w:szCs w:val="24"/>
        </w:rPr>
        <w:t>MacCormack</w:t>
      </w:r>
      <w:proofErr w:type="spellEnd"/>
      <w:r w:rsidRPr="00340779">
        <w:rPr>
          <w:rFonts w:ascii="Calibri" w:hAnsi="Calibri" w:cs="Calibri"/>
          <w:szCs w:val="24"/>
        </w:rPr>
        <w:t xml:space="preserve">, “Change and Continuity in Late Antiquity: The Ceremony of ‘Adventus,’” </w:t>
      </w:r>
      <w:r w:rsidRPr="00340779">
        <w:rPr>
          <w:rFonts w:ascii="Calibri" w:hAnsi="Calibri" w:cs="Calibri"/>
          <w:i/>
          <w:iCs/>
          <w:szCs w:val="24"/>
        </w:rPr>
        <w:t xml:space="preserve">Historia: </w:t>
      </w:r>
      <w:proofErr w:type="spellStart"/>
      <w:r w:rsidRPr="00340779">
        <w:rPr>
          <w:rFonts w:ascii="Calibri" w:hAnsi="Calibri" w:cs="Calibri"/>
          <w:i/>
          <w:iCs/>
          <w:szCs w:val="24"/>
        </w:rPr>
        <w:t>Zeitschrift</w:t>
      </w:r>
      <w:proofErr w:type="spellEnd"/>
      <w:r w:rsidRPr="00340779">
        <w:rPr>
          <w:rFonts w:ascii="Calibri" w:hAnsi="Calibri" w:cs="Calibri"/>
          <w:i/>
          <w:iCs/>
          <w:szCs w:val="24"/>
        </w:rPr>
        <w:t xml:space="preserve"> Fur Alter </w:t>
      </w:r>
      <w:proofErr w:type="spellStart"/>
      <w:r w:rsidRPr="00340779">
        <w:rPr>
          <w:rFonts w:ascii="Calibri" w:hAnsi="Calibri" w:cs="Calibri"/>
          <w:i/>
          <w:iCs/>
          <w:szCs w:val="24"/>
        </w:rPr>
        <w:t>Geschichte</w:t>
      </w:r>
      <w:proofErr w:type="spellEnd"/>
      <w:r w:rsidRPr="00340779">
        <w:rPr>
          <w:rFonts w:ascii="Calibri" w:hAnsi="Calibri" w:cs="Calibri"/>
          <w:szCs w:val="24"/>
        </w:rPr>
        <w:t xml:space="preserve"> 21, no. 4 (</w:t>
      </w:r>
      <w:proofErr w:type="spellStart"/>
      <w:r w:rsidRPr="00340779">
        <w:rPr>
          <w:rFonts w:ascii="Calibri" w:hAnsi="Calibri" w:cs="Calibri"/>
          <w:szCs w:val="24"/>
        </w:rPr>
        <w:t>Qtr</w:t>
      </w:r>
      <w:proofErr w:type="spellEnd"/>
      <w:r w:rsidRPr="00340779">
        <w:rPr>
          <w:rFonts w:ascii="Calibri" w:hAnsi="Calibri" w:cs="Calibri"/>
          <w:szCs w:val="24"/>
        </w:rPr>
        <w:t xml:space="preserve"> 1972): 727.</w:t>
      </w:r>
      <w:r>
        <w:fldChar w:fldCharType="end"/>
      </w:r>
    </w:p>
  </w:footnote>
  <w:footnote w:id="8">
    <w:p w:rsidR="00340779" w:rsidRDefault="00340779">
      <w:pPr>
        <w:pStyle w:val="FootnoteText"/>
      </w:pPr>
      <w:r>
        <w:rPr>
          <w:rStyle w:val="FootnoteReference"/>
        </w:rPr>
        <w:footnoteRef/>
      </w:r>
      <w:r>
        <w:t xml:space="preserve"> </w:t>
      </w:r>
      <w:r>
        <w:fldChar w:fldCharType="begin"/>
      </w:r>
      <w:r>
        <w:instrText xml:space="preserve"> ADDIN ZOTERO_ITEM CSL_CITATION {"citationID":"5Bj34N65","properties":{"formattedCitation":"MacCormack, 729.","plainCitation":"MacCormack, 729.","noteIndex":8},"citationItems":[{"id":145,"uris":["http://zotero.org/users/5328933/items/4QS5IPP4"],"uri":["http://zotero.org/users/5328933/items/4QS5IPP4"],"itemData":{"id":145,"type":"article-journal","title":"Change and Continuity in Late Antiquity: The Ceremony of \"Adventus\"","container-title":"Historia: Zeitschrift fur Alter Geschichte","page":"721-752","volume":"21","issue":"4","author":[{"family":"MacCormack","given":"Sabine"}],"issued":{"date-parts":[["1972"]],"season":"Qtr"}},"locator":"729"}],"schema":"https://github.com/citation-style-language/schema/raw/master/csl-citation.json"} </w:instrText>
      </w:r>
      <w:r>
        <w:fldChar w:fldCharType="separate"/>
      </w:r>
      <w:proofErr w:type="spellStart"/>
      <w:r w:rsidRPr="00340779">
        <w:rPr>
          <w:rFonts w:ascii="Calibri" w:hAnsi="Calibri" w:cs="Calibri"/>
        </w:rPr>
        <w:t>MacCormack</w:t>
      </w:r>
      <w:proofErr w:type="spellEnd"/>
      <w:r w:rsidRPr="00340779">
        <w:rPr>
          <w:rFonts w:ascii="Calibri" w:hAnsi="Calibri" w:cs="Calibri"/>
        </w:rPr>
        <w:t>, 729.</w:t>
      </w:r>
      <w:r>
        <w:fldChar w:fldCharType="end"/>
      </w:r>
    </w:p>
  </w:footnote>
  <w:footnote w:id="9">
    <w:p w:rsidR="00340779" w:rsidRDefault="00340779">
      <w:pPr>
        <w:pStyle w:val="FootnoteText"/>
      </w:pPr>
      <w:r>
        <w:rPr>
          <w:rStyle w:val="FootnoteReference"/>
        </w:rPr>
        <w:footnoteRef/>
      </w:r>
      <w:r>
        <w:t xml:space="preserve"> </w:t>
      </w:r>
      <w:r>
        <w:fldChar w:fldCharType="begin"/>
      </w:r>
      <w:r>
        <w:instrText xml:space="preserve"> ADDIN ZOTERO_ITEM CSL_CITATION {"citationID":"tC0dkCCX","properties":{"formattedCitation":"Pharr, {\\i{}The Theodosian Code and Novels and the Sirmondian Constitutions}, 248.","plainCitation":"Pharr, The Theodosian Code and Novels and the Sirmondian Constitutions, 248.","noteIndex":9},"citationItems":[{"id":113,"uris":["http://zotero.org/users/5328933/items/AQX66Y29"],"uri":["http://zotero.org/users/5328933/items/AQX66Y29"],"itemData":{"id":113,"type":"book","title":"The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Press","publisher-place":"London","event-place":"London","translator":[{"family":"Pharr","given":"Clyde"}],"issued":{"date-parts":[["1952"]]}},"locator":"248"}],"schema":"https://github.com/citation-style-language/schema/raw/master/csl-citation.json"} </w:instrText>
      </w:r>
      <w:r>
        <w:fldChar w:fldCharType="separate"/>
      </w:r>
      <w:r w:rsidRPr="00340779">
        <w:rPr>
          <w:rFonts w:ascii="Calibri" w:hAnsi="Calibri" w:cs="Calibri"/>
          <w:szCs w:val="24"/>
        </w:rPr>
        <w:t xml:space="preserve">Pharr, </w:t>
      </w:r>
      <w:r w:rsidRPr="00340779">
        <w:rPr>
          <w:rFonts w:ascii="Calibri" w:hAnsi="Calibri" w:cs="Calibri"/>
          <w:i/>
          <w:iCs/>
          <w:szCs w:val="24"/>
        </w:rPr>
        <w:t xml:space="preserve">The Theodosian Code and Novels and the </w:t>
      </w:r>
      <w:proofErr w:type="spellStart"/>
      <w:r w:rsidRPr="00340779">
        <w:rPr>
          <w:rFonts w:ascii="Calibri" w:hAnsi="Calibri" w:cs="Calibri"/>
          <w:i/>
          <w:iCs/>
          <w:szCs w:val="24"/>
        </w:rPr>
        <w:t>Sirmondian</w:t>
      </w:r>
      <w:proofErr w:type="spellEnd"/>
      <w:r w:rsidRPr="00340779">
        <w:rPr>
          <w:rFonts w:ascii="Calibri" w:hAnsi="Calibri" w:cs="Calibri"/>
          <w:i/>
          <w:iCs/>
          <w:szCs w:val="24"/>
        </w:rPr>
        <w:t xml:space="preserve"> Constitutions</w:t>
      </w:r>
      <w:r w:rsidRPr="00340779">
        <w:rPr>
          <w:rFonts w:ascii="Calibri" w:hAnsi="Calibri" w:cs="Calibri"/>
          <w:szCs w:val="24"/>
        </w:rPr>
        <w:t>, 248.</w:t>
      </w:r>
      <w:r>
        <w:fldChar w:fldCharType="end"/>
      </w:r>
    </w:p>
  </w:footnote>
  <w:footnote w:id="10">
    <w:p w:rsidR="00340779" w:rsidRDefault="00340779">
      <w:pPr>
        <w:pStyle w:val="FootnoteText"/>
      </w:pPr>
      <w:r>
        <w:rPr>
          <w:rStyle w:val="FootnoteReference"/>
        </w:rPr>
        <w:footnoteRef/>
      </w:r>
      <w:r>
        <w:t xml:space="preserve"> </w:t>
      </w:r>
      <w:r>
        <w:fldChar w:fldCharType="begin"/>
      </w:r>
      <w:r>
        <w:instrText xml:space="preserve"> ADDIN ZOTERO_ITEM CSL_CITATION {"citationID":"ZX7x6Sob","properties":{"formattedCitation":"Margaret Levi, \\uc0\\u8220{}Revenue Production in Republican Rome,\\uc0\\u8221{} in {\\i{}Of Rule and Revenue} (California: University of California Press, 1989), 71.","plainCitation":"Margaret Levi, “Revenue Production in Republican Rome,” in Of Rule and Revenue (California: University of California Press, 1989), 71.","noteIndex":10},"citationItems":[{"id":147,"uris":["http://zotero.org/users/5328933/items/PVS9WMAL"],"uri":["http://zotero.org/users/5328933/items/PVS9WMAL"],"itemData":{"id":147,"type":"chapter","title":"Revenue Production in Republican Rome","container-title":"Of Rule and Revenue","publisher":"University of California Press","publisher-place":"California","page":"71-94","event-place":"California","author":[{"family":"Levi","given":"Margaret"}],"issued":{"date-parts":[["1989"]]}},"locator":"71"}],"schema":"https://github.com/citation-style-language/schema/raw/master/csl-citation.json"} </w:instrText>
      </w:r>
      <w:r>
        <w:fldChar w:fldCharType="separate"/>
      </w:r>
      <w:r w:rsidRPr="00340779">
        <w:rPr>
          <w:rFonts w:ascii="Calibri" w:hAnsi="Calibri" w:cs="Calibri"/>
          <w:szCs w:val="24"/>
        </w:rPr>
        <w:t xml:space="preserve">Margaret Levi, “Revenue Production in Republican Rome,” in </w:t>
      </w:r>
      <w:r w:rsidRPr="00340779">
        <w:rPr>
          <w:rFonts w:ascii="Calibri" w:hAnsi="Calibri" w:cs="Calibri"/>
          <w:i/>
          <w:iCs/>
          <w:szCs w:val="24"/>
        </w:rPr>
        <w:t>Of Rule and Revenue</w:t>
      </w:r>
      <w:r w:rsidRPr="00340779">
        <w:rPr>
          <w:rFonts w:ascii="Calibri" w:hAnsi="Calibri" w:cs="Calibri"/>
          <w:szCs w:val="24"/>
        </w:rPr>
        <w:t xml:space="preserve"> (California: University of California Press, 1989), 71.</w:t>
      </w:r>
      <w:r>
        <w:fldChar w:fldCharType="end"/>
      </w:r>
    </w:p>
  </w:footnote>
  <w:footnote w:id="11">
    <w:p w:rsidR="00340779" w:rsidRDefault="00340779">
      <w:pPr>
        <w:pStyle w:val="FootnoteText"/>
      </w:pPr>
      <w:r>
        <w:rPr>
          <w:rStyle w:val="FootnoteReference"/>
        </w:rPr>
        <w:footnoteRef/>
      </w:r>
      <w:r>
        <w:t xml:space="preserve"> </w:t>
      </w:r>
      <w:r>
        <w:fldChar w:fldCharType="begin"/>
      </w:r>
      <w:r>
        <w:instrText xml:space="preserve"> ADDIN ZOTERO_ITEM CSL_CITATION {"citationID":"ixsziRxH","properties":{"formattedCitation":"O.F. Robinson, {\\i{}The Criminal Laws of Ancient Rome} (Maryland: John Hopkins University Press, 1995), 2\\uc0\\u8211{}3.","plainCitation":"O.F. Robinson, The Criminal Laws of Ancient Rome (Maryland: John Hopkins University Press, 1995), 2–3.","noteIndex":11},"citationItems":[{"id":148,"uris":["http://zotero.org/users/5328933/items/AQREKPXK"],"uri":["http://zotero.org/users/5328933/items/AQREKPXK"],"itemData":{"id":148,"type":"book","title":"The Criminal Laws of Ancient Rome","publisher":"John Hopkins University Press","publisher-place":"Maryland","event-place":"Maryland","author":[{"family":"Robinson","given":"O.F."}],"issued":{"date-parts":[["1995"]]}},"locator":"2-3"}],"schema":"https://github.com/citation-style-language/schema/raw/master/csl-citation.json"} </w:instrText>
      </w:r>
      <w:r>
        <w:fldChar w:fldCharType="separate"/>
      </w:r>
      <w:r w:rsidRPr="00340779">
        <w:rPr>
          <w:rFonts w:ascii="Calibri" w:hAnsi="Calibri" w:cs="Calibri"/>
          <w:szCs w:val="24"/>
        </w:rPr>
        <w:t xml:space="preserve">O.F. Robinson, </w:t>
      </w:r>
      <w:r w:rsidRPr="00340779">
        <w:rPr>
          <w:rFonts w:ascii="Calibri" w:hAnsi="Calibri" w:cs="Calibri"/>
          <w:i/>
          <w:iCs/>
          <w:szCs w:val="24"/>
        </w:rPr>
        <w:t>The Criminal Laws of Ancient Rome</w:t>
      </w:r>
      <w:r w:rsidRPr="00340779">
        <w:rPr>
          <w:rFonts w:ascii="Calibri" w:hAnsi="Calibri" w:cs="Calibri"/>
          <w:szCs w:val="24"/>
        </w:rPr>
        <w:t xml:space="preserve"> (Maryland: John Hopkins University Press, 1995), 2–3.</w:t>
      </w:r>
      <w:r>
        <w:fldChar w:fldCharType="end"/>
      </w:r>
    </w:p>
  </w:footnote>
  <w:footnote w:id="12">
    <w:p w:rsidR="00340779" w:rsidRDefault="00340779">
      <w:pPr>
        <w:pStyle w:val="FootnoteText"/>
      </w:pPr>
      <w:r>
        <w:rPr>
          <w:rStyle w:val="FootnoteReference"/>
        </w:rPr>
        <w:footnoteRef/>
      </w:r>
      <w:r>
        <w:t xml:space="preserve"> </w:t>
      </w:r>
      <w:r>
        <w:fldChar w:fldCharType="begin"/>
      </w:r>
      <w:r>
        <w:instrText xml:space="preserve"> ADDIN ZOTERO_ITEM CSL_CITATION {"citationID":"YihchL5o","properties":{"formattedCitation":"Robinson, 74.","plainCitation":"Robinson, 74.","noteIndex":12},"citationItems":[{"id":148,"uris":["http://zotero.org/users/5328933/items/AQREKPXK"],"uri":["http://zotero.org/users/5328933/items/AQREKPXK"],"itemData":{"id":148,"type":"book","title":"The Criminal Laws of Ancient Rome","publisher":"John Hopkins University Press","publisher-place":"Maryland","event-place":"Maryland","author":[{"family":"Robinson","given":"O.F."}],"issued":{"date-parts":[["1995"]]}},"locator":"74"}],"schema":"https://github.com/citation-style-language/schema/raw/master/csl-citation.json"} </w:instrText>
      </w:r>
      <w:r>
        <w:fldChar w:fldCharType="separate"/>
      </w:r>
      <w:r w:rsidRPr="00340779">
        <w:rPr>
          <w:rFonts w:ascii="Calibri" w:hAnsi="Calibri" w:cs="Calibri"/>
        </w:rPr>
        <w:t>Robinson, 74.</w:t>
      </w:r>
      <w:r>
        <w:fldChar w:fldCharType="end"/>
      </w:r>
    </w:p>
  </w:footnote>
  <w:footnote w:id="13">
    <w:p w:rsidR="00340779" w:rsidRDefault="00340779">
      <w:pPr>
        <w:pStyle w:val="FootnoteText"/>
      </w:pPr>
      <w:r>
        <w:rPr>
          <w:rStyle w:val="FootnoteReference"/>
        </w:rPr>
        <w:footnoteRef/>
      </w:r>
      <w:r>
        <w:t xml:space="preserve"> </w:t>
      </w:r>
      <w:r>
        <w:fldChar w:fldCharType="begin"/>
      </w:r>
      <w:r>
        <w:instrText xml:space="preserve"> ADDIN ZOTERO_ITEM CSL_CITATION {"citationID":"HLjw5fSO","properties":{"formattedCitation":"Pharr, {\\i{}The Theodosian Code and Novels and the Sirmondian Constitutions}, 186.","plainCitation":"Pharr, The Theodosian Code and Novels and the Sirmondian Constitutions, 186.","noteIndex":13},"citationItems":[{"id":113,"uris":["http://zotero.org/users/5328933/items/AQX66Y29"],"uri":["http://zotero.org/users/5328933/items/AQX66Y29"],"itemData":{"id":113,"type":"book","title":"The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Press","publisher-place":"London","event-place":"London","translator":[{"family":"Pharr","given":"Clyde"}],"issued":{"date-parts":[["1952"]]}},"locator":"186"}],"schema":"https://github.com/citation-style-language/schema/raw/master/csl-citation.json"} </w:instrText>
      </w:r>
      <w:r>
        <w:fldChar w:fldCharType="separate"/>
      </w:r>
      <w:r w:rsidRPr="00340779">
        <w:rPr>
          <w:rFonts w:ascii="Calibri" w:hAnsi="Calibri" w:cs="Calibri"/>
          <w:szCs w:val="24"/>
        </w:rPr>
        <w:t xml:space="preserve">Pharr, </w:t>
      </w:r>
      <w:r w:rsidRPr="00340779">
        <w:rPr>
          <w:rFonts w:ascii="Calibri" w:hAnsi="Calibri" w:cs="Calibri"/>
          <w:i/>
          <w:iCs/>
          <w:szCs w:val="24"/>
        </w:rPr>
        <w:t xml:space="preserve">The Theodosian Code and Novels and the </w:t>
      </w:r>
      <w:proofErr w:type="spellStart"/>
      <w:r w:rsidRPr="00340779">
        <w:rPr>
          <w:rFonts w:ascii="Calibri" w:hAnsi="Calibri" w:cs="Calibri"/>
          <w:i/>
          <w:iCs/>
          <w:szCs w:val="24"/>
        </w:rPr>
        <w:t>Sirmondian</w:t>
      </w:r>
      <w:proofErr w:type="spellEnd"/>
      <w:r w:rsidRPr="00340779">
        <w:rPr>
          <w:rFonts w:ascii="Calibri" w:hAnsi="Calibri" w:cs="Calibri"/>
          <w:i/>
          <w:iCs/>
          <w:szCs w:val="24"/>
        </w:rPr>
        <w:t xml:space="preserve"> Constitutions</w:t>
      </w:r>
      <w:r w:rsidRPr="00340779">
        <w:rPr>
          <w:rFonts w:ascii="Calibri" w:hAnsi="Calibri" w:cs="Calibri"/>
          <w:szCs w:val="24"/>
        </w:rPr>
        <w:t>, 186.</w:t>
      </w:r>
      <w:r>
        <w:fldChar w:fldCharType="end"/>
      </w:r>
    </w:p>
  </w:footnote>
  <w:footnote w:id="14">
    <w:p w:rsidR="00340779" w:rsidRDefault="00340779">
      <w:pPr>
        <w:pStyle w:val="FootnoteText"/>
      </w:pPr>
      <w:r>
        <w:rPr>
          <w:rStyle w:val="FootnoteReference"/>
        </w:rPr>
        <w:footnoteRef/>
      </w:r>
      <w:r>
        <w:t xml:space="preserve"> </w:t>
      </w:r>
      <w:r>
        <w:fldChar w:fldCharType="begin"/>
      </w:r>
      <w:r>
        <w:instrText xml:space="preserve"> ADDIN ZOTERO_ITEM CSL_CITATION {"citationID":"ozcbQZgf","properties":{"formattedCitation":"Pharr, 17.","plainCitation":"Pharr, 17.","noteIndex":14},"citationItems":[{"id":113,"uris":["http://zotero.org/users/5328933/items/AQX66Y29"],"uri":["http://zotero.org/users/5328933/items/AQX66Y29"],"itemData":{"id":113,"type":"book","title":"The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Press","publisher-place":"London","event-place":"London","translator":[{"family":"Pharr","given":"Clyde"}],"issued":{"date-parts":[["1952"]]}},"locator":"17"}],"schema":"https://github.com/citation-style-language/schema/raw/master/csl-citation.json"} </w:instrText>
      </w:r>
      <w:r>
        <w:fldChar w:fldCharType="separate"/>
      </w:r>
      <w:r w:rsidRPr="00340779">
        <w:rPr>
          <w:rFonts w:ascii="Calibri" w:hAnsi="Calibri" w:cs="Calibri"/>
        </w:rPr>
        <w:t>Pharr, 17.</w:t>
      </w:r>
      <w:r>
        <w:fldChar w:fldCharType="end"/>
      </w:r>
    </w:p>
  </w:footnote>
  <w:footnote w:id="15">
    <w:p w:rsidR="00340779" w:rsidRDefault="00340779">
      <w:pPr>
        <w:pStyle w:val="FootnoteText"/>
      </w:pPr>
      <w:r>
        <w:rPr>
          <w:rStyle w:val="FootnoteReference"/>
        </w:rPr>
        <w:footnoteRef/>
      </w:r>
      <w:r>
        <w:t xml:space="preserve"> </w:t>
      </w:r>
      <w:r>
        <w:fldChar w:fldCharType="begin"/>
      </w:r>
      <w:r>
        <w:instrText xml:space="preserve"> ADDIN ZOTERO_ITEM CSL_CITATION {"citationID":"0EY9gxBG","properties":{"formattedCitation":"Pharr, 162.","plainCitation":"Pharr, 162.","noteIndex":15},"citationItems":[{"id":113,"uris":["http://zotero.org/users/5328933/items/AQX66Y29"],"uri":["http://zotero.org/users/5328933/items/AQX66Y29"],"itemData":{"id":113,"type":"book","title":"The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Press","publisher-place":"London","event-place":"London","translator":[{"family":"Pharr","given":"Clyde"}],"issued":{"date-parts":[["1952"]]}},"locator":"162"}],"schema":"https://github.com/citation-style-language/schema/raw/master/csl-citation.json"} </w:instrText>
      </w:r>
      <w:r>
        <w:fldChar w:fldCharType="separate"/>
      </w:r>
      <w:r w:rsidRPr="00340779">
        <w:rPr>
          <w:rFonts w:ascii="Calibri" w:hAnsi="Calibri" w:cs="Calibri"/>
        </w:rPr>
        <w:t>Pharr, 162.</w:t>
      </w:r>
      <w:r>
        <w:fldChar w:fldCharType="end"/>
      </w:r>
    </w:p>
  </w:footnote>
  <w:footnote w:id="16">
    <w:p w:rsidR="00340779" w:rsidRDefault="00340779">
      <w:pPr>
        <w:pStyle w:val="FootnoteText"/>
      </w:pPr>
      <w:r>
        <w:rPr>
          <w:rStyle w:val="FootnoteReference"/>
        </w:rPr>
        <w:footnoteRef/>
      </w:r>
      <w:r>
        <w:t xml:space="preserve"> </w:t>
      </w:r>
      <w:r>
        <w:fldChar w:fldCharType="begin"/>
      </w:r>
      <w:r>
        <w:instrText xml:space="preserve"> ADDIN ZOTERO_ITEM CSL_CITATION {"citationID":"q4hqzOif","properties":{"formattedCitation":"Pharr, 186.","plainCitation":"Pharr, 186.","noteIndex":16},"citationItems":[{"id":113,"uris":["http://zotero.org/users/5328933/items/AQX66Y29"],"uri":["http://zotero.org/users/5328933/items/AQX66Y29"],"itemData":{"id":113,"type":"book","title":"The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Press","publisher-place":"London","event-place":"London","translator":[{"family":"Pharr","given":"Clyde"}],"issued":{"date-parts":[["1952"]]}},"locator":"186"}],"schema":"https://github.com/citation-style-language/schema/raw/master/csl-citation.json"} </w:instrText>
      </w:r>
      <w:r>
        <w:fldChar w:fldCharType="separate"/>
      </w:r>
      <w:r w:rsidRPr="00340779">
        <w:rPr>
          <w:rFonts w:ascii="Calibri" w:hAnsi="Calibri" w:cs="Calibri"/>
        </w:rPr>
        <w:t>Pharr, 186.</w:t>
      </w:r>
      <w:r>
        <w:fldChar w:fldCharType="end"/>
      </w:r>
    </w:p>
  </w:footnote>
  <w:footnote w:id="17">
    <w:p w:rsidR="00340779" w:rsidRDefault="00340779">
      <w:pPr>
        <w:pStyle w:val="FootnoteText"/>
      </w:pPr>
      <w:r>
        <w:rPr>
          <w:rStyle w:val="FootnoteReference"/>
        </w:rPr>
        <w:footnoteRef/>
      </w:r>
      <w:r>
        <w:t xml:space="preserve"> </w:t>
      </w:r>
      <w:r>
        <w:fldChar w:fldCharType="begin"/>
      </w:r>
      <w:r>
        <w:instrText xml:space="preserve"> ADDIN ZOTERO_ITEM CSL_CITATION {"citationID":"Ze3nf7VO","properties":{"formattedCitation":"Pharr, 186.","plainCitation":"Pharr, 186.","noteIndex":17},"citationItems":[{"id":113,"uris":["http://zotero.org/users/5328933/items/AQX66Y29"],"uri":["http://zotero.org/users/5328933/items/AQX66Y29"],"itemData":{"id":113,"type":"book","title":"The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Press","publisher-place":"London","event-place":"London","translator":[{"family":"Pharr","given":"Clyde"}],"issued":{"date-parts":[["1952"]]}},"locator":"186"}],"schema":"https://github.com/citation-style-language/schema/raw/master/csl-citation.json"} </w:instrText>
      </w:r>
      <w:r>
        <w:fldChar w:fldCharType="separate"/>
      </w:r>
      <w:r w:rsidRPr="00340779">
        <w:rPr>
          <w:rFonts w:ascii="Calibri" w:hAnsi="Calibri" w:cs="Calibri"/>
        </w:rPr>
        <w:t>Pharr, 186.</w:t>
      </w:r>
      <w:r>
        <w:fldChar w:fldCharType="end"/>
      </w:r>
    </w:p>
  </w:footnote>
  <w:footnote w:id="18">
    <w:p w:rsidR="009B69FB" w:rsidRDefault="009B69FB">
      <w:pPr>
        <w:pStyle w:val="FootnoteText"/>
      </w:pPr>
      <w:r>
        <w:rPr>
          <w:rStyle w:val="FootnoteReference"/>
        </w:rPr>
        <w:footnoteRef/>
      </w:r>
      <w:r>
        <w:t xml:space="preserve"> </w:t>
      </w:r>
      <w:r>
        <w:fldChar w:fldCharType="begin"/>
      </w:r>
      <w:r>
        <w:instrText xml:space="preserve"> ADDIN ZOTERO_ITEM CSL_CITATION {"citationID":"GKmeqeFI","properties":{"formattedCitation":"Pharr, 187.","plainCitation":"Pharr, 187.","noteIndex":18},"citationItems":[{"id":113,"uris":["http://zotero.org/users/5328933/items/AQX66Y29"],"uri":["http://zotero.org/users/5328933/items/AQX66Y29"],"itemData":{"id":113,"type":"book","title":"The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Press","publisher-place":"London","event-place":"London","translator":[{"family":"Pharr","given":"Clyde"}],"issued":{"date-parts":[["1952"]]}},"locator":"187"}],"schema":"https://github.com/citation-style-language/schema/raw/master/csl-citation.json"} </w:instrText>
      </w:r>
      <w:r>
        <w:fldChar w:fldCharType="separate"/>
      </w:r>
      <w:r w:rsidRPr="009B69FB">
        <w:rPr>
          <w:rFonts w:ascii="Calibri" w:hAnsi="Calibri" w:cs="Calibri"/>
        </w:rPr>
        <w:t>Pharr, 187.</w:t>
      </w:r>
      <w:r>
        <w:fldChar w:fldCharType="end"/>
      </w:r>
    </w:p>
  </w:footnote>
  <w:footnote w:id="19">
    <w:p w:rsidR="009B69FB" w:rsidRPr="009B69FB" w:rsidRDefault="009B69FB">
      <w:pPr>
        <w:pStyle w:val="FootnoteText"/>
      </w:pPr>
      <w:r>
        <w:rPr>
          <w:rStyle w:val="FootnoteReference"/>
        </w:rPr>
        <w:footnoteRef/>
      </w:r>
      <w:r>
        <w:t xml:space="preserve"> </w:t>
      </w:r>
      <w:r>
        <w:fldChar w:fldCharType="begin"/>
      </w:r>
      <w:r>
        <w:instrText xml:space="preserve"> ADDIN ZOTERO_ITEM CSL_CITATION {"citationID":"Qq1yJqJv","properties":{"formattedCitation":"Jill Harries, {\\i{}Law and Empire in Late Antiquity} (Cambridge: University of Cambridge, 1999), 127.","plainCitation":"Jill Harries, Law and Empire in Late Antiquity (Cambridge: University of Cambridge, 1999), 127.","noteIndex":19},"citationItems":[{"id":122,"uris":["http://zotero.org/users/5328933/items/KQCX7P75"],"uri":["http://zotero.org/users/5328933/items/KQCX7P75"],"itemData":{"id":122,"type":"book","title":"Law and Empire in Late Antiquity","publisher":"University of Cambridge","publisher-place":"Cambridge","event-place":"Cambridge","author":[{"family":"Harries","given":"Jill"}],"issued":{"date-parts":[["1999"]]}},"locator":"127"}],"schema":"https://github.com/citation-style-language/schema/raw/master/csl-citation.json"} </w:instrText>
      </w:r>
      <w:r>
        <w:fldChar w:fldCharType="separate"/>
      </w:r>
      <w:r w:rsidRPr="009B69FB">
        <w:rPr>
          <w:rFonts w:ascii="Calibri" w:hAnsi="Calibri" w:cs="Calibri"/>
          <w:szCs w:val="24"/>
        </w:rPr>
        <w:t xml:space="preserve">Jill Harries, </w:t>
      </w:r>
      <w:r w:rsidRPr="009B69FB">
        <w:rPr>
          <w:rFonts w:ascii="Calibri" w:hAnsi="Calibri" w:cs="Calibri"/>
          <w:i/>
          <w:iCs/>
          <w:szCs w:val="24"/>
        </w:rPr>
        <w:t>Law and Empire in Late Antiquity</w:t>
      </w:r>
      <w:r w:rsidRPr="009B69FB">
        <w:rPr>
          <w:rFonts w:ascii="Calibri" w:hAnsi="Calibri" w:cs="Calibri"/>
          <w:szCs w:val="24"/>
        </w:rPr>
        <w:t xml:space="preserve"> (Cambridge: University of Cambridge, 1999), 127.</w:t>
      </w:r>
      <w:r>
        <w:fldChar w:fldCharType="end"/>
      </w:r>
      <w:r>
        <w:t xml:space="preserve"> Harries cites CT 8.1.4 as evidence for the </w:t>
      </w:r>
      <w:proofErr w:type="spellStart"/>
      <w:r>
        <w:t>restriced</w:t>
      </w:r>
      <w:proofErr w:type="spellEnd"/>
      <w:r>
        <w:t xml:space="preserve"> time allowed for accountants to hold positions. However, this is stated after the fraudulent accounts have been discovered. Further reading of law codes within the </w:t>
      </w:r>
      <w:r>
        <w:rPr>
          <w:i/>
          <w:iCs/>
        </w:rPr>
        <w:t>Theodosian Code</w:t>
      </w:r>
      <w:r>
        <w:t xml:space="preserve"> and Roman law uncovers restricted occupancy of their government roles.</w:t>
      </w:r>
    </w:p>
  </w:footnote>
  <w:footnote w:id="20">
    <w:p w:rsidR="009B69FB" w:rsidRDefault="009B69FB">
      <w:pPr>
        <w:pStyle w:val="FootnoteText"/>
      </w:pPr>
      <w:r>
        <w:rPr>
          <w:rStyle w:val="FootnoteReference"/>
        </w:rPr>
        <w:footnoteRef/>
      </w:r>
      <w:r>
        <w:t xml:space="preserve"> </w:t>
      </w:r>
      <w:r>
        <w:fldChar w:fldCharType="begin"/>
      </w:r>
      <w:r>
        <w:instrText xml:space="preserve"> ADDIN ZOTERO_ITEM CSL_CITATION {"citationID":"x8cGwjLz","properties":{"formattedCitation":"Susan Holman, {\\i{}The Hungry Are Dying: Beggers and Bishops in Roman Cappadocia} (Oxford: Oxford University Press, 2001), 40.","plainCitation":"Susan Holman, The Hungry Are Dying: Beggers and Bishops in Roman Cappadocia (Oxford: Oxford University Press, 2001), 40.","noteIndex":20},"citationItems":[{"id":152,"uris":["http://zotero.org/users/5328933/items/LLSQ3ATW"],"uri":["http://zotero.org/users/5328933/items/LLSQ3ATW"],"itemData":{"id":152,"type":"book","title":"The Hungry Are Dying: Beggers and Bishops in Roman Cappadocia","publisher":"Oxford University Press","publisher-place":"Oxford","event-place":"Oxford","author":[{"family":"Holman","given":"Susan"}],"issued":{"date-parts":[["2001"]]}},"locator":"40"}],"schema":"https://github.com/citation-style-language/schema/raw/master/csl-citation.json"} </w:instrText>
      </w:r>
      <w:r>
        <w:fldChar w:fldCharType="separate"/>
      </w:r>
      <w:r w:rsidRPr="009B69FB">
        <w:rPr>
          <w:rFonts w:ascii="Calibri" w:hAnsi="Calibri" w:cs="Calibri"/>
          <w:szCs w:val="24"/>
        </w:rPr>
        <w:t xml:space="preserve">Susan Holman, </w:t>
      </w:r>
      <w:r w:rsidRPr="009B69FB">
        <w:rPr>
          <w:rFonts w:ascii="Calibri" w:hAnsi="Calibri" w:cs="Calibri"/>
          <w:i/>
          <w:iCs/>
          <w:szCs w:val="24"/>
        </w:rPr>
        <w:t xml:space="preserve">The Hungry Are Dying: </w:t>
      </w:r>
      <w:proofErr w:type="spellStart"/>
      <w:r w:rsidRPr="009B69FB">
        <w:rPr>
          <w:rFonts w:ascii="Calibri" w:hAnsi="Calibri" w:cs="Calibri"/>
          <w:i/>
          <w:iCs/>
          <w:szCs w:val="24"/>
        </w:rPr>
        <w:t>Beggers</w:t>
      </w:r>
      <w:proofErr w:type="spellEnd"/>
      <w:r w:rsidRPr="009B69FB">
        <w:rPr>
          <w:rFonts w:ascii="Calibri" w:hAnsi="Calibri" w:cs="Calibri"/>
          <w:i/>
          <w:iCs/>
          <w:szCs w:val="24"/>
        </w:rPr>
        <w:t xml:space="preserve"> and Bishops in Roman Cappadocia</w:t>
      </w:r>
      <w:r w:rsidRPr="009B69FB">
        <w:rPr>
          <w:rFonts w:ascii="Calibri" w:hAnsi="Calibri" w:cs="Calibri"/>
          <w:szCs w:val="24"/>
        </w:rPr>
        <w:t xml:space="preserve"> (Oxford: Oxford University Press, 2001), 40.</w:t>
      </w:r>
      <w:r>
        <w:fldChar w:fldCharType="end"/>
      </w:r>
    </w:p>
  </w:footnote>
  <w:footnote w:id="21">
    <w:p w:rsidR="009B69FB" w:rsidRDefault="009B69FB">
      <w:pPr>
        <w:pStyle w:val="FootnoteText"/>
      </w:pPr>
      <w:r>
        <w:rPr>
          <w:rStyle w:val="FootnoteReference"/>
        </w:rPr>
        <w:footnoteRef/>
      </w:r>
      <w:r>
        <w:t xml:space="preserve"> </w:t>
      </w:r>
      <w:r>
        <w:fldChar w:fldCharType="begin"/>
      </w:r>
      <w:r>
        <w:instrText xml:space="preserve"> ADDIN ZOTERO_ITEM CSL_CITATION {"citationID":"REbRewc6","properties":{"formattedCitation":"Holman, 41.","plainCitation":"Holman, 41.","noteIndex":21},"citationItems":[{"id":152,"uris":["http://zotero.org/users/5328933/items/LLSQ3ATW"],"uri":["http://zotero.org/users/5328933/items/LLSQ3ATW"],"itemData":{"id":152,"type":"book","title":"The Hungry Are Dying: Beggers and Bishops in Roman Cappadocia","publisher":"Oxford University Press","publisher-place":"Oxford","event-place":"Oxford","author":[{"family":"Holman","given":"Susan"}],"issued":{"date-parts":[["2001"]]}},"locator":"41"}],"schema":"https://github.com/citation-style-language/schema/raw/master/csl-citation.json"} </w:instrText>
      </w:r>
      <w:r>
        <w:fldChar w:fldCharType="separate"/>
      </w:r>
      <w:r w:rsidRPr="009B69FB">
        <w:rPr>
          <w:rFonts w:ascii="Calibri" w:hAnsi="Calibri" w:cs="Calibri"/>
        </w:rPr>
        <w:t>Holman, 41.</w:t>
      </w:r>
      <w:r>
        <w:fldChar w:fldCharType="end"/>
      </w:r>
    </w:p>
  </w:footnote>
  <w:footnote w:id="22">
    <w:p w:rsidR="009B69FB" w:rsidRDefault="009B69FB">
      <w:pPr>
        <w:pStyle w:val="FootnoteText"/>
      </w:pPr>
      <w:r>
        <w:rPr>
          <w:rStyle w:val="FootnoteReference"/>
        </w:rPr>
        <w:footnoteRef/>
      </w:r>
      <w:r>
        <w:t xml:space="preserve"> </w:t>
      </w:r>
      <w:r>
        <w:fldChar w:fldCharType="begin"/>
      </w:r>
      <w:r>
        <w:instrText xml:space="preserve"> ADDIN ZOTERO_ITEM CSL_CITATION {"citationID":"swqPmsMb","properties":{"formattedCitation":"Pharr, {\\i{}The Theodosian Code and Novels and the Sirmondian Constitutions}, 418.","plainCitation":"Pharr, The Theodosian Code and Novels and the Sirmondian Constitutions, 418.","noteIndex":22},"citationItems":[{"id":113,"uris":["http://zotero.org/users/5328933/items/AQX66Y29"],"uri":["http://zotero.org/users/5328933/items/AQX66Y29"],"itemData":{"id":113,"type":"book","title":"The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Press","publisher-place":"London","event-place":"London","translator":[{"family":"Pharr","given":"Clyde"}],"issued":{"date-parts":[["1952"]]}},"locator":"418"}],"schema":"https://github.com/citation-style-language/schema/raw/master/csl-citation.json"} </w:instrText>
      </w:r>
      <w:r>
        <w:fldChar w:fldCharType="separate"/>
      </w:r>
      <w:r w:rsidRPr="009B69FB">
        <w:rPr>
          <w:rFonts w:ascii="Calibri" w:hAnsi="Calibri" w:cs="Calibri"/>
          <w:szCs w:val="24"/>
        </w:rPr>
        <w:t xml:space="preserve">Pharr, </w:t>
      </w:r>
      <w:r w:rsidRPr="009B69FB">
        <w:rPr>
          <w:rFonts w:ascii="Calibri" w:hAnsi="Calibri" w:cs="Calibri"/>
          <w:i/>
          <w:iCs/>
          <w:szCs w:val="24"/>
        </w:rPr>
        <w:t xml:space="preserve">The Theodosian Code and Novels and the </w:t>
      </w:r>
      <w:proofErr w:type="spellStart"/>
      <w:r w:rsidRPr="009B69FB">
        <w:rPr>
          <w:rFonts w:ascii="Calibri" w:hAnsi="Calibri" w:cs="Calibri"/>
          <w:i/>
          <w:iCs/>
          <w:szCs w:val="24"/>
        </w:rPr>
        <w:t>Sirmondian</w:t>
      </w:r>
      <w:proofErr w:type="spellEnd"/>
      <w:r w:rsidRPr="009B69FB">
        <w:rPr>
          <w:rFonts w:ascii="Calibri" w:hAnsi="Calibri" w:cs="Calibri"/>
          <w:i/>
          <w:iCs/>
          <w:szCs w:val="24"/>
        </w:rPr>
        <w:t xml:space="preserve"> Constitutions</w:t>
      </w:r>
      <w:r w:rsidRPr="009B69FB">
        <w:rPr>
          <w:rFonts w:ascii="Calibri" w:hAnsi="Calibri" w:cs="Calibri"/>
          <w:szCs w:val="24"/>
        </w:rPr>
        <w:t>, 418.</w:t>
      </w:r>
      <w:r>
        <w:fldChar w:fldCharType="end"/>
      </w:r>
    </w:p>
  </w:footnote>
  <w:footnote w:id="23">
    <w:p w:rsidR="009B69FB" w:rsidRDefault="009B69FB">
      <w:pPr>
        <w:pStyle w:val="FootnoteText"/>
      </w:pPr>
      <w:r>
        <w:rPr>
          <w:rStyle w:val="FootnoteReference"/>
        </w:rPr>
        <w:footnoteRef/>
      </w:r>
      <w:r>
        <w:t xml:space="preserve"> </w:t>
      </w:r>
      <w:r>
        <w:fldChar w:fldCharType="begin"/>
      </w:r>
      <w:r>
        <w:instrText xml:space="preserve"> ADDIN ZOTERO_ITEM CSL_CITATION {"citationID":"kNQN5djC","properties":{"formattedCitation":"Holman, {\\i{}The Hungry Are Dying: Beggers and Bishops in Roman Cappadocia}, 41.","plainCitation":"Holman, The Hungry Are Dying: Beggers and Bishops in Roman Cappadocia, 41.","noteIndex":23},"citationItems":[{"id":152,"uris":["http://zotero.org/users/5328933/items/LLSQ3ATW"],"uri":["http://zotero.org/users/5328933/items/LLSQ3ATW"],"itemData":{"id":152,"type":"book","title":"The Hungry Are Dying: Beggers and Bishops in Roman Cappadocia","publisher":"Oxford University Press","publisher-place":"Oxford","event-place":"Oxford","author":[{"family":"Holman","given":"Susan"}],"issued":{"date-parts":[["2001"]]}},"locator":"41"}],"schema":"https://github.com/citation-style-language/schema/raw/master/csl-citation.json"} </w:instrText>
      </w:r>
      <w:r>
        <w:fldChar w:fldCharType="separate"/>
      </w:r>
      <w:r w:rsidRPr="009B69FB">
        <w:rPr>
          <w:rFonts w:ascii="Calibri" w:hAnsi="Calibri" w:cs="Calibri"/>
          <w:szCs w:val="24"/>
        </w:rPr>
        <w:t xml:space="preserve">Holman, </w:t>
      </w:r>
      <w:r w:rsidRPr="009B69FB">
        <w:rPr>
          <w:rFonts w:ascii="Calibri" w:hAnsi="Calibri" w:cs="Calibri"/>
          <w:i/>
          <w:iCs/>
          <w:szCs w:val="24"/>
        </w:rPr>
        <w:t xml:space="preserve">The Hungry Are Dying: </w:t>
      </w:r>
      <w:proofErr w:type="spellStart"/>
      <w:r w:rsidRPr="009B69FB">
        <w:rPr>
          <w:rFonts w:ascii="Calibri" w:hAnsi="Calibri" w:cs="Calibri"/>
          <w:i/>
          <w:iCs/>
          <w:szCs w:val="24"/>
        </w:rPr>
        <w:t>Beggers</w:t>
      </w:r>
      <w:proofErr w:type="spellEnd"/>
      <w:r w:rsidRPr="009B69FB">
        <w:rPr>
          <w:rFonts w:ascii="Calibri" w:hAnsi="Calibri" w:cs="Calibri"/>
          <w:i/>
          <w:iCs/>
          <w:szCs w:val="24"/>
        </w:rPr>
        <w:t xml:space="preserve"> and Bishops in Roman Cappadocia</w:t>
      </w:r>
      <w:r w:rsidRPr="009B69FB">
        <w:rPr>
          <w:rFonts w:ascii="Calibri" w:hAnsi="Calibri" w:cs="Calibri"/>
          <w:szCs w:val="24"/>
        </w:rPr>
        <w:t>, 41.</w:t>
      </w:r>
      <w:r>
        <w:fldChar w:fldCharType="end"/>
      </w:r>
    </w:p>
  </w:footnote>
  <w:footnote w:id="24">
    <w:p w:rsidR="009B69FB" w:rsidRDefault="009B69FB">
      <w:pPr>
        <w:pStyle w:val="FootnoteText"/>
      </w:pPr>
      <w:r>
        <w:rPr>
          <w:rStyle w:val="FootnoteReference"/>
        </w:rPr>
        <w:footnoteRef/>
      </w:r>
      <w:r>
        <w:t xml:space="preserve"> </w:t>
      </w:r>
      <w:r>
        <w:fldChar w:fldCharType="begin"/>
      </w:r>
      <w:r>
        <w:instrText xml:space="preserve"> ADDIN ZOTERO_ITEM CSL_CITATION {"citationID":"I94FkD8x","properties":{"formattedCitation":"Pharr, {\\i{}The Theodosian Code and Novels and the Sirmondian Constitutions}, 418.","plainCitation":"Pharr, The Theodosian Code and Novels and the Sirmondian Constitutions, 418.","noteIndex":24},"citationItems":[{"id":113,"uris":["http://zotero.org/users/5328933/items/AQX66Y29"],"uri":["http://zotero.org/users/5328933/items/AQX66Y29"],"itemData":{"id":113,"type":"book","title":"The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Press","publisher-place":"London","event-place":"London","translator":[{"family":"Pharr","given":"Clyde"}],"issued":{"date-parts":[["1952"]]}},"locator":"418"}],"schema":"https://github.com/citation-style-language/schema/raw/master/csl-citation.json"} </w:instrText>
      </w:r>
      <w:r>
        <w:fldChar w:fldCharType="separate"/>
      </w:r>
      <w:r w:rsidRPr="009B69FB">
        <w:rPr>
          <w:rFonts w:ascii="Calibri" w:hAnsi="Calibri" w:cs="Calibri"/>
          <w:szCs w:val="24"/>
        </w:rPr>
        <w:t xml:space="preserve">Pharr, </w:t>
      </w:r>
      <w:r w:rsidRPr="009B69FB">
        <w:rPr>
          <w:rFonts w:ascii="Calibri" w:hAnsi="Calibri" w:cs="Calibri"/>
          <w:i/>
          <w:iCs/>
          <w:szCs w:val="24"/>
        </w:rPr>
        <w:t xml:space="preserve">The Theodosian Code and Novels and the </w:t>
      </w:r>
      <w:proofErr w:type="spellStart"/>
      <w:r w:rsidRPr="009B69FB">
        <w:rPr>
          <w:rFonts w:ascii="Calibri" w:hAnsi="Calibri" w:cs="Calibri"/>
          <w:i/>
          <w:iCs/>
          <w:szCs w:val="24"/>
        </w:rPr>
        <w:t>Sirmondian</w:t>
      </w:r>
      <w:proofErr w:type="spellEnd"/>
      <w:r w:rsidRPr="009B69FB">
        <w:rPr>
          <w:rFonts w:ascii="Calibri" w:hAnsi="Calibri" w:cs="Calibri"/>
          <w:i/>
          <w:iCs/>
          <w:szCs w:val="24"/>
        </w:rPr>
        <w:t xml:space="preserve"> Constitutions</w:t>
      </w:r>
      <w:r w:rsidRPr="009B69FB">
        <w:rPr>
          <w:rFonts w:ascii="Calibri" w:hAnsi="Calibri" w:cs="Calibri"/>
          <w:szCs w:val="24"/>
        </w:rPr>
        <w:t>, 418.</w:t>
      </w:r>
      <w:r>
        <w:fldChar w:fldCharType="end"/>
      </w:r>
    </w:p>
  </w:footnote>
  <w:footnote w:id="25">
    <w:p w:rsidR="009B69FB" w:rsidRDefault="009B69FB">
      <w:pPr>
        <w:pStyle w:val="FootnoteText"/>
      </w:pPr>
      <w:r>
        <w:rPr>
          <w:rStyle w:val="FootnoteReference"/>
        </w:rPr>
        <w:footnoteRef/>
      </w:r>
      <w:r>
        <w:t xml:space="preserve"> </w:t>
      </w:r>
      <w:r>
        <w:fldChar w:fldCharType="begin"/>
      </w:r>
      <w:r>
        <w:instrText xml:space="preserve"> ADDIN ZOTERO_ITEM CSL_CITATION {"citationID":"gFQNPwps","properties":{"formattedCitation":"Pharr, 418.","plainCitation":"Pharr, 418.","noteIndex":25},"citationItems":[{"id":113,"uris":["http://zotero.org/users/5328933/items/AQX66Y29"],"uri":["http://zotero.org/users/5328933/items/AQX66Y29"],"itemData":{"id":113,"type":"book","title":"The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Press","publisher-place":"London","event-place":"London","translator":[{"family":"Pharr","given":"Clyde"}],"issued":{"date-parts":[["1952"]]}},"locator":"418"}],"schema":"https://github.com/citation-style-language/schema/raw/master/csl-citation.json"} </w:instrText>
      </w:r>
      <w:r>
        <w:fldChar w:fldCharType="separate"/>
      </w:r>
      <w:r w:rsidRPr="009B69FB">
        <w:rPr>
          <w:rFonts w:ascii="Calibri" w:hAnsi="Calibri" w:cs="Calibri"/>
        </w:rPr>
        <w:t>Pharr, 418.</w:t>
      </w:r>
      <w:r>
        <w:fldChar w:fldCharType="end"/>
      </w:r>
    </w:p>
  </w:footnote>
  <w:footnote w:id="26">
    <w:p w:rsidR="00CC6856" w:rsidRDefault="00CC6856">
      <w:pPr>
        <w:pStyle w:val="FootnoteText"/>
      </w:pPr>
      <w:r>
        <w:rPr>
          <w:rStyle w:val="FootnoteReference"/>
        </w:rPr>
        <w:footnoteRef/>
      </w:r>
      <w:r>
        <w:t xml:space="preserve"> </w:t>
      </w:r>
      <w:r>
        <w:fldChar w:fldCharType="begin"/>
      </w:r>
      <w:r>
        <w:instrText xml:space="preserve"> ADDIN ZOTERO_ITEM CSL_CITATION {"citationID":"GFAvFy7v","properties":{"formattedCitation":"Pharr, 419.","plainCitation":"Pharr, 419.","noteIndex":26},"citationItems":[{"id":113,"uris":["http://zotero.org/users/5328933/items/AQX66Y29"],"uri":["http://zotero.org/users/5328933/items/AQX66Y29"],"itemData":{"id":113,"type":"book","title":"The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Press","publisher-place":"London","event-place":"London","translator":[{"family":"Pharr","given":"Clyde"}],"issued":{"date-parts":[["1952"]]}},"locator":"419"}],"schema":"https://github.com/citation-style-language/schema/raw/master/csl-citation.json"} </w:instrText>
      </w:r>
      <w:r>
        <w:fldChar w:fldCharType="separate"/>
      </w:r>
      <w:r w:rsidRPr="00CC6856">
        <w:rPr>
          <w:rFonts w:ascii="Calibri" w:hAnsi="Calibri" w:cs="Calibri"/>
        </w:rPr>
        <w:t>Pharr, 419.</w:t>
      </w:r>
      <w:r>
        <w:fldChar w:fldCharType="end"/>
      </w:r>
    </w:p>
  </w:footnote>
  <w:footnote w:id="27">
    <w:p w:rsidR="00CC6856" w:rsidRDefault="00CC6856">
      <w:pPr>
        <w:pStyle w:val="FootnoteText"/>
      </w:pPr>
      <w:r>
        <w:rPr>
          <w:rStyle w:val="FootnoteReference"/>
        </w:rPr>
        <w:footnoteRef/>
      </w:r>
      <w:r>
        <w:t xml:space="preserve"> </w:t>
      </w:r>
      <w:r>
        <w:fldChar w:fldCharType="begin"/>
      </w:r>
      <w:r>
        <w:instrText xml:space="preserve"> ADDIN ZOTERO_ITEM CSL_CITATION {"citationID":"loibtUVM","properties":{"formattedCitation":"Pharr, 419.","plainCitation":"Pharr, 419.","noteIndex":27},"citationItems":[{"id":113,"uris":["http://zotero.org/users/5328933/items/AQX66Y29"],"uri":["http://zotero.org/users/5328933/items/AQX66Y29"],"itemData":{"id":113,"type":"book","title":"The Theodosian Code and Novels and the Sirmondian Constitutions","publisher":"Oxford University Press","publisher-place":"London","event-place":"London","translator":[{"family":"Pharr","given":"Clyde"}],"issued":{"date-parts":[["1952"]]}},"locator":"419"}],"schema":"https://github.com/citation-style-language/schema/raw/master/csl-citation.json"} </w:instrText>
      </w:r>
      <w:r>
        <w:fldChar w:fldCharType="separate"/>
      </w:r>
      <w:r w:rsidRPr="00CC6856">
        <w:rPr>
          <w:rFonts w:ascii="Calibri" w:hAnsi="Calibri" w:cs="Calibri"/>
        </w:rPr>
        <w:t>Pharr, 419.</w:t>
      </w:r>
      <w:r>
        <w:fldChar w:fldCharType="end"/>
      </w:r>
    </w:p>
  </w:footnote>
  <w:footnote w:id="28">
    <w:p w:rsidR="00CC6856" w:rsidRDefault="00CC6856">
      <w:pPr>
        <w:pStyle w:val="FootnoteText"/>
      </w:pPr>
      <w:r>
        <w:rPr>
          <w:rStyle w:val="FootnoteReference"/>
        </w:rPr>
        <w:footnoteRef/>
      </w:r>
      <w:r>
        <w:t xml:space="preserve"> </w:t>
      </w:r>
      <w:r>
        <w:fldChar w:fldCharType="begin"/>
      </w:r>
      <w:r>
        <w:instrText xml:space="preserve"> ADDIN ZOTERO_ITEM CSL_CITATION {"citationID":"PWTsXxlE","properties":{"formattedCitation":"Robinson, {\\i{}The Criminal Laws of Ancient Rome}, 74.","plainCitation":"Robinson, The Criminal Laws of Ancient Rome, 74.","noteIndex":28},"citationItems":[{"id":148,"uris":["http://zotero.org/users/5328933/items/AQREKPXK"],"uri":["http://zotero.org/users/5328933/items/AQREKPXK"],"itemData":{"id":148,"type":"book","title":"The Criminal Laws of Ancient Rome","publisher":"John Hopkins University Press","publisher-place":"Maryland","event-place":"Maryland","author":[{"family":"Robinson","given":"O.F."}],"issued":{"date-parts":[["1995"]]}},"locator":"74"}],"schema":"https://github.com/citation-style-language/schema/raw/master/csl-citation.json"} </w:instrText>
      </w:r>
      <w:r>
        <w:fldChar w:fldCharType="separate"/>
      </w:r>
      <w:r w:rsidRPr="00CC6856">
        <w:rPr>
          <w:rFonts w:ascii="Calibri" w:hAnsi="Calibri" w:cs="Calibri"/>
          <w:szCs w:val="24"/>
        </w:rPr>
        <w:t xml:space="preserve">Robinson, </w:t>
      </w:r>
      <w:r w:rsidRPr="00CC6856">
        <w:rPr>
          <w:rFonts w:ascii="Calibri" w:hAnsi="Calibri" w:cs="Calibri"/>
          <w:i/>
          <w:iCs/>
          <w:szCs w:val="24"/>
        </w:rPr>
        <w:t>The Criminal Laws of Ancient Rome</w:t>
      </w:r>
      <w:r w:rsidRPr="00CC6856">
        <w:rPr>
          <w:rFonts w:ascii="Calibri" w:hAnsi="Calibri" w:cs="Calibri"/>
          <w:szCs w:val="24"/>
        </w:rPr>
        <w:t>, 74.</w:t>
      </w:r>
      <w:r>
        <w:fldChar w:fldCharType="end"/>
      </w:r>
    </w:p>
  </w:footnote>
  <w:footnote w:id="29">
    <w:p w:rsidR="00CC6856" w:rsidRDefault="00CC6856">
      <w:pPr>
        <w:pStyle w:val="FootnoteText"/>
      </w:pPr>
      <w:r>
        <w:rPr>
          <w:rStyle w:val="FootnoteReference"/>
        </w:rPr>
        <w:footnoteRef/>
      </w:r>
      <w:r>
        <w:t xml:space="preserve"> </w:t>
      </w:r>
      <w:r>
        <w:fldChar w:fldCharType="begin"/>
      </w:r>
      <w:r>
        <w:instrText xml:space="preserve"> ADDIN ZOTERO_ITEM CSL_CITATION {"citationID":"Re5tO9V8","properties":{"formattedCitation":"Raymond Buckland, {\\i{}Witch Book} (Michigan: Visible Ink Press, 2001), xi.","plainCitation":"Raymond Buckland, Witch Book (Michigan: Visible Ink Press, 2001), xi.","noteIndex":29},"citationItems":[{"id":116,"uris":["http://zotero.org/users/5328933/items/6VIDB5L9"],"uri":["http://zotero.org/users/5328933/items/6VIDB5L9"],"itemData":{"id":116,"type":"book","title":"Witch Book","publisher":"Visible Ink Press","publisher-place":"Michigan","event-place":"Michigan","author":[{"family":"Buckland","given":"Raymond"}],"issued":{"date-parts":[["2001"]]}},"locator":"xi"}],"schema":"https://github.com/citation-style-language/schema/raw/master/csl-citation.json"} </w:instrText>
      </w:r>
      <w:r>
        <w:fldChar w:fldCharType="separate"/>
      </w:r>
      <w:r w:rsidRPr="00CC6856">
        <w:rPr>
          <w:rFonts w:ascii="Calibri" w:hAnsi="Calibri" w:cs="Calibri"/>
          <w:szCs w:val="24"/>
        </w:rPr>
        <w:t xml:space="preserve">Raymond Buckland, </w:t>
      </w:r>
      <w:r w:rsidRPr="00CC6856">
        <w:rPr>
          <w:rFonts w:ascii="Calibri" w:hAnsi="Calibri" w:cs="Calibri"/>
          <w:i/>
          <w:iCs/>
          <w:szCs w:val="24"/>
        </w:rPr>
        <w:t>Witch Book</w:t>
      </w:r>
      <w:r w:rsidRPr="00CC6856">
        <w:rPr>
          <w:rFonts w:ascii="Calibri" w:hAnsi="Calibri" w:cs="Calibri"/>
          <w:szCs w:val="24"/>
        </w:rPr>
        <w:t xml:space="preserve"> (Michigan: Visible Ink Press, 2001), xi.</w:t>
      </w:r>
      <w:r>
        <w:fldChar w:fldCharType="end"/>
      </w:r>
    </w:p>
  </w:footnote>
  <w:footnote w:id="30">
    <w:p w:rsidR="00CC6856" w:rsidRDefault="00CC6856">
      <w:pPr>
        <w:pStyle w:val="FootnoteText"/>
      </w:pPr>
      <w:r>
        <w:rPr>
          <w:rStyle w:val="FootnoteReference"/>
        </w:rPr>
        <w:footnoteRef/>
      </w:r>
      <w:r>
        <w:t xml:space="preserve"> </w:t>
      </w:r>
      <w:r>
        <w:fldChar w:fldCharType="begin"/>
      </w:r>
      <w:r>
        <w:instrText xml:space="preserve"> ADDIN ZOTERO_ITEM CSL_CITATION {"citationID":"odK3o7Ak","properties":{"formattedCitation":"Joao de Pina-Cabral, \\uc0\\u8220{}The Gods of the Gentiles Are Demons: The Problem of Pagan Survivals in European Culture,\\uc0\\u8221{} in {\\i{}Other Histories} (Abingdon: Routledge, 1992), 45.","plainCitation":"Joao de Pina-Cabral, “The Gods of the Gentiles Are Demons: The Problem of Pagan Survivals in European Culture,” in Other Histories (Abingdon: Routledge, 1992), 45.","noteIndex":30},"citationItems":[{"id":117,"uris":["http://zotero.org/users/5328933/items/936KPVWF"],"uri":["http://zotero.org/users/5328933/items/936KPVWF"],"itemData":{"id":117,"type":"chapter","title":"The gods of the Gentiles are demons: the problem of pagan survivals in European culture","container-title":"Other Histories","publisher":"Routledge","publisher-place":"Abingdon","event-place":"Abingdon","author":[{"family":"Pina-Cabral","given":"Joao","non-dropping-particle":"de"}],"issued":{"date-parts":[["1992"]]}},"locator":"45"}],"schema":"https://github.com/citation-style-language/schema/raw/master/csl-citation.json"} </w:instrText>
      </w:r>
      <w:r>
        <w:fldChar w:fldCharType="separate"/>
      </w:r>
      <w:r w:rsidRPr="00CC6856">
        <w:rPr>
          <w:rFonts w:ascii="Calibri" w:hAnsi="Calibri" w:cs="Calibri"/>
          <w:szCs w:val="24"/>
        </w:rPr>
        <w:t xml:space="preserve">Joao de Pina-Cabral, “The Gods of the Gentiles Are Demons: The Problem of Pagan Survivals in European Culture,” in </w:t>
      </w:r>
      <w:r w:rsidRPr="00CC6856">
        <w:rPr>
          <w:rFonts w:ascii="Calibri" w:hAnsi="Calibri" w:cs="Calibri"/>
          <w:i/>
          <w:iCs/>
          <w:szCs w:val="24"/>
        </w:rPr>
        <w:t>Other Histories</w:t>
      </w:r>
      <w:r w:rsidRPr="00CC6856">
        <w:rPr>
          <w:rFonts w:ascii="Calibri" w:hAnsi="Calibri" w:cs="Calibri"/>
          <w:szCs w:val="24"/>
        </w:rPr>
        <w:t xml:space="preserve"> (Abingdon: Routledge, 1992), 45.</w:t>
      </w:r>
      <w:r>
        <w:fldChar w:fldCharType="end"/>
      </w:r>
    </w:p>
  </w:footnote>
  <w:footnote w:id="31">
    <w:p w:rsidR="00CC6856" w:rsidRDefault="00CC6856">
      <w:pPr>
        <w:pStyle w:val="FootnoteText"/>
      </w:pPr>
      <w:r>
        <w:rPr>
          <w:rStyle w:val="FootnoteReference"/>
        </w:rPr>
        <w:footnoteRef/>
      </w:r>
      <w:r>
        <w:t xml:space="preserve"> </w:t>
      </w:r>
      <w:r>
        <w:fldChar w:fldCharType="begin"/>
      </w:r>
      <w:r>
        <w:instrText xml:space="preserve"> ADDIN ZOTERO_ITEM CSL_CITATION {"citationID":"6Ob8sUre","properties":{"formattedCitation":"de Pina-Cabral, 33.","plainCitation":"de Pina-Cabral, 33.","noteIndex":31},"citationItems":[{"id":117,"uris":["http://zotero.org/users/5328933/items/936KPVWF"],"uri":["http://zotero.org/users/5328933/items/936KPVWF"],"itemData":{"id":117,"type":"chapter","title":"The gods of the Gentiles are demons: the problem of pagan survivals in European culture","container-title":"Other Histories","publisher":"Routledge","publisher-place":"Abingdon","event-place":"Abingdon","author":[{"family":"Pina-Cabral","given":"Joao","non-dropping-particle":"de"}],"issued":{"date-parts":[["1992"]]}},"locator":"33"}],"schema":"https://github.com/citation-style-language/schema/raw/master/csl-citation.json"} </w:instrText>
      </w:r>
      <w:r>
        <w:fldChar w:fldCharType="separate"/>
      </w:r>
      <w:r w:rsidRPr="00CC6856">
        <w:rPr>
          <w:rFonts w:ascii="Calibri" w:hAnsi="Calibri" w:cs="Calibri"/>
        </w:rPr>
        <w:t>de Pina-Cabral, 33.</w:t>
      </w:r>
      <w:r>
        <w:fldChar w:fldCharType="end"/>
      </w:r>
    </w:p>
  </w:footnote>
  <w:footnote w:id="32">
    <w:p w:rsidR="00CC6856" w:rsidRDefault="00CC6856">
      <w:pPr>
        <w:pStyle w:val="FootnoteText"/>
      </w:pPr>
      <w:r>
        <w:rPr>
          <w:rStyle w:val="FootnoteReference"/>
        </w:rPr>
        <w:footnoteRef/>
      </w:r>
      <w:r>
        <w:t xml:space="preserve"> </w:t>
      </w:r>
      <w:r>
        <w:fldChar w:fldCharType="begin"/>
      </w:r>
      <w:r>
        <w:instrText xml:space="preserve"> ADDIN ZOTERO_ITEM CSL_CITATION {"citationID":"Weu4eqYy","properties":{"formattedCitation":"de Pina-Cabral, 46.","plainCitation":"de Pina-Cabral, 46.","noteIndex":32},"citationItems":[{"id":117,"uris":["http://zotero.org/users/5328933/items/936KPVWF"],"uri":["http://zotero.org/users/5328933/items/936KPVWF"],"itemData":{"id":117,"type":"chapter","title":"The gods of the Gentiles are demons: the problem of pagan survivals in European culture","container-title":"Other Histories","publisher":"Routledge","publisher-place":"Abingdon","event-place":"Abingdon","author":[{"family":"Pina-Cabral","given":"Joao","non-dropping-particle":"de"}],"issued":{"date-parts":[["1992"]]}},"locator":"46"}],"schema":"https://github.com/citation-style-language/schema/raw/master/csl-citation.json"} </w:instrText>
      </w:r>
      <w:r>
        <w:fldChar w:fldCharType="separate"/>
      </w:r>
      <w:r w:rsidRPr="00CC6856">
        <w:rPr>
          <w:rFonts w:ascii="Calibri" w:hAnsi="Calibri" w:cs="Calibri"/>
        </w:rPr>
        <w:t>de Pina-Cabral, 46.</w:t>
      </w:r>
      <w:r>
        <w:fldChar w:fldCharType="end"/>
      </w:r>
    </w:p>
  </w:footnote>
  <w:footnote w:id="33">
    <w:p w:rsidR="00CC6856" w:rsidRDefault="00CC6856">
      <w:pPr>
        <w:pStyle w:val="FootnoteText"/>
      </w:pPr>
      <w:r>
        <w:rPr>
          <w:rStyle w:val="FootnoteReference"/>
        </w:rPr>
        <w:footnoteRef/>
      </w:r>
      <w:r>
        <w:t xml:space="preserve"> </w:t>
      </w:r>
      <w:r>
        <w:fldChar w:fldCharType="begin"/>
      </w:r>
      <w:r>
        <w:instrText xml:space="preserve"> ADDIN ZOTERO_ITEM CSL_CITATION {"citationID":"Mhi98FlW","properties":{"formattedCitation":"Robinson, {\\i{}The Criminal Laws of Ancient Rome}, 51.","plainCitation":"Robinson, The Criminal Laws of Ancient Rome, 51.","noteIndex":33},"citationItems":[{"id":148,"uris":["http://zotero.org/users/5328933/items/AQREKPXK"],"uri":["http://zotero.org/users/5328933/items/AQREKPXK"],"itemData":{"id":148,"type":"book","title":"The Criminal Laws of Ancient Rome","publisher":"John Hopkins University Press","publisher-place":"Maryland","event-place":"Maryland","author":[{"family":"Robinson","given":"O.F."}],"issued":{"date-parts":[["1995"]]}},"locator":"51"}],"schema":"https://github.com/citation-style-language/schema/raw/master/csl-citation.json"} </w:instrText>
      </w:r>
      <w:r>
        <w:fldChar w:fldCharType="separate"/>
      </w:r>
      <w:r w:rsidRPr="00CC6856">
        <w:rPr>
          <w:rFonts w:ascii="Calibri" w:hAnsi="Calibri" w:cs="Calibri"/>
          <w:szCs w:val="24"/>
        </w:rPr>
        <w:t xml:space="preserve">Robinson, </w:t>
      </w:r>
      <w:r w:rsidRPr="00CC6856">
        <w:rPr>
          <w:rFonts w:ascii="Calibri" w:hAnsi="Calibri" w:cs="Calibri"/>
          <w:i/>
          <w:iCs/>
          <w:szCs w:val="24"/>
        </w:rPr>
        <w:t>The Criminal Laws of Ancient Rome</w:t>
      </w:r>
      <w:r w:rsidRPr="00CC6856">
        <w:rPr>
          <w:rFonts w:ascii="Calibri" w:hAnsi="Calibri" w:cs="Calibri"/>
          <w:szCs w:val="24"/>
        </w:rPr>
        <w:t>, 51.</w:t>
      </w:r>
      <w:r>
        <w:fldChar w:fldCharType="end"/>
      </w:r>
    </w:p>
  </w:footnote>
  <w:footnote w:id="34">
    <w:p w:rsidR="00CC6856" w:rsidRDefault="00CC6856">
      <w:pPr>
        <w:pStyle w:val="FootnoteText"/>
      </w:pPr>
      <w:r>
        <w:rPr>
          <w:rStyle w:val="FootnoteReference"/>
        </w:rPr>
        <w:footnoteRef/>
      </w:r>
      <w:r>
        <w:t xml:space="preserve"> </w:t>
      </w:r>
      <w:r>
        <w:fldChar w:fldCharType="begin"/>
      </w:r>
      <w:r>
        <w:instrText xml:space="preserve"> ADDIN ZOTERO_ITEM CSL_CITATION {"citationID":"MEFYvtpc","properties":{"formattedCitation":"Robinson, 50.","plainCitation":"Robinson, 50.","noteIndex":34},"citationItems":[{"id":148,"uris":["http://zotero.org/users/5328933/items/AQREKPXK"],"uri":["http://zotero.org/users/5328933/items/AQREKPXK"],"itemData":{"id":148,"type":"book","title":"The Criminal Laws of Ancient Rome","publisher":"John Hopkins University Press","publisher-place":"Maryland","event-place":"Maryland","author":[{"family":"Robinson","given":"O.F."}],"issued":{"date-parts":[["1995"]]}},"locator":"50"}],"schema":"https://github.com/citation-style-language/schema/raw/master/csl-citation.json"} </w:instrText>
      </w:r>
      <w:r>
        <w:fldChar w:fldCharType="separate"/>
      </w:r>
      <w:r w:rsidRPr="00CC6856">
        <w:rPr>
          <w:rFonts w:ascii="Calibri" w:hAnsi="Calibri" w:cs="Calibri"/>
        </w:rPr>
        <w:t>Robinson, 50.</w:t>
      </w:r>
      <w:r>
        <w:fldChar w:fldCharType="end"/>
      </w:r>
    </w:p>
  </w:footnote>
  <w:footnote w:id="35">
    <w:p w:rsidR="00763E5C" w:rsidRDefault="00763E5C">
      <w:pPr>
        <w:pStyle w:val="FootnoteText"/>
      </w:pPr>
      <w:r>
        <w:rPr>
          <w:rStyle w:val="FootnoteReference"/>
        </w:rPr>
        <w:footnoteRef/>
      </w:r>
      <w:r>
        <w:t xml:space="preserve"> </w:t>
      </w:r>
      <w:r>
        <w:fldChar w:fldCharType="begin"/>
      </w:r>
      <w:r>
        <w:instrText xml:space="preserve"> ADDIN ZOTERO_ITEM CSL_CITATION {"citationID":"7aRuVECK","properties":{"formattedCitation":"Harries, {\\i{}Law and Empire in Late Antiquity}, 40.","plainCitation":"Harries, Law and Empire in Late Antiquity, 40.","noteIndex":35},"citationItems":[{"id":122,"uris":["http://zotero.org/users/5328933/items/KQCX7P75"],"uri":["http://zotero.org/users/5328933/items/KQCX7P75"],"itemData":{"id":122,"type":"book","title":"Law and Empire in Late Antiquity","publisher":"University of Cambridge","publisher-place":"Cambridge","event-place":"Cambridge","author":[{"family":"Harries","given":"Jill"}],"issued":{"date-parts":[["1999"]]}},"locator":"40"}],"schema":"https://github.com/citation-style-language/schema/raw/master/csl-citation.json"} </w:instrText>
      </w:r>
      <w:r>
        <w:fldChar w:fldCharType="separate"/>
      </w:r>
      <w:r w:rsidRPr="00763E5C">
        <w:rPr>
          <w:rFonts w:ascii="Calibri" w:hAnsi="Calibri" w:cs="Calibri"/>
          <w:szCs w:val="24"/>
        </w:rPr>
        <w:t xml:space="preserve">Harries, </w:t>
      </w:r>
      <w:r w:rsidRPr="00763E5C">
        <w:rPr>
          <w:rFonts w:ascii="Calibri" w:hAnsi="Calibri" w:cs="Calibri"/>
          <w:i/>
          <w:iCs/>
          <w:szCs w:val="24"/>
        </w:rPr>
        <w:t>Law and Empire in Late Antiquity</w:t>
      </w:r>
      <w:r w:rsidRPr="00763E5C">
        <w:rPr>
          <w:rFonts w:ascii="Calibri" w:hAnsi="Calibri" w:cs="Calibri"/>
          <w:szCs w:val="24"/>
        </w:rPr>
        <w:t>, 40.</w:t>
      </w:r>
      <w:r>
        <w:fldChar w:fldCharType="end"/>
      </w:r>
    </w:p>
  </w:footnote>
  <w:footnote w:id="36">
    <w:p w:rsidR="00763E5C" w:rsidRDefault="00763E5C">
      <w:pPr>
        <w:pStyle w:val="FootnoteText"/>
      </w:pPr>
      <w:r>
        <w:rPr>
          <w:rStyle w:val="FootnoteReference"/>
        </w:rPr>
        <w:footnoteRef/>
      </w:r>
      <w:r>
        <w:t xml:space="preserve"> </w:t>
      </w:r>
      <w:r>
        <w:fldChar w:fldCharType="begin"/>
      </w:r>
      <w:r>
        <w:instrText xml:space="preserve"> ADDIN ZOTERO_ITEM CSL_CITATION {"citationID":"qbwkCBVV","properties":{"formattedCitation":"Harries, 40.","plainCitation":"Harries, 40.","noteIndex":36},"citationItems":[{"id":122,"uris":["http://zotero.org/users/5328933/items/KQCX7P75"],"uri":["http://zotero.org/users/5328933/items/KQCX7P75"],"itemData":{"id":122,"type":"book","title":"Law and Empire in Late Antiquity","publisher":"University of Cambridge","publisher-place":"Cambridge","event-place":"Cambridge","author":[{"family":"Harries","given":"Jill"}],"issued":{"date-parts":[["1999"]]}},"locator":"40"}],"schema":"https://github.com/citation-style-language/schema/raw/master/csl-citation.json"} </w:instrText>
      </w:r>
      <w:r>
        <w:fldChar w:fldCharType="separate"/>
      </w:r>
      <w:r w:rsidRPr="00763E5C">
        <w:rPr>
          <w:rFonts w:ascii="Calibri" w:hAnsi="Calibri" w:cs="Calibri"/>
        </w:rPr>
        <w:t>Harries, 40.</w:t>
      </w:r>
      <w:r>
        <w:fldChar w:fldCharType="end"/>
      </w:r>
    </w:p>
  </w:footnote>
  <w:footnote w:id="37">
    <w:p w:rsidR="00763E5C" w:rsidRDefault="00763E5C">
      <w:pPr>
        <w:pStyle w:val="FootnoteText"/>
      </w:pPr>
      <w:r>
        <w:rPr>
          <w:rStyle w:val="FootnoteReference"/>
        </w:rPr>
        <w:footnoteRef/>
      </w:r>
      <w:r>
        <w:t xml:space="preserve"> </w:t>
      </w:r>
      <w:r>
        <w:fldChar w:fldCharType="begin"/>
      </w:r>
      <w:r>
        <w:instrText xml:space="preserve"> ADDIN ZOTERO_ITEM CSL_CITATION {"citationID":"2NGUQuZk","properties":{"formattedCitation":"Harries, 151.","plainCitation":"Harries, 151.","noteIndex":37},"citationItems":[{"id":122,"uris":["http://zotero.org/users/5328933/items/KQCX7P75"],"uri":["http://zotero.org/users/5328933/items/KQCX7P75"],"itemData":{"id":122,"type":"book","title":"Law and Empire in Late Antiquity","publisher":"University of Cambridge","publisher-place":"Cambridge","event-place":"Cambridge","author":[{"family":"Harries","given":"Jill"}],"issued":{"date-parts":[["1999"]]}},"locator":"151"}],"schema":"https://github.com/citation-style-language/schema/raw/master/csl-citation.json"} </w:instrText>
      </w:r>
      <w:r>
        <w:fldChar w:fldCharType="separate"/>
      </w:r>
      <w:r w:rsidRPr="00763E5C">
        <w:rPr>
          <w:rFonts w:ascii="Calibri" w:hAnsi="Calibri" w:cs="Calibri"/>
        </w:rPr>
        <w:t>Harries, 151.</w:t>
      </w:r>
      <w:r>
        <w:fldChar w:fldCharType="end"/>
      </w:r>
    </w:p>
  </w:footnote>
  <w:footnote w:id="38">
    <w:p w:rsidR="00763E5C" w:rsidRDefault="00763E5C">
      <w:pPr>
        <w:pStyle w:val="FootnoteText"/>
      </w:pPr>
      <w:r>
        <w:rPr>
          <w:rStyle w:val="FootnoteReference"/>
        </w:rPr>
        <w:footnoteRef/>
      </w:r>
      <w:r>
        <w:t xml:space="preserve"> </w:t>
      </w:r>
      <w:r>
        <w:fldChar w:fldCharType="begin"/>
      </w:r>
      <w:r>
        <w:instrText xml:space="preserve"> ADDIN ZOTERO_ITEM CSL_CITATION {"citationID":"gcbQqdKu","properties":{"formattedCitation":"Ruth Mellinkoff, \\uc0\\u8220{}Riding Backwards: Theme of Humiliation and Symbol of Evil,\\uc0\\u8221{} {\\i{}Viator} 4 (1973): 154.","plainCitation":"Ruth Mellinkoff, “Riding Backwards: Theme of Humiliation and Symbol of Evil,” Viator 4 (1973): 154.","noteIndex":38},"citationItems":[{"id":146,"uris":["http://zotero.org/users/5328933/items/3BBRNT3Z"],"uri":["http://zotero.org/users/5328933/items/3BBRNT3Z"],"itemData":{"id":146,"type":"article-journal","title":"Riding Backwards: Theme of Humiliation and Symbol of Evil","container-title":"Viator","page":"153-176","volume":"4","author":[{"family":"Mellinkoff","given":"Ruth"}],"issued":{"date-parts":[["1973"]]}},"locator":"154"}],"schema":"https://github.com/citation-style-language/schema/raw/master/csl-citation.json"} </w:instrText>
      </w:r>
      <w:r>
        <w:fldChar w:fldCharType="separate"/>
      </w:r>
      <w:r w:rsidRPr="00763E5C">
        <w:rPr>
          <w:rFonts w:ascii="Calibri" w:hAnsi="Calibri" w:cs="Calibri"/>
          <w:szCs w:val="24"/>
        </w:rPr>
        <w:t xml:space="preserve">Ruth </w:t>
      </w:r>
      <w:proofErr w:type="spellStart"/>
      <w:r w:rsidRPr="00763E5C">
        <w:rPr>
          <w:rFonts w:ascii="Calibri" w:hAnsi="Calibri" w:cs="Calibri"/>
          <w:szCs w:val="24"/>
        </w:rPr>
        <w:t>Mellinkoff</w:t>
      </w:r>
      <w:proofErr w:type="spellEnd"/>
      <w:r w:rsidRPr="00763E5C">
        <w:rPr>
          <w:rFonts w:ascii="Calibri" w:hAnsi="Calibri" w:cs="Calibri"/>
          <w:szCs w:val="24"/>
        </w:rPr>
        <w:t xml:space="preserve">, “Riding Backwards: Theme of Humiliation and Symbol of Evil,” </w:t>
      </w:r>
      <w:r w:rsidRPr="00763E5C">
        <w:rPr>
          <w:rFonts w:ascii="Calibri" w:hAnsi="Calibri" w:cs="Calibri"/>
          <w:i/>
          <w:iCs/>
          <w:szCs w:val="24"/>
        </w:rPr>
        <w:t>Viator</w:t>
      </w:r>
      <w:r w:rsidRPr="00763E5C">
        <w:rPr>
          <w:rFonts w:ascii="Calibri" w:hAnsi="Calibri" w:cs="Calibri"/>
          <w:szCs w:val="24"/>
        </w:rPr>
        <w:t xml:space="preserve"> 4 (1973): 154.</w:t>
      </w:r>
      <w:r>
        <w:fldChar w:fldCharType="end"/>
      </w:r>
    </w:p>
  </w:footnote>
  <w:footnote w:id="39">
    <w:p w:rsidR="00763E5C" w:rsidRDefault="00763E5C">
      <w:pPr>
        <w:pStyle w:val="FootnoteText"/>
      </w:pPr>
      <w:r>
        <w:rPr>
          <w:rStyle w:val="FootnoteReference"/>
        </w:rPr>
        <w:footnoteRef/>
      </w:r>
      <w:r>
        <w:t xml:space="preserve"> </w:t>
      </w:r>
      <w:r>
        <w:fldChar w:fldCharType="begin"/>
      </w:r>
      <w:r>
        <w:instrText xml:space="preserve"> ADDIN ZOTERO_ITEM CSL_CITATION {"citationID":"njkRJhY9","properties":{"formattedCitation":"Mellinkoff, 165.","plainCitation":"Mellinkoff, 165.","noteIndex":39},"citationItems":[{"id":146,"uris":["http://zotero.org/users/5328933/items/3BBRNT3Z"],"uri":["http://zotero.org/users/5328933/items/3BBRNT3Z"],"itemData":{"id":146,"type":"article-journal","title":"Riding Backwards: Theme of Humiliation and Symbol of Evil","container-title":"Viator","page":"153-176","volume":"4","author":[{"family":"Mellinkoff","given":"Ruth"}],"issued":{"date-parts":[["1973"]]}},"locator":"165"}],"schema":"https://github.com/citation-style-language/schema/raw/master/csl-citation.json"} </w:instrText>
      </w:r>
      <w:r>
        <w:fldChar w:fldCharType="separate"/>
      </w:r>
      <w:proofErr w:type="spellStart"/>
      <w:r w:rsidRPr="00763E5C">
        <w:rPr>
          <w:rFonts w:ascii="Calibri" w:hAnsi="Calibri" w:cs="Calibri"/>
        </w:rPr>
        <w:t>Mellinkoff</w:t>
      </w:r>
      <w:proofErr w:type="spellEnd"/>
      <w:r w:rsidRPr="00763E5C">
        <w:rPr>
          <w:rFonts w:ascii="Calibri" w:hAnsi="Calibri" w:cs="Calibri"/>
        </w:rPr>
        <w:t>, 165.</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AB3" w:rsidRPr="00782AB3" w:rsidRDefault="00782AB3">
    <w:pPr>
      <w:pStyle w:val="Header"/>
      <w:rPr>
        <w:rFonts w:ascii="Times New Roman" w:hAnsi="Times New Roman" w:cs="Times New Roman"/>
      </w:rPr>
    </w:pPr>
    <w:r w:rsidRPr="00782AB3">
      <w:rPr>
        <w:rFonts w:ascii="Times New Roman" w:hAnsi="Times New Roman" w:cs="Times New Roman"/>
        <w:sz w:val="24"/>
        <w:szCs w:val="24"/>
      </w:rPr>
      <w:t>Shavauna Munster</w:t>
    </w:r>
  </w:p>
  <w:p w:rsidR="00782AB3" w:rsidRDefault="00782A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FE"/>
    <w:rsid w:val="000068F7"/>
    <w:rsid w:val="00092088"/>
    <w:rsid w:val="000C5347"/>
    <w:rsid w:val="001906C4"/>
    <w:rsid w:val="001B588C"/>
    <w:rsid w:val="002F3F0C"/>
    <w:rsid w:val="00301EE8"/>
    <w:rsid w:val="00340779"/>
    <w:rsid w:val="00397D78"/>
    <w:rsid w:val="00461F2E"/>
    <w:rsid w:val="004B6732"/>
    <w:rsid w:val="005414DE"/>
    <w:rsid w:val="00601AE3"/>
    <w:rsid w:val="006A747F"/>
    <w:rsid w:val="00763E5C"/>
    <w:rsid w:val="00782AB3"/>
    <w:rsid w:val="009B69FB"/>
    <w:rsid w:val="00A10246"/>
    <w:rsid w:val="00A215A9"/>
    <w:rsid w:val="00B0404B"/>
    <w:rsid w:val="00B26C2D"/>
    <w:rsid w:val="00B61DC4"/>
    <w:rsid w:val="00B67AFE"/>
    <w:rsid w:val="00C43A48"/>
    <w:rsid w:val="00C50745"/>
    <w:rsid w:val="00C637B0"/>
    <w:rsid w:val="00C66551"/>
    <w:rsid w:val="00C843C6"/>
    <w:rsid w:val="00CC6856"/>
    <w:rsid w:val="00CF47D8"/>
    <w:rsid w:val="00D1188D"/>
    <w:rsid w:val="00D422EE"/>
    <w:rsid w:val="00DC1B15"/>
    <w:rsid w:val="00F11568"/>
    <w:rsid w:val="00FA0C47"/>
    <w:rsid w:val="00FF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56FF"/>
  <w15:chartTrackingRefBased/>
  <w15:docId w15:val="{0E16810E-4082-4BA3-91A5-DBB2130E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7AFE"/>
  </w:style>
  <w:style w:type="paragraph" w:styleId="FootnoteText">
    <w:name w:val="footnote text"/>
    <w:basedOn w:val="Normal"/>
    <w:link w:val="FootnoteTextChar"/>
    <w:uiPriority w:val="99"/>
    <w:semiHidden/>
    <w:unhideWhenUsed/>
    <w:rsid w:val="00601AE3"/>
    <w:pPr>
      <w:spacing w:line="240" w:lineRule="auto"/>
    </w:pPr>
    <w:rPr>
      <w:sz w:val="20"/>
      <w:szCs w:val="20"/>
    </w:rPr>
  </w:style>
  <w:style w:type="character" w:customStyle="1" w:styleId="FootnoteTextChar">
    <w:name w:val="Footnote Text Char"/>
    <w:basedOn w:val="DefaultParagraphFont"/>
    <w:link w:val="FootnoteText"/>
    <w:uiPriority w:val="99"/>
    <w:semiHidden/>
    <w:rsid w:val="00601AE3"/>
    <w:rPr>
      <w:sz w:val="20"/>
      <w:szCs w:val="20"/>
    </w:rPr>
  </w:style>
  <w:style w:type="character" w:styleId="FootnoteReference">
    <w:name w:val="footnote reference"/>
    <w:basedOn w:val="DefaultParagraphFont"/>
    <w:uiPriority w:val="99"/>
    <w:semiHidden/>
    <w:unhideWhenUsed/>
    <w:rsid w:val="00601AE3"/>
    <w:rPr>
      <w:vertAlign w:val="superscript"/>
    </w:rPr>
  </w:style>
  <w:style w:type="paragraph" w:styleId="Header">
    <w:name w:val="header"/>
    <w:basedOn w:val="Normal"/>
    <w:link w:val="HeaderChar"/>
    <w:uiPriority w:val="99"/>
    <w:unhideWhenUsed/>
    <w:rsid w:val="00782AB3"/>
    <w:pPr>
      <w:tabs>
        <w:tab w:val="center" w:pos="4680"/>
        <w:tab w:val="right" w:pos="9360"/>
      </w:tabs>
      <w:spacing w:line="240" w:lineRule="auto"/>
    </w:pPr>
  </w:style>
  <w:style w:type="character" w:customStyle="1" w:styleId="HeaderChar">
    <w:name w:val="Header Char"/>
    <w:basedOn w:val="DefaultParagraphFont"/>
    <w:link w:val="Header"/>
    <w:uiPriority w:val="99"/>
    <w:rsid w:val="00782AB3"/>
  </w:style>
  <w:style w:type="paragraph" w:styleId="Footer">
    <w:name w:val="footer"/>
    <w:basedOn w:val="Normal"/>
    <w:link w:val="FooterChar"/>
    <w:uiPriority w:val="99"/>
    <w:unhideWhenUsed/>
    <w:rsid w:val="00782AB3"/>
    <w:pPr>
      <w:tabs>
        <w:tab w:val="center" w:pos="4680"/>
        <w:tab w:val="right" w:pos="9360"/>
      </w:tabs>
      <w:spacing w:line="240" w:lineRule="auto"/>
    </w:pPr>
  </w:style>
  <w:style w:type="character" w:customStyle="1" w:styleId="FooterChar">
    <w:name w:val="Footer Char"/>
    <w:basedOn w:val="DefaultParagraphFont"/>
    <w:link w:val="Footer"/>
    <w:uiPriority w:val="99"/>
    <w:rsid w:val="00782AB3"/>
  </w:style>
  <w:style w:type="paragraph" w:styleId="Bibliography">
    <w:name w:val="Bibliography"/>
    <w:basedOn w:val="Normal"/>
    <w:next w:val="Normal"/>
    <w:uiPriority w:val="37"/>
    <w:unhideWhenUsed/>
    <w:rsid w:val="00CF47D8"/>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73628">
      <w:bodyDiv w:val="1"/>
      <w:marLeft w:val="0"/>
      <w:marRight w:val="0"/>
      <w:marTop w:val="0"/>
      <w:marBottom w:val="0"/>
      <w:divBdr>
        <w:top w:val="none" w:sz="0" w:space="0" w:color="auto"/>
        <w:left w:val="none" w:sz="0" w:space="0" w:color="auto"/>
        <w:bottom w:val="none" w:sz="0" w:space="0" w:color="auto"/>
        <w:right w:val="none" w:sz="0" w:space="0" w:color="auto"/>
      </w:divBdr>
    </w:div>
    <w:div w:id="3945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shavauna Munster</dc:creator>
  <cp:keywords/>
  <dc:description/>
  <cp:lastModifiedBy>shavauna Munster</cp:lastModifiedBy>
  <cp:revision>2</cp:revision>
  <dcterms:created xsi:type="dcterms:W3CDTF">2019-08-06T21:51:00Z</dcterms:created>
  <dcterms:modified xsi:type="dcterms:W3CDTF">2019-08-06T21:51:00Z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zotero-version="5.0.70"&gt;&lt;session id="S0ckGAZd"/&gt;&lt;style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