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20"/>
        <w:gridCol w:w="2720"/>
        <w:gridCol w:w="2720"/>
        <w:gridCol w:w="2720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Базова редакція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Друга редакція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Третя редакція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Оплата здійснюється протягом 10 робочих днів.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Оплата здійснюється протягом 15 робочих днів.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Оплата здійснюється протягом 10 календарних днів.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Пеня становить 0.1% за кожний день прострочення.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Пеня становить 0.15% за кожний день прострочення.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Пеня становить 0.1% за кожний день прострочення.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Договір діє до 01.06.2026.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Договір діє до 05.06.2026.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Редакція Покупця.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Покупець зобов’язаний прийняти товар.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Покупця зобов’язано прийняти товар.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Покупець зобов’язаний прийняти товар.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Посилання на пункт 5.2 Договору.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Посилання на пункт 5.3 Договору.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Посилання на пункт 5.2 Договору.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Сума становить 1 000,00 грн.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>
              <w:rPr>
                <w:sz w:val="18"/>
              </w:rPr>
              <w:t>Сума становить 1 000,00 грн.</w:t>
            </w:r>
          </w:p>
        </w:tc>
      </w:tr>
    </w:tbl>
    <w:sectPr w:rsidR="00FC693F" w:rsidRPr="0006063C" w:rsidSect="00034616">
      <w:pgSz w:w="12240" w:h="15840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