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20"/>
        <w:gridCol w:w="2720"/>
        <w:gridCol w:w="2720"/>
        <w:gridCol w:w="2720"/>
      </w:tblGrid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№</w:t>
            </w:r>
          </w:p>
        </w:tc>
        <w:tc>
          <w:tcPr>
            <w:tcW w:type="dxa" w:w="3231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Базова редакція</w:t>
            </w:r>
          </w:p>
        </w:tc>
        <w:tc>
          <w:tcPr>
            <w:tcW w:type="dxa" w:w="3231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Друга редакція</w:t>
            </w:r>
          </w:p>
        </w:tc>
        <w:tc>
          <w:tcPr>
            <w:tcW w:type="dxa" w:w="3231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Третя редакція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>
              <w:rPr>
                <w:sz w:val="18"/>
              </w:rPr>
              <w:t xml:space="preserve">Оплата здійснюється протягом </w:t>
            </w:r>
            <w:r>
              <w:rPr>
                <w:sz w:val="18"/>
                <w:highlight w:val="yellow"/>
              </w:rPr>
              <w:t>10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highlight w:val="yellow"/>
              </w:rPr>
              <w:t>робочих</w:t>
            </w:r>
            <w:r>
              <w:rPr>
                <w:sz w:val="18"/>
              </w:rPr>
              <w:t xml:space="preserve"> днів.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>
              <w:rPr>
                <w:sz w:val="18"/>
              </w:rPr>
              <w:t xml:space="preserve">Оплата здійснюється протягом </w:t>
            </w:r>
            <w:r>
              <w:rPr>
                <w:sz w:val="18"/>
                <w:highlight w:val="yellow"/>
              </w:rPr>
              <w:t>15</w:t>
            </w:r>
            <w:r>
              <w:rPr>
                <w:sz w:val="18"/>
              </w:rPr>
              <w:t xml:space="preserve"> робочих днів.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>
              <w:rPr>
                <w:sz w:val="18"/>
              </w:rPr>
              <w:t xml:space="preserve">Оплата здійснюється протягом 10 </w:t>
            </w:r>
            <w:r>
              <w:rPr>
                <w:sz w:val="18"/>
                <w:highlight w:val="yellow"/>
              </w:rPr>
              <w:t>календарних</w:t>
            </w:r>
            <w:r>
              <w:rPr>
                <w:sz w:val="18"/>
              </w:rPr>
              <w:t xml:space="preserve"> днів.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>
              <w:rPr>
                <w:sz w:val="18"/>
              </w:rPr>
              <w:t xml:space="preserve">Пеня становить </w:t>
            </w:r>
            <w:r>
              <w:rPr>
                <w:sz w:val="18"/>
                <w:highlight w:val="yellow"/>
              </w:rPr>
              <w:t>0.1%</w:t>
            </w:r>
            <w:r>
              <w:rPr>
                <w:sz w:val="18"/>
              </w:rPr>
              <w:t xml:space="preserve"> за кожний день прострочення.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>
              <w:rPr>
                <w:sz w:val="18"/>
              </w:rPr>
              <w:t xml:space="preserve">Пеня становить </w:t>
            </w:r>
            <w:r>
              <w:rPr>
                <w:sz w:val="18"/>
                <w:highlight w:val="yellow"/>
              </w:rPr>
              <w:t>0.15%</w:t>
            </w:r>
            <w:r>
              <w:rPr>
                <w:sz w:val="18"/>
              </w:rPr>
              <w:t xml:space="preserve"> за кожний день прострочення.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>
              <w:rPr>
                <w:sz w:val="18"/>
              </w:rPr>
              <w:t>Пеня становить 0.1% за кожний день прострочення.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>
              <w:rPr>
                <w:sz w:val="18"/>
              </w:rPr>
              <w:t xml:space="preserve">Договір діє до </w:t>
            </w:r>
            <w:r>
              <w:rPr>
                <w:sz w:val="18"/>
                <w:highlight w:val="yellow"/>
              </w:rPr>
              <w:t>01.06.2026</w:t>
            </w:r>
            <w:r>
              <w:rPr>
                <w:sz w:val="18"/>
              </w:rPr>
              <w:t>.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>
              <w:rPr>
                <w:sz w:val="18"/>
              </w:rPr>
              <w:t xml:space="preserve">Договір діє до </w:t>
            </w:r>
            <w:r>
              <w:rPr>
                <w:sz w:val="18"/>
                <w:highlight w:val="yellow"/>
              </w:rPr>
              <w:t>05.06.2026</w:t>
            </w:r>
            <w:r>
              <w:rPr>
                <w:sz w:val="18"/>
              </w:rPr>
              <w:t>.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>
              <w:rPr>
                <w:sz w:val="18"/>
              </w:rPr>
              <w:t>Редакція Покупця.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>
              <w:rPr>
                <w:sz w:val="18"/>
                <w:highlight w:val="yellow"/>
              </w:rPr>
              <w:t>Покупець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highlight w:val="yellow"/>
              </w:rPr>
              <w:t>зобов’язаний</w:t>
            </w:r>
            <w:r>
              <w:rPr>
                <w:sz w:val="18"/>
              </w:rPr>
              <w:t xml:space="preserve"> прийняти товар.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>
              <w:rPr>
                <w:sz w:val="18"/>
                <w:highlight w:val="yellow"/>
              </w:rPr>
              <w:t>Покупця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highlight w:val="yellow"/>
              </w:rPr>
              <w:t>зобов’язано</w:t>
            </w:r>
            <w:r>
              <w:rPr>
                <w:sz w:val="18"/>
              </w:rPr>
              <w:t xml:space="preserve"> прийняти товар.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>
              <w:rPr>
                <w:sz w:val="18"/>
              </w:rPr>
              <w:t>Покупець зобов’язаний прийняти товар.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>
              <w:rPr>
                <w:sz w:val="18"/>
              </w:rPr>
              <w:t xml:space="preserve">Посилання на пункт </w:t>
            </w:r>
            <w:r>
              <w:rPr>
                <w:sz w:val="18"/>
                <w:highlight w:val="yellow"/>
              </w:rPr>
              <w:t>5.2</w:t>
            </w:r>
            <w:r>
              <w:rPr>
                <w:sz w:val="18"/>
              </w:rPr>
              <w:t xml:space="preserve"> Договору.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>
              <w:rPr>
                <w:sz w:val="18"/>
              </w:rPr>
              <w:t xml:space="preserve">Посилання на пункт </w:t>
            </w:r>
            <w:r>
              <w:rPr>
                <w:sz w:val="18"/>
                <w:highlight w:val="yellow"/>
              </w:rPr>
              <w:t>5.3</w:t>
            </w:r>
            <w:r>
              <w:rPr>
                <w:sz w:val="18"/>
              </w:rPr>
              <w:t xml:space="preserve"> Договору.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>
              <w:rPr>
                <w:sz w:val="18"/>
              </w:rPr>
              <w:t>Посилання на пункт 5.2 Договору.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>
              <w:rPr>
                <w:sz w:val="18"/>
                <w:highlight w:val="yellow"/>
              </w:rPr>
              <w:t>Сума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highlight w:val="yellow"/>
              </w:rPr>
              <w:t>становить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highlight w:val="yellow"/>
              </w:rPr>
              <w:t>1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highlight w:val="yellow"/>
              </w:rPr>
              <w:t>000,00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highlight w:val="yellow"/>
              </w:rPr>
              <w:t>грн.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>
              <w:rPr>
                <w:sz w:val="18"/>
              </w:rPr>
              <w:t>Сума становить 1 000,00 грн.</w:t>
            </w:r>
          </w:p>
        </w:tc>
      </w:tr>
    </w:tbl>
    <w:sectPr w:rsidR="00FC693F" w:rsidRPr="0006063C" w:rsidSect="00034616">
      <w:pgSz w:w="12240" w:h="15840"/>
      <w:pgMar w:top="850" w:right="680" w:bottom="85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