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bin" ContentType="application/vnd.openxmlformats-officedocument.wordprocessingml.printerSettings"/>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4AED" w:rsidRPr="00804AED" w:rsidRDefault="00804AED" w:rsidP="00804A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Cambria" w:hAnsi="Cambria" w:cs="Cambria"/>
          <w:b/>
          <w:sz w:val="32"/>
        </w:rPr>
      </w:pPr>
      <w:r w:rsidRPr="00804AED">
        <w:rPr>
          <w:rFonts w:ascii="Cambria" w:hAnsi="Cambria" w:cs="Cambria"/>
          <w:b/>
          <w:sz w:val="32"/>
        </w:rPr>
        <w:t>The Taxonomic Distinctness of Benthic Functional Diversity</w:t>
      </w:r>
    </w:p>
    <w:p w:rsidR="00804AED" w:rsidRDefault="00804AED"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p>
    <w:p w:rsidR="007210EF" w:rsidRDefault="007210EF"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r>
        <w:rPr>
          <w:rFonts w:ascii="Cambria" w:hAnsi="Cambria" w:cs="Cambria"/>
        </w:rPr>
        <w:t>Explore whether a is that as more traits are included in analysis, functional diversity approaches taxonomic diversity</w:t>
      </w:r>
    </w:p>
    <w:p w:rsidR="007210EF" w:rsidRDefault="007210EF"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p>
    <w:p w:rsidR="007210EF" w:rsidRPr="007210EF" w:rsidRDefault="007210EF"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b/>
        </w:rPr>
      </w:pPr>
      <w:r w:rsidRPr="007210EF">
        <w:rPr>
          <w:rFonts w:ascii="Cambria" w:hAnsi="Cambria" w:cs="Cambria"/>
          <w:b/>
        </w:rPr>
        <w:t>METHODS</w:t>
      </w:r>
    </w:p>
    <w:p w:rsidR="007210EF" w:rsidRDefault="007210EF"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p>
    <w:p w:rsidR="007210EF" w:rsidRPr="007210EF" w:rsidRDefault="007210EF"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i/>
        </w:rPr>
      </w:pPr>
      <w:r w:rsidRPr="007210EF">
        <w:rPr>
          <w:rFonts w:ascii="Cambria" w:hAnsi="Cambria" w:cs="Cambria"/>
          <w:i/>
        </w:rPr>
        <w:t>Data</w:t>
      </w:r>
    </w:p>
    <w:p w:rsidR="00817685" w:rsidRPr="007210EF" w:rsidRDefault="00817685"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i/>
        </w:rPr>
      </w:pPr>
      <w:r w:rsidRPr="007210EF">
        <w:rPr>
          <w:rFonts w:ascii="Cambria" w:hAnsi="Cambria" w:cs="Cambria"/>
          <w:i/>
        </w:rPr>
        <w:t>Functional Trait data</w:t>
      </w:r>
    </w:p>
    <w:p w:rsidR="00817685" w:rsidRDefault="00817685" w:rsidP="002D62C0">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r>
        <w:rPr>
          <w:rFonts w:ascii="Cambria" w:hAnsi="Cambria" w:cs="Cambria"/>
        </w:rPr>
        <w:t>Data from Tyler &amp; Webb compiled</w:t>
      </w:r>
    </w:p>
    <w:p w:rsidR="00776C56" w:rsidRDefault="00817685" w:rsidP="002D62C0">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r>
        <w:rPr>
          <w:rFonts w:ascii="Cambria" w:hAnsi="Cambria" w:cs="Cambria"/>
        </w:rPr>
        <w:t>Data selection</w:t>
      </w:r>
    </w:p>
    <w:p w:rsidR="00817685" w:rsidRDefault="00776C56" w:rsidP="002D62C0">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r>
        <w:rPr>
          <w:rFonts w:ascii="Cambria" w:hAnsi="Cambria" w:cs="Cambria"/>
        </w:rPr>
        <w:t>The final dataset was limited to species for which information for at least four traits was available and consisted of 202 species with data across a maximum 13 traits (table 1).</w:t>
      </w:r>
    </w:p>
    <w:p w:rsidR="00817685" w:rsidRDefault="00817685"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r>
        <w:rPr>
          <w:rFonts w:ascii="Helvetica" w:hAnsi="Helvetica" w:cs="Helvetica"/>
        </w:rPr>
        <w:t xml:space="preserve"> </w:t>
      </w:r>
    </w:p>
    <w:p w:rsidR="00817685" w:rsidRPr="007210EF" w:rsidRDefault="00817685"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i/>
        </w:rPr>
      </w:pPr>
      <w:r w:rsidRPr="007210EF">
        <w:rPr>
          <w:rFonts w:ascii="Cambria" w:hAnsi="Cambria" w:cs="Cambria"/>
          <w:i/>
        </w:rPr>
        <w:t>Taxonomic data</w:t>
      </w:r>
    </w:p>
    <w:p w:rsidR="00817685" w:rsidRDefault="00817685" w:rsidP="002D62C0">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r>
        <w:rPr>
          <w:rFonts w:ascii="Cambria" w:hAnsi="Cambria" w:cs="Cambria"/>
        </w:rPr>
        <w:t>Data on the taxon</w:t>
      </w:r>
      <w:r w:rsidR="00776C56">
        <w:rPr>
          <w:rFonts w:ascii="Cambria" w:hAnsi="Cambria" w:cs="Cambria"/>
        </w:rPr>
        <w:t xml:space="preserve">omic classification of species </w:t>
      </w:r>
      <w:r>
        <w:rPr>
          <w:rFonts w:ascii="Cambria" w:hAnsi="Cambria" w:cs="Cambria"/>
        </w:rPr>
        <w:t>were sourced from WoRMS, some missing data was supplemented from the biotic database</w:t>
      </w:r>
      <w:r w:rsidR="00AA4B5B">
        <w:rPr>
          <w:rFonts w:ascii="Cambria" w:hAnsi="Cambria" w:cs="Cambria"/>
        </w:rPr>
        <w:t>.</w:t>
      </w:r>
    </w:p>
    <w:p w:rsidR="007210EF" w:rsidRDefault="007210EF"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p>
    <w:p w:rsidR="00817685" w:rsidRDefault="00817685"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p>
    <w:p w:rsidR="002D62C0" w:rsidRDefault="00817685"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b/>
          <w:bCs/>
          <w:i/>
          <w:iCs/>
        </w:rPr>
      </w:pPr>
      <w:r>
        <w:rPr>
          <w:rFonts w:ascii="Cambria" w:hAnsi="Cambria" w:cs="Cambria"/>
          <w:b/>
          <w:bCs/>
          <w:i/>
          <w:iCs/>
        </w:rPr>
        <w:t>Data Analysis</w:t>
      </w:r>
    </w:p>
    <w:p w:rsidR="002D62C0" w:rsidRDefault="002D62C0"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b/>
          <w:bCs/>
          <w:iCs/>
        </w:rPr>
      </w:pPr>
    </w:p>
    <w:p w:rsidR="00817685" w:rsidRDefault="00776C56" w:rsidP="00776C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r>
        <w:rPr>
          <w:rFonts w:ascii="Cambria" w:hAnsi="Cambria" w:cs="Cambria"/>
          <w:bCs/>
          <w:iCs/>
        </w:rPr>
        <w:t xml:space="preserve">Firstly a </w:t>
      </w:r>
      <w:r w:rsidR="002D62C0">
        <w:rPr>
          <w:rFonts w:ascii="Cambria" w:hAnsi="Cambria" w:cs="Cambria"/>
          <w:bCs/>
          <w:iCs/>
        </w:rPr>
        <w:t>fun</w:t>
      </w:r>
      <w:r>
        <w:rPr>
          <w:rFonts w:ascii="Cambria" w:hAnsi="Cambria" w:cs="Cambria"/>
          <w:bCs/>
          <w:iCs/>
        </w:rPr>
        <w:t>ctional dendrogram was produced. We selected the dendrogram</w:t>
      </w:r>
      <w:r w:rsidR="00817685">
        <w:rPr>
          <w:rFonts w:ascii="Cambria" w:hAnsi="Cambria" w:cs="Cambria"/>
        </w:rPr>
        <w:t xml:space="preserve"> method </w:t>
      </w:r>
      <w:r>
        <w:rPr>
          <w:rFonts w:ascii="Cambria" w:hAnsi="Cambria" w:cs="Cambria"/>
        </w:rPr>
        <w:t>of representing functional diversity</w:t>
      </w:r>
      <w:r w:rsidR="00817685">
        <w:rPr>
          <w:rFonts w:ascii="Cambria" w:hAnsi="Cambria" w:cs="Cambria"/>
        </w:rPr>
        <w:t xml:space="preserve"> </w:t>
      </w:r>
      <w:r>
        <w:rPr>
          <w:rFonts w:ascii="Cambria" w:hAnsi="Cambria" w:cs="Cambria"/>
        </w:rPr>
        <w:t>(</w:t>
      </w:r>
      <w:r w:rsidR="00817685">
        <w:rPr>
          <w:rFonts w:ascii="Cambria" w:hAnsi="Cambria" w:cs="Cambria"/>
        </w:rPr>
        <w:t>Petchey &amp; Gaston (Petchey:2002ug}, {Petchey:2006ck}</w:t>
      </w:r>
      <w:r>
        <w:rPr>
          <w:rFonts w:ascii="Cambria" w:hAnsi="Cambria" w:cs="Cambria"/>
        </w:rPr>
        <w:t>) because it represents</w:t>
      </w:r>
      <w:r w:rsidR="00817685">
        <w:rPr>
          <w:rFonts w:ascii="Cambria" w:hAnsi="Cambria" w:cs="Cambria"/>
        </w:rPr>
        <w:t xml:space="preserve"> a hierarchical partitioning of functional space. As such it shares both conceptual and computational parallels with taxonomic classification and taxonomic measures of diversity {Petchey:2006ck}</w:t>
      </w:r>
      <w:r w:rsidR="00AA4B5B">
        <w:rPr>
          <w:rFonts w:ascii="Cambria" w:hAnsi="Cambria" w:cs="Cambria"/>
        </w:rPr>
        <w:t xml:space="preserve"> </w:t>
      </w:r>
      <w:r w:rsidR="00AA4B5B">
        <w:rPr>
          <w:rFonts w:ascii="Cambria" w:hAnsi="Cambria" w:cs="Cambria"/>
        </w:rPr>
        <w:fldChar w:fldCharType="begin"/>
      </w:r>
      <w:r w:rsidR="00AA4B5B">
        <w:rPr>
          <w:rFonts w:ascii="Cambria" w:hAnsi="Cambria" w:cs="Cambria"/>
        </w:rPr>
        <w:instrText xml:space="preserve"> ADDIN PAPERS2_CITATIONS &lt;citation&gt;&lt;uuid&gt;67C74CFC-2F11-48EF-9B6E-A640E1464294&lt;/uuid&gt;&lt;priority&gt;0&lt;/priority&gt;&lt;publications&gt;&lt;publication&gt;&lt;volume&gt;35&lt;/volume&gt;&lt;publication_date&gt;99199800001200000000200000&lt;/publication_date&gt;&lt;number&gt;4&lt;/number&gt;&lt;startpage&gt;523&lt;/startpage&gt;&lt;title&gt;A taxonomic distinctness index and its statistical properties&lt;/title&gt;&lt;uuid&gt;A8936431-5E49-4C6E-8516-5C1F4D238995&lt;/uuid&gt;&lt;subtype&gt;400&lt;/subtype&gt;&lt;publisher&gt;Wiley Online Library&lt;/publisher&gt;&lt;type&gt;400&lt;/type&gt;&lt;endpage&gt;531&lt;/endpage&gt;&lt;url&gt;http://onlinelibrary.wiley.com/doi/10.1046/j.1365-2664.1998.3540523.x/full&lt;/url&gt;&lt;bundle&gt;&lt;publication&gt;&lt;url&gt;http://onlinelibrary.wiley.com&lt;/url&gt;&lt;title&gt;Journal Of Applied Ecology&lt;/title&gt;&lt;type&gt;-100&lt;/type&gt;&lt;subtype&gt;-100&lt;/subtype&gt;&lt;uuid&gt;2E97D0C7-D1C9-4957-980A-2501E74EB2DC&lt;/uuid&gt;&lt;/publication&gt;&lt;/bundle&gt;&lt;authors&gt;&lt;author&gt;&lt;firstName&gt;K&lt;/firstName&gt;&lt;middleNames&gt;Robert&lt;/middleNames&gt;&lt;lastName&gt;Clarke&lt;/lastName&gt;&lt;/author&gt;&lt;author&gt;&lt;firstName&gt;Richard&lt;/firstName&gt;&lt;middleNames&gt;M&lt;/middleNames&gt;&lt;lastName&gt;Warwick&lt;/lastName&gt;&lt;/author&gt;&lt;/authors&gt;&lt;/publication&gt;&lt;/publications&gt;&lt;cites&gt;&lt;/cites&gt;&lt;/citation&gt;</w:instrText>
      </w:r>
      <w:r w:rsidR="00AA4B5B">
        <w:rPr>
          <w:rFonts w:ascii="Cambria" w:hAnsi="Cambria" w:cs="Cambria"/>
        </w:rPr>
        <w:fldChar w:fldCharType="separate"/>
      </w:r>
      <w:r w:rsidR="00AA4B5B">
        <w:rPr>
          <w:rFonts w:ascii="Cambria" w:hAnsi="Cambria" w:cs="Cambria"/>
        </w:rPr>
        <w:t>{Clarke:1998um}</w:t>
      </w:r>
      <w:r w:rsidR="00AA4B5B">
        <w:rPr>
          <w:rFonts w:ascii="Cambria" w:hAnsi="Cambria" w:cs="Cambria"/>
        </w:rPr>
        <w:fldChar w:fldCharType="end"/>
      </w:r>
      <w:r w:rsidR="00AA4B5B">
        <w:rPr>
          <w:rFonts w:ascii="Cambria" w:hAnsi="Cambria" w:cs="Cambria"/>
        </w:rPr>
        <w:t>.</w:t>
      </w:r>
    </w:p>
    <w:p w:rsidR="00817685" w:rsidRDefault="00817685"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p>
    <w:p w:rsidR="00C60742" w:rsidRDefault="00817685"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r>
        <w:rPr>
          <w:rFonts w:ascii="Cambria" w:hAnsi="Cambria" w:cs="Cambria"/>
        </w:rPr>
        <w:t xml:space="preserve">Briefly, a distance matrix of species dissimilarities is computed across all selected functional traits. </w:t>
      </w:r>
      <w:r w:rsidR="00776C56">
        <w:rPr>
          <w:rFonts w:ascii="Cambria" w:hAnsi="Cambria" w:cs="Cambria"/>
        </w:rPr>
        <w:t>Prior to analysis c</w:t>
      </w:r>
      <w:r>
        <w:rPr>
          <w:rFonts w:ascii="Cambria" w:hAnsi="Cambria" w:cs="Cambria"/>
        </w:rPr>
        <w:t>ategorical variables were coded as a series of binomial variables, one category for each modality</w:t>
      </w:r>
      <w:r w:rsidR="00776C56">
        <w:rPr>
          <w:rFonts w:ascii="Cambria" w:hAnsi="Cambria" w:cs="Cambria"/>
        </w:rPr>
        <w:t xml:space="preserve"> while continuous data were standardised to have a mean of zero and SD of 1. </w:t>
      </w:r>
      <w:r>
        <w:rPr>
          <w:rFonts w:ascii="Cambria" w:hAnsi="Cambria" w:cs="Cambria"/>
        </w:rPr>
        <w:t>As a result of the mixed nature of trait data (mixture of binomial and continuous variables) the gower distance between each species was calculated ({Petchey:2007dw}{Podani:2006fo})</w:t>
      </w:r>
      <w:r w:rsidR="00776C56">
        <w:rPr>
          <w:rFonts w:ascii="Cambria" w:hAnsi="Cambria" w:cs="Cambria"/>
        </w:rPr>
        <w:t>.</w:t>
      </w:r>
      <w:r>
        <w:rPr>
          <w:rFonts w:ascii="Cambria" w:hAnsi="Cambria" w:cs="Cambria"/>
        </w:rPr>
        <w:t xml:space="preserve"> </w:t>
      </w:r>
      <w:r w:rsidR="00776C56">
        <w:rPr>
          <w:rFonts w:ascii="Cambria" w:hAnsi="Cambria" w:cs="Cambria"/>
        </w:rPr>
        <w:t>B</w:t>
      </w:r>
      <w:r>
        <w:rPr>
          <w:rFonts w:ascii="Cambria" w:hAnsi="Cambria" w:cs="Cambria"/>
        </w:rPr>
        <w:t>inomial variables were treated as asymmetric, ie more importance was placed on species sharing the presence of a trait than sharing the absence of a trait.</w:t>
      </w:r>
    </w:p>
    <w:p w:rsidR="00817685" w:rsidRDefault="00817685"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p>
    <w:p w:rsidR="006315E6" w:rsidRDefault="00817685"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r>
        <w:rPr>
          <w:rFonts w:ascii="Cambria" w:hAnsi="Cambria" w:cs="Cambria"/>
        </w:rPr>
        <w:t xml:space="preserve">A clustering algorithm (UPGMA) was then used to produce </w:t>
      </w:r>
      <w:r w:rsidR="00776C56">
        <w:rPr>
          <w:rFonts w:ascii="Cambria" w:hAnsi="Cambria" w:cs="Cambria"/>
        </w:rPr>
        <w:t>the functional</w:t>
      </w:r>
      <w:r>
        <w:rPr>
          <w:rFonts w:ascii="Cambria" w:hAnsi="Cambria" w:cs="Cambria"/>
        </w:rPr>
        <w:t xml:space="preserve"> dendrogram</w:t>
      </w:r>
      <w:r w:rsidR="00776C56">
        <w:rPr>
          <w:rFonts w:ascii="Cambria" w:hAnsi="Cambria" w:cs="Cambria"/>
        </w:rPr>
        <w:t>.</w:t>
      </w:r>
      <w:r w:rsidR="00D90DE9">
        <w:rPr>
          <w:rFonts w:ascii="Cambria" w:hAnsi="Cambria" w:cs="Cambria"/>
        </w:rPr>
        <w:t xml:space="preserve"> </w:t>
      </w:r>
      <w:r>
        <w:rPr>
          <w:rFonts w:ascii="Cambria" w:hAnsi="Cambria" w:cs="Cambria"/>
        </w:rPr>
        <w:t xml:space="preserve">The species identity of members of each </w:t>
      </w:r>
      <w:r w:rsidR="006315E6">
        <w:rPr>
          <w:rFonts w:ascii="Cambria" w:hAnsi="Cambria" w:cs="Cambria"/>
        </w:rPr>
        <w:t>node</w:t>
      </w:r>
      <w:r w:rsidR="00804AED">
        <w:rPr>
          <w:rFonts w:ascii="Cambria" w:hAnsi="Cambria" w:cs="Cambria"/>
        </w:rPr>
        <w:t xml:space="preserve"> were determined and</w:t>
      </w:r>
      <w:r w:rsidR="005A1A8A">
        <w:rPr>
          <w:rFonts w:ascii="Cambria" w:hAnsi="Cambria" w:cs="Cambria"/>
        </w:rPr>
        <w:t xml:space="preserve"> the taxonomic distinctness </w:t>
      </w:r>
      <w:r w:rsidR="00FD147E">
        <w:rPr>
          <w:rFonts w:ascii="Cambria" w:hAnsi="Cambria" w:cs="Cambria"/>
        </w:rPr>
        <w:t>(</w:t>
      </w:r>
      <w:r w:rsidR="005A1A8A">
        <w:rPr>
          <w:rFonts w:ascii="Cambria" w:hAnsi="Cambria" w:cs="Cambria"/>
        </w:rPr>
        <w:t>Δ</w:t>
      </w:r>
      <w:r w:rsidR="005A1A8A">
        <w:rPr>
          <w:rFonts w:ascii="Cambria" w:hAnsi="Cambria" w:cs="Cambria"/>
          <w:vertAlign w:val="subscript"/>
        </w:rPr>
        <w:t>f</w:t>
      </w:r>
      <w:r w:rsidR="005A1A8A" w:rsidRPr="002D62C0">
        <w:rPr>
          <w:rFonts w:ascii="Cambria" w:hAnsi="Cambria" w:cs="Cambria"/>
          <w:vertAlign w:val="superscript"/>
        </w:rPr>
        <w:t>+</w:t>
      </w:r>
      <w:r w:rsidR="005A1A8A">
        <w:rPr>
          <w:rFonts w:ascii="Cambria" w:hAnsi="Cambria" w:cs="Cambria"/>
        </w:rPr>
        <w:t xml:space="preserve">) </w:t>
      </w:r>
      <w:r w:rsidR="00804AED">
        <w:rPr>
          <w:rFonts w:ascii="Cambria" w:hAnsi="Cambria" w:cs="Cambria"/>
        </w:rPr>
        <w:t xml:space="preserve">of the node </w:t>
      </w:r>
      <w:r w:rsidR="005A1A8A">
        <w:rPr>
          <w:rFonts w:ascii="Cambria" w:hAnsi="Cambria" w:cs="Cambria"/>
        </w:rPr>
        <w:t>calculated.</w:t>
      </w:r>
      <w:r w:rsidR="00804AED">
        <w:rPr>
          <w:rFonts w:ascii="Cambria" w:hAnsi="Cambria" w:cs="Cambria"/>
        </w:rPr>
        <w:t xml:space="preserve"> (FIGURE?)</w:t>
      </w:r>
    </w:p>
    <w:p w:rsidR="006315E6" w:rsidRDefault="006315E6"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p>
    <w:p w:rsidR="00A45463" w:rsidRDefault="006315E6"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r>
        <w:rPr>
          <w:rFonts w:ascii="Cambria" w:hAnsi="Cambria" w:cs="Cambria"/>
        </w:rPr>
        <w:t>Taxonomic distinctness</w:t>
      </w:r>
      <w:r w:rsidR="00D90DE9">
        <w:rPr>
          <w:rFonts w:ascii="Cambria" w:hAnsi="Cambria" w:cs="Cambria"/>
        </w:rPr>
        <w:t xml:space="preserve">, detailed in </w:t>
      </w:r>
      <w:r w:rsidR="00D90DE9">
        <w:rPr>
          <w:rFonts w:ascii="Cambria" w:hAnsi="Cambria" w:cs="Cambria"/>
        </w:rPr>
        <w:fldChar w:fldCharType="begin"/>
      </w:r>
      <w:r w:rsidR="00D90DE9">
        <w:rPr>
          <w:rFonts w:ascii="Cambria" w:hAnsi="Cambria" w:cs="Cambria"/>
        </w:rPr>
        <w:instrText xml:space="preserve"> ADDIN PAPERS2_CITATIONS &lt;citation&gt;&lt;uuid&gt;6B071FB0-7BFC-4093-AF89-179012EF97E7&lt;/uuid&gt;&lt;priority&gt;0&lt;/priority&gt;&lt;publications&gt;&lt;publication&gt;&lt;volume&gt;35&lt;/volume&gt;&lt;publication_date&gt;99199800001200000000200000&lt;/publication_date&gt;&lt;number&gt;4&lt;/number&gt;&lt;startpage&gt;523&lt;/startpage&gt;&lt;title&gt;A taxonomic distinctness index and its statistical properties&lt;/title&gt;&lt;uuid&gt;A8936431-5E49-4C6E-8516-5C1F4D238995&lt;/uuid&gt;&lt;subtype&gt;400&lt;/subtype&gt;&lt;publisher&gt;Wiley Online Library&lt;/publisher&gt;&lt;type&gt;400&lt;/type&gt;&lt;endpage&gt;531&lt;/endpage&gt;&lt;url&gt;http://onlinelibrary.wiley.com/doi/10.1046/j.1365-2664.1998.3540523.x/full&lt;/url&gt;&lt;bundle&gt;&lt;publication&gt;&lt;url&gt;http://onlinelibrary.wiley.com&lt;/url&gt;&lt;title&gt;Journal Of Applied Ecology&lt;/title&gt;&lt;type&gt;-100&lt;/type&gt;&lt;subtype&gt;-100&lt;/subtype&gt;&lt;uuid&gt;2E97D0C7-D1C9-4957-980A-2501E74EB2DC&lt;/uuid&gt;&lt;/publication&gt;&lt;/bundle&gt;&lt;authors&gt;&lt;author&gt;&lt;firstName&gt;K&lt;/firstName&gt;&lt;middleNames&gt;Robert&lt;/middleNames&gt;&lt;lastName&gt;Clarke&lt;/lastName&gt;&lt;/author&gt;&lt;author&gt;&lt;firstName&gt;Richard&lt;/firstName&gt;&lt;middleNames&gt;M&lt;/middleNames&gt;&lt;lastName&gt;Warwick&lt;/lastName&gt;&lt;/author&gt;&lt;/authors&gt;&lt;/publication&gt;&lt;/publications&gt;&lt;cites&gt;&lt;/cites&gt;&lt;/citation&gt;</w:instrText>
      </w:r>
      <w:r w:rsidR="00D90DE9">
        <w:rPr>
          <w:rFonts w:ascii="Cambria" w:hAnsi="Cambria" w:cs="Cambria"/>
        </w:rPr>
        <w:fldChar w:fldCharType="separate"/>
      </w:r>
      <w:r w:rsidR="00D90DE9">
        <w:rPr>
          <w:rFonts w:ascii="Cambria" w:hAnsi="Cambria" w:cs="Cambria"/>
        </w:rPr>
        <w:t>{Clarke:1998um}</w:t>
      </w:r>
      <w:r w:rsidR="00D90DE9">
        <w:rPr>
          <w:rFonts w:ascii="Cambria" w:hAnsi="Cambria" w:cs="Cambria"/>
        </w:rPr>
        <w:fldChar w:fldCharType="end"/>
      </w:r>
      <w:r>
        <w:rPr>
          <w:rFonts w:ascii="Cambria" w:hAnsi="Cambria" w:cs="Cambria"/>
        </w:rPr>
        <w:t xml:space="preserve"> is calculated in a similar way as functional diversity in that taxonomic distance is first calculated between species in an assemblage and then a taxonomic dendrogram is produced. Taxonomic dist</w:t>
      </w:r>
      <w:r w:rsidR="0068589B">
        <w:rPr>
          <w:rFonts w:ascii="Cambria" w:hAnsi="Cambria" w:cs="Cambria"/>
        </w:rPr>
        <w:t>i</w:t>
      </w:r>
      <w:r>
        <w:rPr>
          <w:rFonts w:ascii="Cambria" w:hAnsi="Cambria" w:cs="Cambria"/>
        </w:rPr>
        <w:t>nctness</w:t>
      </w:r>
      <w:r w:rsidR="00D90DE9">
        <w:rPr>
          <w:rFonts w:ascii="Cambria" w:hAnsi="Cambria" w:cs="Cambria"/>
        </w:rPr>
        <w:t xml:space="preserve"> Δ</w:t>
      </w:r>
      <w:r w:rsidR="00D90DE9" w:rsidRPr="002D62C0">
        <w:rPr>
          <w:rFonts w:ascii="Cambria" w:hAnsi="Cambria" w:cs="Cambria"/>
          <w:vertAlign w:val="superscript"/>
        </w:rPr>
        <w:t>+</w:t>
      </w:r>
      <w:r w:rsidR="00D90DE9">
        <w:rPr>
          <w:rFonts w:ascii="Cambria" w:hAnsi="Cambria" w:cs="Cambria"/>
        </w:rPr>
        <w:t xml:space="preserve">, the special case in which only presence of species is used, </w:t>
      </w:r>
      <w:r>
        <w:rPr>
          <w:rFonts w:ascii="Cambria" w:hAnsi="Cambria" w:cs="Cambria"/>
        </w:rPr>
        <w:t>is the</w:t>
      </w:r>
      <w:r w:rsidR="00D90DE9">
        <w:rPr>
          <w:rFonts w:ascii="Cambria" w:hAnsi="Cambria" w:cs="Cambria"/>
        </w:rPr>
        <w:t>n the average path length connecting all pairs of species and represents the average relatedness of two species drawn at random from the assemblage</w:t>
      </w:r>
      <w:r w:rsidR="00A45463">
        <w:rPr>
          <w:rFonts w:ascii="Cambria" w:hAnsi="Cambria" w:cs="Cambria"/>
        </w:rPr>
        <w:t xml:space="preserve">. </w:t>
      </w:r>
    </w:p>
    <w:p w:rsidR="00D94ECA" w:rsidRDefault="00D94ECA"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p>
    <w:p w:rsidR="006315E6" w:rsidRPr="00D94ECA" w:rsidRDefault="00D94ECA"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r>
        <w:rPr>
          <w:rFonts w:ascii="Cambria" w:hAnsi="Cambria" w:cs="Cambria"/>
        </w:rPr>
        <w:t>The relationship between Δ</w:t>
      </w:r>
      <w:r>
        <w:rPr>
          <w:rFonts w:ascii="Cambria" w:hAnsi="Cambria" w:cs="Cambria"/>
          <w:vertAlign w:val="subscript"/>
        </w:rPr>
        <w:t>f</w:t>
      </w:r>
      <w:r w:rsidRPr="002D62C0">
        <w:rPr>
          <w:rFonts w:ascii="Cambria" w:hAnsi="Cambria" w:cs="Cambria"/>
          <w:vertAlign w:val="superscript"/>
        </w:rPr>
        <w:t>+</w:t>
      </w:r>
      <w:r>
        <w:rPr>
          <w:rFonts w:ascii="Cambria" w:hAnsi="Cambria" w:cs="Cambria"/>
        </w:rPr>
        <w:t xml:space="preserve"> and node height (h</w:t>
      </w:r>
      <w:r>
        <w:rPr>
          <w:rFonts w:ascii="Cambria" w:hAnsi="Cambria" w:cs="Cambria"/>
          <w:vertAlign w:val="subscript"/>
        </w:rPr>
        <w:t>f</w:t>
      </w:r>
      <w:r>
        <w:rPr>
          <w:rFonts w:ascii="Cambria" w:hAnsi="Cambria" w:cs="Cambria"/>
        </w:rPr>
        <w:t xml:space="preserve">) was then determined by fitting a linear model </w:t>
      </w:r>
      <w:r w:rsidR="00A45463">
        <w:rPr>
          <w:rFonts w:ascii="Cambria" w:hAnsi="Cambria" w:cs="Cambria"/>
        </w:rPr>
        <w:t>with Δ</w:t>
      </w:r>
      <w:r w:rsidR="00A45463">
        <w:rPr>
          <w:rFonts w:ascii="Cambria" w:hAnsi="Cambria" w:cs="Cambria"/>
          <w:vertAlign w:val="subscript"/>
        </w:rPr>
        <w:t>f</w:t>
      </w:r>
      <w:r w:rsidR="00A45463" w:rsidRPr="002D62C0">
        <w:rPr>
          <w:rFonts w:ascii="Cambria" w:hAnsi="Cambria" w:cs="Cambria"/>
          <w:vertAlign w:val="superscript"/>
        </w:rPr>
        <w:t>+</w:t>
      </w:r>
      <w:r w:rsidR="00A45463">
        <w:rPr>
          <w:rFonts w:ascii="Cambria" w:hAnsi="Cambria" w:cs="Cambria"/>
        </w:rPr>
        <w:t xml:space="preserve"> as the response variable </w:t>
      </w:r>
      <w:r>
        <w:rPr>
          <w:rFonts w:ascii="Cambria" w:hAnsi="Cambria" w:cs="Cambria"/>
        </w:rPr>
        <w:t xml:space="preserve">and by calculating the </w:t>
      </w:r>
      <w:r w:rsidR="00804AED">
        <w:rPr>
          <w:rFonts w:ascii="Cambria" w:hAnsi="Cambria" w:cs="Cambria"/>
        </w:rPr>
        <w:t xml:space="preserve">strength of their </w:t>
      </w:r>
      <w:r>
        <w:rPr>
          <w:rFonts w:ascii="Cambria" w:hAnsi="Cambria" w:cs="Cambria"/>
        </w:rPr>
        <w:t>correlation.</w:t>
      </w:r>
    </w:p>
    <w:p w:rsidR="00A45463" w:rsidRDefault="00A45463"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p>
    <w:p w:rsidR="00A45463" w:rsidRPr="0020458B" w:rsidRDefault="00A45463" w:rsidP="00A45463">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r>
        <w:rPr>
          <w:rFonts w:ascii="Cambria" w:hAnsi="Cambria" w:cs="Cambria"/>
        </w:rPr>
        <w:t>An important difference between the two metrics (FD vs Δ</w:t>
      </w:r>
      <w:r w:rsidRPr="002D62C0">
        <w:rPr>
          <w:rFonts w:ascii="Cambria" w:hAnsi="Cambria" w:cs="Cambria"/>
          <w:vertAlign w:val="superscript"/>
        </w:rPr>
        <w:t>+</w:t>
      </w:r>
      <w:r>
        <w:rPr>
          <w:rFonts w:ascii="Cambria" w:hAnsi="Cambria" w:cs="Cambria"/>
        </w:rPr>
        <w:t>) is that Δ</w:t>
      </w:r>
      <w:r w:rsidRPr="002D62C0">
        <w:rPr>
          <w:rFonts w:ascii="Cambria" w:hAnsi="Cambria" w:cs="Cambria"/>
          <w:vertAlign w:val="superscript"/>
        </w:rPr>
        <w:t>+</w:t>
      </w:r>
      <w:r>
        <w:rPr>
          <w:rFonts w:ascii="Cambria" w:hAnsi="Cambria" w:cs="Cambria"/>
        </w:rPr>
        <w:t xml:space="preserve"> represents a standardized metric in which addition of a closely related species would actually reduce overall Δ</w:t>
      </w:r>
      <w:r w:rsidRPr="002D62C0">
        <w:rPr>
          <w:rFonts w:ascii="Cambria" w:hAnsi="Cambria" w:cs="Cambria"/>
          <w:vertAlign w:val="superscript"/>
        </w:rPr>
        <w:t>+</w:t>
      </w:r>
      <w:r>
        <w:rPr>
          <w:rFonts w:ascii="Cambria" w:hAnsi="Cambria" w:cs="Cambria"/>
        </w:rPr>
        <w:t xml:space="preserve"> in contrary to FD in which addition of a species either produces no change or increases overall FD. It has been well established therefore that the variance in Δ</w:t>
      </w:r>
      <w:r w:rsidRPr="002D62C0">
        <w:rPr>
          <w:rFonts w:ascii="Cambria" w:hAnsi="Cambria" w:cs="Cambria"/>
          <w:vertAlign w:val="superscript"/>
        </w:rPr>
        <w:t>+</w:t>
      </w:r>
      <w:r>
        <w:rPr>
          <w:rFonts w:ascii="Cambria" w:hAnsi="Cambria" w:cs="Cambria"/>
        </w:rPr>
        <w:t xml:space="preserve"> is strongly related to the number of species in an assemblage, in the case of our analysis, the number of species included in each node. As such we felt it was important to compare any trend in FD dendrogram structure to</w:t>
      </w:r>
      <w:r w:rsidR="0020458B">
        <w:rPr>
          <w:rFonts w:ascii="Cambria" w:hAnsi="Cambria" w:cs="Cambria"/>
        </w:rPr>
        <w:t xml:space="preserve"> any trend in node Δ</w:t>
      </w:r>
      <w:r w:rsidR="0020458B" w:rsidRPr="002D62C0">
        <w:rPr>
          <w:rFonts w:ascii="Cambria" w:hAnsi="Cambria" w:cs="Cambria"/>
          <w:vertAlign w:val="superscript"/>
        </w:rPr>
        <w:t>+</w:t>
      </w:r>
      <w:r w:rsidR="0020458B">
        <w:rPr>
          <w:rFonts w:ascii="Cambria" w:hAnsi="Cambria" w:cs="Cambria"/>
        </w:rPr>
        <w:t xml:space="preserve"> underlying the taxonomic dendrogram. In an analogous process to that described for the FD dendograms, Δ</w:t>
      </w:r>
      <w:r w:rsidR="0020458B" w:rsidRPr="002D62C0">
        <w:rPr>
          <w:rFonts w:ascii="Cambria" w:hAnsi="Cambria" w:cs="Cambria"/>
          <w:vertAlign w:val="superscript"/>
        </w:rPr>
        <w:t>+</w:t>
      </w:r>
      <w:r w:rsidR="0020458B">
        <w:rPr>
          <w:rFonts w:ascii="Cambria" w:hAnsi="Cambria" w:cs="Cambria"/>
        </w:rPr>
        <w:t xml:space="preserve"> of each node in the taxonomic dendrogram  (Δ</w:t>
      </w:r>
      <w:r w:rsidR="0020458B">
        <w:rPr>
          <w:rFonts w:ascii="Cambria" w:hAnsi="Cambria" w:cs="Cambria"/>
          <w:vertAlign w:val="subscript"/>
        </w:rPr>
        <w:t>t</w:t>
      </w:r>
      <w:r w:rsidR="0020458B" w:rsidRPr="002D62C0">
        <w:rPr>
          <w:rFonts w:ascii="Cambria" w:hAnsi="Cambria" w:cs="Cambria"/>
          <w:vertAlign w:val="superscript"/>
        </w:rPr>
        <w:t>+</w:t>
      </w:r>
      <w:r w:rsidR="0020458B">
        <w:rPr>
          <w:rFonts w:ascii="Cambria" w:hAnsi="Cambria" w:cs="Cambria"/>
        </w:rPr>
        <w:t>) was also calculated and compared to height of node (h</w:t>
      </w:r>
      <w:r w:rsidR="0020458B">
        <w:rPr>
          <w:rFonts w:ascii="Cambria" w:hAnsi="Cambria" w:cs="Cambria"/>
          <w:vertAlign w:val="subscript"/>
        </w:rPr>
        <w:t>t</w:t>
      </w:r>
      <w:r w:rsidR="0020458B">
        <w:rPr>
          <w:rFonts w:ascii="Cambria" w:hAnsi="Cambria" w:cs="Cambria"/>
        </w:rPr>
        <w:t>)</w:t>
      </w:r>
    </w:p>
    <w:p w:rsidR="00817685" w:rsidRDefault="00817685" w:rsidP="00C60742">
      <w:pPr>
        <w:widowControl w:val="0"/>
        <w:tabs>
          <w:tab w:val="left" w:pos="1280"/>
          <w:tab w:val="left" w:pos="1840"/>
          <w:tab w:val="left" w:pos="2400"/>
          <w:tab w:val="left" w:pos="2960"/>
          <w:tab w:val="left" w:pos="3520"/>
          <w:tab w:val="left" w:pos="4080"/>
          <w:tab w:val="left" w:pos="4640"/>
          <w:tab w:val="left" w:pos="5200"/>
          <w:tab w:val="left" w:pos="5760"/>
          <w:tab w:val="left" w:pos="6320"/>
          <w:tab w:val="left" w:pos="6880"/>
          <w:tab w:val="left" w:pos="7440"/>
        </w:tabs>
        <w:autoSpaceDE w:val="0"/>
        <w:autoSpaceDN w:val="0"/>
        <w:adjustRightInd w:val="0"/>
        <w:spacing w:after="0"/>
        <w:rPr>
          <w:rFonts w:ascii="Cambria" w:hAnsi="Cambria" w:cs="Cambria"/>
        </w:rPr>
      </w:pPr>
    </w:p>
    <w:p w:rsidR="00D94ECA" w:rsidRDefault="00817685"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r w:rsidRPr="0020458B">
        <w:rPr>
          <w:rFonts w:ascii="Cambria" w:hAnsi="Cambria" w:cs="Cambria"/>
          <w:highlight w:val="red"/>
        </w:rPr>
        <w:t xml:space="preserve">Normal behaviour of cluster TD for a complete set of species going up a taxonomic dendrogram is that TD generally increases as taxonomic aggregation increases. However, as a result of the standardisation of our selected measure of taxonomic distinctness (average taxonomic branch length connecting selected species) taxonomic distinctness of similarly related species will decrease as more species are added despite the consistency in the relatedness of the species making the measure sensitive to number of species included in the analysis and </w:t>
      </w:r>
      <w:r w:rsidR="0082016A" w:rsidRPr="0020458B">
        <w:rPr>
          <w:rFonts w:ascii="Cambria" w:hAnsi="Cambria" w:cs="Cambria"/>
          <w:highlight w:val="red"/>
        </w:rPr>
        <w:t>branch</w:t>
      </w:r>
      <w:r w:rsidRPr="0020458B">
        <w:rPr>
          <w:rFonts w:ascii="Cambria" w:hAnsi="Cambria" w:cs="Cambria"/>
          <w:highlight w:val="red"/>
        </w:rPr>
        <w:t xml:space="preserve"> size.  As such the average trend of cluster ABL was also calculated going up taxonomic trees as the inclusion and exclusion of species is likely to affect it allowing comparison of the FD trend to the underlying taxonomic trend.</w:t>
      </w:r>
    </w:p>
    <w:p w:rsidR="00D94ECA" w:rsidRDefault="00D94ECA"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p>
    <w:p w:rsidR="007F19F9" w:rsidRDefault="00D94ECA"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r>
        <w:rPr>
          <w:rFonts w:ascii="Cambria" w:hAnsi="Cambria" w:cs="Cambria"/>
        </w:rPr>
        <w:t>To determine the effects of the number of traits (</w:t>
      </w:r>
      <w:r>
        <w:rPr>
          <w:rFonts w:ascii="Cambria" w:hAnsi="Cambria" w:cs="Cambria"/>
          <w:i/>
        </w:rPr>
        <w:t>t</w:t>
      </w:r>
      <w:r>
        <w:rPr>
          <w:rFonts w:ascii="Cambria" w:hAnsi="Cambria" w:cs="Cambria"/>
        </w:rPr>
        <w:t xml:space="preserve">) and </w:t>
      </w:r>
      <w:r w:rsidR="00F93718">
        <w:rPr>
          <w:rFonts w:ascii="Cambria" w:hAnsi="Cambria" w:cs="Cambria"/>
        </w:rPr>
        <w:t>species (</w:t>
      </w:r>
      <w:r w:rsidR="00F93718">
        <w:rPr>
          <w:rFonts w:ascii="Cambria" w:hAnsi="Cambria" w:cs="Cambria"/>
          <w:i/>
        </w:rPr>
        <w:t>s</w:t>
      </w:r>
      <w:r w:rsidR="00F93718">
        <w:rPr>
          <w:rFonts w:ascii="Cambria" w:hAnsi="Cambria" w:cs="Cambria"/>
        </w:rPr>
        <w:t xml:space="preserve">) on the relationship, the analysis was performed under </w:t>
      </w:r>
      <w:r w:rsidR="00F93718" w:rsidRPr="00F93718">
        <w:rPr>
          <w:rFonts w:ascii="Cambria" w:hAnsi="Cambria" w:cs="Cambria"/>
        </w:rPr>
        <w:t>three conditions</w:t>
      </w:r>
      <w:r w:rsidR="00F93718">
        <w:rPr>
          <w:rFonts w:ascii="Cambria" w:hAnsi="Cambria" w:cs="Cambria"/>
        </w:rPr>
        <w:t xml:space="preserve">. Firstly, both number of traits and species were varied simultaneously according to data availability. </w:t>
      </w:r>
      <w:r w:rsidR="007F19F9">
        <w:rPr>
          <w:rFonts w:ascii="Cambria" w:hAnsi="Cambria" w:cs="Cambria"/>
        </w:rPr>
        <w:t xml:space="preserve"> Variables were </w:t>
      </w:r>
      <w:r w:rsidR="00ED2693">
        <w:rPr>
          <w:rFonts w:ascii="Cambria" w:hAnsi="Cambria" w:cs="Cambria"/>
        </w:rPr>
        <w:t xml:space="preserve">ordered in order to maximize the number of species available in the analysis </w:t>
      </w:r>
      <w:r w:rsidR="005A66A2">
        <w:rPr>
          <w:rFonts w:ascii="Cambria" w:hAnsi="Cambria" w:cs="Cambria"/>
        </w:rPr>
        <w:t>over all trait combinations</w:t>
      </w:r>
      <w:r w:rsidR="00B67A9F">
        <w:rPr>
          <w:rFonts w:ascii="Cambria" w:hAnsi="Cambria" w:cs="Cambria"/>
        </w:rPr>
        <w:t xml:space="preserve"> as traits were sequentially removed (fig. </w:t>
      </w:r>
      <w:r w:rsidR="003E773F">
        <w:rPr>
          <w:rFonts w:ascii="Cambria" w:hAnsi="Cambria" w:cs="Cambria"/>
        </w:rPr>
        <w:t>1</w:t>
      </w:r>
      <w:r w:rsidR="00B67A9F">
        <w:rPr>
          <w:rFonts w:ascii="Cambria" w:hAnsi="Cambria" w:cs="Cambria"/>
        </w:rPr>
        <w:t>)</w:t>
      </w:r>
      <w:r w:rsidR="005A66A2">
        <w:rPr>
          <w:rFonts w:ascii="Cambria" w:hAnsi="Cambria" w:cs="Cambria"/>
        </w:rPr>
        <w:t xml:space="preserve">. This was chosen to reflect the trade off between number of species and trait data availability. To tease apart the effect of number of traits and species individually, the same procedure was followed under two further conditions. The number of traits included was varied (between 1 &amp; 10) whilst </w:t>
      </w:r>
      <w:r w:rsidR="00CF1357">
        <w:rPr>
          <w:rFonts w:ascii="Cambria" w:hAnsi="Cambria" w:cs="Cambria"/>
        </w:rPr>
        <w:t xml:space="preserve">keeping </w:t>
      </w:r>
      <w:r w:rsidR="005A66A2">
        <w:rPr>
          <w:rFonts w:ascii="Cambria" w:hAnsi="Cambria" w:cs="Cambria"/>
        </w:rPr>
        <w:t>the number of species constant</w:t>
      </w:r>
      <w:r w:rsidR="00CF1357">
        <w:rPr>
          <w:rFonts w:ascii="Cambria" w:hAnsi="Cambria" w:cs="Cambria"/>
        </w:rPr>
        <w:t>. This was restricted to a</w:t>
      </w:r>
      <w:r w:rsidR="005A66A2">
        <w:rPr>
          <w:rFonts w:ascii="Cambria" w:hAnsi="Cambria" w:cs="Cambria"/>
        </w:rPr>
        <w:t xml:space="preserve"> subset of species</w:t>
      </w:r>
      <w:r w:rsidR="00CF1357">
        <w:rPr>
          <w:rFonts w:ascii="Cambria" w:hAnsi="Cambria" w:cs="Cambria"/>
        </w:rPr>
        <w:t xml:space="preserve"> (</w:t>
      </w:r>
      <w:r w:rsidR="00CF1357" w:rsidRPr="00CF1357">
        <w:rPr>
          <w:rFonts w:ascii="Cambria" w:hAnsi="Cambria" w:cs="Cambria"/>
          <w:i/>
        </w:rPr>
        <w:t>s</w:t>
      </w:r>
      <w:r w:rsidR="00CF1357">
        <w:rPr>
          <w:rFonts w:ascii="Cambria" w:hAnsi="Cambria" w:cs="Cambria"/>
        </w:rPr>
        <w:t xml:space="preserve"> = 65) </w:t>
      </w:r>
      <w:r w:rsidR="005A66A2">
        <w:rPr>
          <w:rFonts w:ascii="Cambria" w:hAnsi="Cambria" w:cs="Cambria"/>
        </w:rPr>
        <w:t>for which dat</w:t>
      </w:r>
      <w:r w:rsidR="00CF1357">
        <w:rPr>
          <w:rFonts w:ascii="Cambria" w:hAnsi="Cambria" w:cs="Cambria"/>
        </w:rPr>
        <w:t xml:space="preserve">a was available for all traits investigated. Similarly, the number of species was varied whilst holding the number of traits constant. The number of </w:t>
      </w:r>
      <w:r w:rsidR="0068589B">
        <w:rPr>
          <w:rFonts w:ascii="Cambria" w:hAnsi="Cambria" w:cs="Cambria"/>
        </w:rPr>
        <w:t>traits was held at 8 whilst the number of species included was varied from 15 to 91. The relationship between the number of species and traits included and the strength of the correlation between Δ</w:t>
      </w:r>
      <w:r w:rsidR="0068589B">
        <w:rPr>
          <w:rFonts w:ascii="Cambria" w:hAnsi="Cambria" w:cs="Cambria"/>
          <w:vertAlign w:val="subscript"/>
        </w:rPr>
        <w:t>f</w:t>
      </w:r>
      <w:r w:rsidR="0068589B" w:rsidRPr="002D62C0">
        <w:rPr>
          <w:rFonts w:ascii="Cambria" w:hAnsi="Cambria" w:cs="Cambria"/>
          <w:vertAlign w:val="superscript"/>
        </w:rPr>
        <w:t>+</w:t>
      </w:r>
      <w:r w:rsidR="0068589B">
        <w:rPr>
          <w:rFonts w:ascii="Cambria" w:hAnsi="Cambria" w:cs="Cambria"/>
        </w:rPr>
        <w:t xml:space="preserve"> and h</w:t>
      </w:r>
      <w:r w:rsidR="0068589B">
        <w:rPr>
          <w:rFonts w:ascii="Cambria" w:hAnsi="Cambria" w:cs="Cambria"/>
          <w:vertAlign w:val="subscript"/>
        </w:rPr>
        <w:t xml:space="preserve">f </w:t>
      </w:r>
      <w:r w:rsidR="0068589B">
        <w:rPr>
          <w:rFonts w:ascii="Cambria" w:hAnsi="Cambria" w:cs="Cambria"/>
        </w:rPr>
        <w:t>was then examined.</w:t>
      </w:r>
    </w:p>
    <w:p w:rsidR="00817685" w:rsidRDefault="00817685"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r>
        <w:rPr>
          <w:rFonts w:ascii="Helvetica" w:hAnsi="Helvetica" w:cs="Helvetica"/>
        </w:rPr>
        <w:t xml:space="preserve"> </w:t>
      </w:r>
    </w:p>
    <w:p w:rsidR="00EC41EE" w:rsidRDefault="00817685"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b/>
          <w:bCs/>
          <w:sz w:val="36"/>
          <w:szCs w:val="36"/>
        </w:rPr>
      </w:pPr>
      <w:r>
        <w:rPr>
          <w:rFonts w:ascii="Cambria" w:hAnsi="Cambria" w:cs="Cambria"/>
          <w:b/>
          <w:bCs/>
          <w:sz w:val="36"/>
          <w:szCs w:val="36"/>
        </w:rPr>
        <w:t>RESULTS</w:t>
      </w:r>
    </w:p>
    <w:p w:rsidR="00817685" w:rsidRDefault="00817685" w:rsidP="00C60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b/>
          <w:bCs/>
          <w:sz w:val="36"/>
          <w:szCs w:val="36"/>
        </w:rPr>
      </w:pPr>
    </w:p>
    <w:p w:rsidR="006F0D4B" w:rsidRDefault="00C60742"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r>
        <w:rPr>
          <w:rFonts w:ascii="Cambria" w:hAnsi="Cambria" w:cs="Cambria"/>
        </w:rPr>
        <w:t>The r</w:t>
      </w:r>
      <w:r w:rsidR="00817685">
        <w:rPr>
          <w:rFonts w:ascii="Cambria" w:hAnsi="Cambria" w:cs="Cambria"/>
        </w:rPr>
        <w:t xml:space="preserve">elationship between </w:t>
      </w:r>
      <w:r w:rsidR="002D62C0">
        <w:rPr>
          <w:rFonts w:ascii="Cambria" w:hAnsi="Cambria" w:cs="Cambria"/>
        </w:rPr>
        <w:t>h</w:t>
      </w:r>
      <w:r w:rsidR="0082016A">
        <w:rPr>
          <w:rFonts w:ascii="Cambria" w:hAnsi="Cambria" w:cs="Cambria"/>
          <w:vertAlign w:val="subscript"/>
        </w:rPr>
        <w:t>f</w:t>
      </w:r>
      <w:r w:rsidR="002D62C0">
        <w:rPr>
          <w:rFonts w:ascii="Cambria" w:hAnsi="Cambria" w:cs="Cambria"/>
          <w:vertAlign w:val="subscript"/>
        </w:rPr>
        <w:t xml:space="preserve"> </w:t>
      </w:r>
      <w:r w:rsidR="00817685">
        <w:rPr>
          <w:rFonts w:ascii="Cambria" w:hAnsi="Cambria" w:cs="Cambria"/>
        </w:rPr>
        <w:t xml:space="preserve">(cluster dissimilarity) and </w:t>
      </w:r>
      <w:r w:rsidR="002D62C0">
        <w:rPr>
          <w:rFonts w:ascii="Cambria" w:hAnsi="Cambria" w:cs="Cambria"/>
        </w:rPr>
        <w:t>Δ</w:t>
      </w:r>
      <w:r w:rsidR="0082016A">
        <w:rPr>
          <w:rFonts w:ascii="Cambria" w:hAnsi="Cambria" w:cs="Cambria"/>
          <w:vertAlign w:val="subscript"/>
        </w:rPr>
        <w:t>f</w:t>
      </w:r>
      <w:r w:rsidR="002D62C0" w:rsidRPr="002D62C0">
        <w:rPr>
          <w:rFonts w:ascii="Cambria" w:hAnsi="Cambria" w:cs="Cambria"/>
          <w:vertAlign w:val="superscript"/>
        </w:rPr>
        <w:t>+</w:t>
      </w:r>
      <w:r w:rsidR="002D62C0">
        <w:rPr>
          <w:rFonts w:ascii="Cambria" w:hAnsi="Cambria" w:cs="Cambria"/>
        </w:rPr>
        <w:t xml:space="preserve"> </w:t>
      </w:r>
      <w:r>
        <w:rPr>
          <w:rFonts w:ascii="Cambria" w:hAnsi="Cambria" w:cs="Cambria"/>
        </w:rPr>
        <w:t>is funnel shaped with the fitted</w:t>
      </w:r>
      <w:r w:rsidR="00817685">
        <w:rPr>
          <w:rFonts w:ascii="Cambria" w:hAnsi="Cambria" w:cs="Cambria"/>
        </w:rPr>
        <w:t xml:space="preserve"> linear </w:t>
      </w:r>
      <w:r>
        <w:rPr>
          <w:rFonts w:ascii="Cambria" w:hAnsi="Cambria" w:cs="Cambria"/>
        </w:rPr>
        <w:t xml:space="preserve">model </w:t>
      </w:r>
      <w:r w:rsidR="00817685">
        <w:rPr>
          <w:rFonts w:ascii="Cambria" w:hAnsi="Cambria" w:cs="Cambria"/>
        </w:rPr>
        <w:t xml:space="preserve">generally explaining very low levels of variance (generally much lower than &lt;15%) despite occasional significance. The funnel shape demonstrates high levels of variance at lower branch lengths, reminiscent of the relationship between </w:t>
      </w:r>
      <w:r w:rsidR="007210EF">
        <w:rPr>
          <w:rFonts w:ascii="Cambria" w:hAnsi="Cambria" w:cs="Cambria"/>
        </w:rPr>
        <w:t>Δ</w:t>
      </w:r>
      <w:r w:rsidR="0082016A">
        <w:rPr>
          <w:rFonts w:ascii="Cambria" w:hAnsi="Cambria" w:cs="Cambria"/>
          <w:vertAlign w:val="subscript"/>
        </w:rPr>
        <w:t>f</w:t>
      </w:r>
      <w:r w:rsidR="007210EF" w:rsidRPr="002D62C0">
        <w:rPr>
          <w:rFonts w:ascii="Cambria" w:hAnsi="Cambria" w:cs="Cambria"/>
          <w:vertAlign w:val="superscript"/>
        </w:rPr>
        <w:t>+</w:t>
      </w:r>
      <w:r w:rsidR="007210EF">
        <w:rPr>
          <w:rFonts w:ascii="Cambria" w:hAnsi="Cambria" w:cs="Cambria"/>
        </w:rPr>
        <w:t xml:space="preserve"> </w:t>
      </w:r>
      <w:r w:rsidR="00817685">
        <w:rPr>
          <w:rFonts w:ascii="Cambria" w:hAnsi="Cambria" w:cs="Cambria"/>
        </w:rPr>
        <w:t xml:space="preserve">and </w:t>
      </w:r>
      <w:r w:rsidR="007210EF" w:rsidRPr="0082016A">
        <w:rPr>
          <w:rFonts w:ascii="Cambria" w:hAnsi="Cambria" w:cs="Cambria"/>
          <w:i/>
        </w:rPr>
        <w:t>s</w:t>
      </w:r>
      <w:r>
        <w:rPr>
          <w:rFonts w:ascii="Cambria" w:hAnsi="Cambria" w:cs="Cambria"/>
        </w:rPr>
        <w:t xml:space="preserve"> </w:t>
      </w:r>
      <w:r>
        <w:rPr>
          <w:rFonts w:ascii="Cambria" w:hAnsi="Cambria" w:cs="Cambria"/>
        </w:rPr>
        <w:fldChar w:fldCharType="begin"/>
      </w:r>
      <w:r w:rsidR="00D90DE9">
        <w:rPr>
          <w:rFonts w:ascii="Cambria" w:hAnsi="Cambria" w:cs="Cambria"/>
        </w:rPr>
        <w:instrText xml:space="preserve"> ADDIN PAPERS2_CITATIONS &lt;citation&gt;&lt;uuid&gt;5F61FEE8-76F8-40D5-988D-5EDF2D9365A8&lt;/uuid&gt;&lt;priority&gt;3&lt;/priority&gt;&lt;publications&gt;&lt;publication&gt;&lt;volume&gt;35&lt;/volume&gt;&lt;publication_date&gt;99199800001200000000200000&lt;/publication_date&gt;&lt;number&gt;4&lt;/number&gt;&lt;startpage&gt;523&lt;/startpage&gt;&lt;title&gt;A taxonomic distinctness index and its statistical properties&lt;/title&gt;&lt;uuid&gt;A8936431-5E49-4C6E-8516-5C1F4D238995&lt;/uuid&gt;&lt;subtype&gt;400&lt;/subtype&gt;&lt;publisher&gt;Wiley Online Library&lt;/publisher&gt;&lt;type&gt;400&lt;/type&gt;&lt;endpage&gt;531&lt;/endpage&gt;&lt;url&gt;http://onlinelibrary.wiley.com/doi/10.1046/j.1365-2664.1998.3540523.x/full&lt;/url&gt;&lt;bundle&gt;&lt;publication&gt;&lt;url&gt;http://onlinelibrary.wiley.com&lt;/url&gt;&lt;title&gt;Journal Of Applied Ecology&lt;/title&gt;&lt;type&gt;-100&lt;/type&gt;&lt;subtype&gt;-100&lt;/subtype&gt;&lt;uuid&gt;2E97D0C7-D1C9-4957-980A-2501E74EB2DC&lt;/uuid&gt;&lt;/publication&gt;&lt;/bundle&gt;&lt;authors&gt;&lt;author&gt;&lt;firstName&gt;K&lt;/firstName&gt;&lt;middleNames&gt;Robert&lt;/middleNames&gt;&lt;lastName&gt;Clarke&lt;/lastName&gt;&lt;/author&gt;&lt;author&gt;&lt;firstName&gt;Richard&lt;/firstName&gt;&lt;middleNames&gt;M&lt;/middleNames&gt;&lt;lastName&gt;Warwick&lt;/lastName&gt;&lt;/author&gt;&lt;/authors&gt;&lt;/publication&gt;&lt;/publications&gt;&lt;cites&gt;&lt;/cites&gt;&lt;/citation&gt;</w:instrText>
      </w:r>
      <w:r>
        <w:rPr>
          <w:rFonts w:ascii="Cambria" w:hAnsi="Cambria" w:cs="Cambria"/>
        </w:rPr>
        <w:fldChar w:fldCharType="separate"/>
      </w:r>
      <w:r>
        <w:rPr>
          <w:rFonts w:ascii="Cambria" w:hAnsi="Cambria" w:cs="Cambria"/>
        </w:rPr>
        <w:t>{Clarke:1998um}</w:t>
      </w:r>
      <w:r>
        <w:rPr>
          <w:rFonts w:ascii="Cambria" w:hAnsi="Cambria" w:cs="Cambria"/>
        </w:rPr>
        <w:fldChar w:fldCharType="end"/>
      </w:r>
      <w:r>
        <w:rPr>
          <w:rFonts w:ascii="Cambria" w:hAnsi="Cambria" w:cs="Cambria"/>
        </w:rPr>
        <w:t xml:space="preserve"> </w:t>
      </w:r>
      <w:r w:rsidR="00817685">
        <w:rPr>
          <w:rFonts w:ascii="Cambria" w:hAnsi="Cambria" w:cs="Cambria"/>
        </w:rPr>
        <w:t xml:space="preserve">indicating that the trend </w:t>
      </w:r>
      <w:r>
        <w:rPr>
          <w:rFonts w:ascii="Cambria" w:hAnsi="Cambria" w:cs="Cambria"/>
        </w:rPr>
        <w:t>is most likely driven</w:t>
      </w:r>
      <w:r w:rsidR="00817685">
        <w:rPr>
          <w:rFonts w:ascii="Cambria" w:hAnsi="Cambria" w:cs="Cambria"/>
        </w:rPr>
        <w:t xml:space="preserve"> mainly by the </w:t>
      </w:r>
      <w:r>
        <w:rPr>
          <w:rFonts w:ascii="Cambria" w:hAnsi="Cambria" w:cs="Cambria"/>
        </w:rPr>
        <w:t xml:space="preserve">number of species included in each </w:t>
      </w:r>
      <w:r w:rsidR="007210EF">
        <w:rPr>
          <w:rFonts w:ascii="Cambria" w:hAnsi="Cambria" w:cs="Cambria"/>
        </w:rPr>
        <w:t>branch</w:t>
      </w:r>
      <w:r w:rsidR="00817685">
        <w:rPr>
          <w:rFonts w:ascii="Cambria" w:hAnsi="Cambria" w:cs="Cambria"/>
        </w:rPr>
        <w:t xml:space="preserve"> which generally increases moving towards the root of the dendrogram</w:t>
      </w:r>
      <w:r>
        <w:rPr>
          <w:rFonts w:ascii="Cambria" w:hAnsi="Cambria" w:cs="Cambria"/>
        </w:rPr>
        <w:t>.</w:t>
      </w:r>
    </w:p>
    <w:p w:rsidR="006F0D4B" w:rsidRDefault="006F0D4B"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p>
    <w:p w:rsidR="002D62C0" w:rsidRDefault="006F0D4B"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r>
        <w:rPr>
          <w:rFonts w:ascii="Cambria" w:hAnsi="Cambria" w:cs="Cambria"/>
        </w:rPr>
        <w:t xml:space="preserve">A general trend emerging from variation of trait / species included in the analysis is a general flattening of the slope in the relationship as </w:t>
      </w:r>
      <w:r w:rsidR="0034762E">
        <w:rPr>
          <w:rFonts w:ascii="Cambria" w:hAnsi="Cambria" w:cs="Cambria"/>
        </w:rPr>
        <w:t>fewer</w:t>
      </w:r>
      <w:r>
        <w:rPr>
          <w:rFonts w:ascii="Cambria" w:hAnsi="Cambria" w:cs="Cambria"/>
        </w:rPr>
        <w:t xml:space="preserve"> traits</w:t>
      </w:r>
      <w:r w:rsidR="0034762E">
        <w:rPr>
          <w:rFonts w:ascii="Cambria" w:hAnsi="Cambria" w:cs="Cambria"/>
        </w:rPr>
        <w:t xml:space="preserve"> / more species are included in the analysis</w:t>
      </w:r>
      <w:r>
        <w:rPr>
          <w:rFonts w:ascii="Cambria" w:hAnsi="Cambria" w:cs="Cambria"/>
        </w:rPr>
        <w:t xml:space="preserve"> (fig. </w:t>
      </w:r>
      <w:r w:rsidR="003E773F">
        <w:rPr>
          <w:rFonts w:ascii="Cambria" w:hAnsi="Cambria" w:cs="Cambria"/>
        </w:rPr>
        <w:t>2</w:t>
      </w:r>
      <w:r>
        <w:rPr>
          <w:rFonts w:ascii="Cambria" w:hAnsi="Cambria" w:cs="Cambria"/>
        </w:rPr>
        <w:t>)</w:t>
      </w:r>
      <w:r w:rsidR="0034762E">
        <w:rPr>
          <w:rFonts w:ascii="Cambria" w:hAnsi="Cambria" w:cs="Cambria"/>
        </w:rPr>
        <w:t xml:space="preserve"> coupled with a decrease in the strength of the correlation of </w:t>
      </w:r>
      <w:r w:rsidR="007210EF">
        <w:rPr>
          <w:rFonts w:ascii="Cambria" w:hAnsi="Cambria" w:cs="Cambria"/>
        </w:rPr>
        <w:t xml:space="preserve">branch </w:t>
      </w:r>
      <w:r w:rsidR="002D62C0">
        <w:rPr>
          <w:rFonts w:ascii="Cambria" w:hAnsi="Cambria" w:cs="Cambria"/>
        </w:rPr>
        <w:t>Δ</w:t>
      </w:r>
      <w:r w:rsidR="0082016A">
        <w:rPr>
          <w:rFonts w:ascii="Cambria" w:hAnsi="Cambria" w:cs="Cambria"/>
          <w:vertAlign w:val="subscript"/>
        </w:rPr>
        <w:t>f</w:t>
      </w:r>
      <w:r w:rsidR="002D62C0" w:rsidRPr="002D62C0">
        <w:rPr>
          <w:rFonts w:ascii="Cambria" w:hAnsi="Cambria" w:cs="Cambria"/>
          <w:vertAlign w:val="superscript"/>
        </w:rPr>
        <w:t>+</w:t>
      </w:r>
      <w:r w:rsidR="002D62C0">
        <w:rPr>
          <w:rFonts w:ascii="Cambria" w:hAnsi="Cambria" w:cs="Cambria"/>
        </w:rPr>
        <w:t xml:space="preserve"> </w:t>
      </w:r>
      <w:r w:rsidR="007210EF">
        <w:rPr>
          <w:rFonts w:ascii="Cambria" w:hAnsi="Cambria" w:cs="Cambria"/>
        </w:rPr>
        <w:t>and</w:t>
      </w:r>
      <w:r w:rsidR="0034762E">
        <w:rPr>
          <w:rFonts w:ascii="Cambria" w:hAnsi="Cambria" w:cs="Cambria"/>
        </w:rPr>
        <w:t xml:space="preserve"> h</w:t>
      </w:r>
      <w:r w:rsidR="0082016A">
        <w:rPr>
          <w:rFonts w:ascii="Cambria" w:hAnsi="Cambria" w:cs="Cambria"/>
          <w:vertAlign w:val="subscript"/>
        </w:rPr>
        <w:t>f</w:t>
      </w:r>
      <w:r w:rsidR="0034762E">
        <w:rPr>
          <w:rFonts w:ascii="Cambria" w:hAnsi="Cambria" w:cs="Cambria"/>
        </w:rPr>
        <w:t xml:space="preserve"> (fig.</w:t>
      </w:r>
      <w:r w:rsidR="003E773F">
        <w:rPr>
          <w:rFonts w:ascii="Cambria" w:hAnsi="Cambria" w:cs="Cambria"/>
        </w:rPr>
        <w:t>5</w:t>
      </w:r>
      <w:r w:rsidR="0034762E">
        <w:rPr>
          <w:rFonts w:ascii="Cambria" w:hAnsi="Cambria" w:cs="Cambria"/>
        </w:rPr>
        <w:t xml:space="preserve">a &amp; b). This trend appears to be primarily driven by variation in number of traits included (fig. </w:t>
      </w:r>
      <w:r w:rsidR="003E773F">
        <w:rPr>
          <w:rFonts w:ascii="Cambria" w:hAnsi="Cambria" w:cs="Cambria"/>
        </w:rPr>
        <w:t>3</w:t>
      </w:r>
      <w:r w:rsidR="0034762E">
        <w:rPr>
          <w:rFonts w:ascii="Cambria" w:hAnsi="Cambria" w:cs="Cambria"/>
        </w:rPr>
        <w:t xml:space="preserve">, fig. </w:t>
      </w:r>
      <w:r w:rsidR="003E773F">
        <w:rPr>
          <w:rFonts w:ascii="Cambria" w:hAnsi="Cambria" w:cs="Cambria"/>
        </w:rPr>
        <w:t>5</w:t>
      </w:r>
      <w:r w:rsidR="0034762E">
        <w:rPr>
          <w:rFonts w:ascii="Cambria" w:hAnsi="Cambria" w:cs="Cambria"/>
        </w:rPr>
        <w:t xml:space="preserve">d) as variation in number of species, at least in the range explored here, appears to have minimal effects on both the slope and correlation of the relationship (fig. </w:t>
      </w:r>
      <w:r w:rsidR="003E773F">
        <w:rPr>
          <w:rFonts w:ascii="Cambria" w:hAnsi="Cambria" w:cs="Cambria"/>
        </w:rPr>
        <w:t>4</w:t>
      </w:r>
      <w:r w:rsidR="0034762E">
        <w:rPr>
          <w:rFonts w:ascii="Cambria" w:hAnsi="Cambria" w:cs="Cambria"/>
        </w:rPr>
        <w:t xml:space="preserve">, fig. </w:t>
      </w:r>
      <w:r w:rsidR="003E773F">
        <w:rPr>
          <w:rFonts w:ascii="Cambria" w:hAnsi="Cambria" w:cs="Cambria"/>
        </w:rPr>
        <w:t>5</w:t>
      </w:r>
      <w:r w:rsidR="0034762E">
        <w:rPr>
          <w:rFonts w:ascii="Cambria" w:hAnsi="Cambria" w:cs="Cambria"/>
        </w:rPr>
        <w:t>c).</w:t>
      </w:r>
      <w:r w:rsidR="007210EF">
        <w:rPr>
          <w:rFonts w:ascii="Cambria" w:hAnsi="Cambria" w:cs="Cambria"/>
        </w:rPr>
        <w:t xml:space="preserve"> </w:t>
      </w:r>
    </w:p>
    <w:p w:rsidR="002D62C0" w:rsidRDefault="002D62C0"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p>
    <w:p w:rsidR="0082016A" w:rsidRDefault="007210EF"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r>
        <w:rPr>
          <w:rFonts w:ascii="Cambria" w:hAnsi="Cambria" w:cs="Cambria"/>
        </w:rPr>
        <w:t xml:space="preserve">Interestingly </w:t>
      </w:r>
      <w:r w:rsidR="002D62C0">
        <w:rPr>
          <w:rFonts w:ascii="Cambria" w:hAnsi="Cambria" w:cs="Cambria"/>
        </w:rPr>
        <w:t>an</w:t>
      </w:r>
      <w:r>
        <w:rPr>
          <w:rFonts w:ascii="Cambria" w:hAnsi="Cambria" w:cs="Cambria"/>
        </w:rPr>
        <w:t xml:space="preserve"> opposite trend is observed in the slope of the relationship between </w:t>
      </w:r>
      <w:r w:rsidR="002D62C0">
        <w:rPr>
          <w:rFonts w:ascii="Cambria" w:hAnsi="Cambria" w:cs="Cambria"/>
        </w:rPr>
        <w:t>Δ</w:t>
      </w:r>
      <w:r w:rsidR="002D62C0">
        <w:rPr>
          <w:rFonts w:ascii="Cambria" w:hAnsi="Cambria" w:cs="Cambria"/>
          <w:vertAlign w:val="subscript"/>
        </w:rPr>
        <w:t>t</w:t>
      </w:r>
      <w:r w:rsidR="002D62C0" w:rsidRPr="002D62C0">
        <w:rPr>
          <w:rFonts w:ascii="Cambria" w:hAnsi="Cambria" w:cs="Cambria"/>
          <w:vertAlign w:val="superscript"/>
        </w:rPr>
        <w:t>+</w:t>
      </w:r>
      <w:r w:rsidR="0082016A">
        <w:rPr>
          <w:rFonts w:ascii="Cambria" w:hAnsi="Cambria" w:cs="Cambria"/>
        </w:rPr>
        <w:t xml:space="preserve"> </w:t>
      </w:r>
      <w:r w:rsidR="002D62C0">
        <w:rPr>
          <w:rFonts w:ascii="Cambria" w:hAnsi="Cambria" w:cs="Cambria"/>
        </w:rPr>
        <w:t>and h</w:t>
      </w:r>
      <w:r w:rsidR="0082016A">
        <w:rPr>
          <w:rFonts w:ascii="Cambria" w:hAnsi="Cambria" w:cs="Cambria"/>
          <w:vertAlign w:val="subscript"/>
        </w:rPr>
        <w:t>t</w:t>
      </w:r>
      <w:r w:rsidR="002D62C0">
        <w:rPr>
          <w:rFonts w:ascii="Cambria" w:hAnsi="Cambria" w:cs="Cambria"/>
          <w:vertAlign w:val="subscript"/>
        </w:rPr>
        <w:t xml:space="preserve"> </w:t>
      </w:r>
      <w:r w:rsidR="002D62C0">
        <w:rPr>
          <w:rFonts w:ascii="Cambria" w:hAnsi="Cambria" w:cs="Cambria"/>
        </w:rPr>
        <w:t xml:space="preserve">where the slope appears to become steeper and the change being mainly driven by variation in </w:t>
      </w:r>
      <w:r w:rsidR="002D62C0">
        <w:rPr>
          <w:rFonts w:ascii="Cambria" w:hAnsi="Cambria" w:cs="Cambria"/>
          <w:i/>
        </w:rPr>
        <w:t xml:space="preserve">s </w:t>
      </w:r>
      <w:r w:rsidR="002D62C0">
        <w:rPr>
          <w:rFonts w:ascii="Cambria" w:hAnsi="Cambria" w:cs="Cambria"/>
        </w:rPr>
        <w:t xml:space="preserve">(fig. </w:t>
      </w:r>
      <w:r w:rsidR="003E773F">
        <w:rPr>
          <w:rFonts w:ascii="Cambria" w:hAnsi="Cambria" w:cs="Cambria"/>
        </w:rPr>
        <w:t>2</w:t>
      </w:r>
      <w:r w:rsidR="002D62C0">
        <w:rPr>
          <w:rFonts w:ascii="Cambria" w:hAnsi="Cambria" w:cs="Cambria"/>
        </w:rPr>
        <w:t xml:space="preserve">, </w:t>
      </w:r>
      <w:r w:rsidR="003E773F">
        <w:rPr>
          <w:rFonts w:ascii="Cambria" w:hAnsi="Cambria" w:cs="Cambria"/>
        </w:rPr>
        <w:t>3</w:t>
      </w:r>
      <w:r w:rsidR="002D62C0">
        <w:rPr>
          <w:rFonts w:ascii="Cambria" w:hAnsi="Cambria" w:cs="Cambria"/>
        </w:rPr>
        <w:t xml:space="preserve">, </w:t>
      </w:r>
      <w:r w:rsidR="003E773F">
        <w:rPr>
          <w:rFonts w:ascii="Cambria" w:hAnsi="Cambria" w:cs="Cambria"/>
        </w:rPr>
        <w:t>4</w:t>
      </w:r>
      <w:r w:rsidR="002D62C0">
        <w:rPr>
          <w:rFonts w:ascii="Cambria" w:hAnsi="Cambria" w:cs="Cambria"/>
        </w:rPr>
        <w:t xml:space="preserve">). </w:t>
      </w:r>
    </w:p>
    <w:p w:rsidR="0082016A" w:rsidRDefault="0082016A"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p>
    <w:p w:rsidR="002A3D05" w:rsidRDefault="00B71C28"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r>
        <w:rPr>
          <w:rFonts w:ascii="Cambria" w:hAnsi="Cambria" w:cs="Cambria"/>
        </w:rPr>
        <w:t xml:space="preserve">Much of the </w:t>
      </w:r>
      <w:r w:rsidR="00EC41EE">
        <w:rPr>
          <w:rFonts w:ascii="Cambria" w:hAnsi="Cambria" w:cs="Cambria"/>
        </w:rPr>
        <w:t xml:space="preserve">functional </w:t>
      </w:r>
      <w:r>
        <w:rPr>
          <w:rFonts w:ascii="Cambria" w:hAnsi="Cambria" w:cs="Cambria"/>
        </w:rPr>
        <w:t>dendrogram structure appears to be minimally affected by both addition of species and / or traits indicating relative stability in the functional classification</w:t>
      </w:r>
      <w:r w:rsidR="00EC41EE">
        <w:rPr>
          <w:rFonts w:ascii="Cambria" w:hAnsi="Cambria" w:cs="Cambria"/>
        </w:rPr>
        <w:t xml:space="preserve"> without large scale reorganization of the tree under the varying analysis conditions</w:t>
      </w:r>
      <w:r>
        <w:rPr>
          <w:rFonts w:ascii="Cambria" w:hAnsi="Cambria" w:cs="Cambria"/>
        </w:rPr>
        <w:t>. The glaring exception is when only a single trait – body size – was used for functional classification</w:t>
      </w:r>
      <w:r w:rsidR="00EC41EE">
        <w:rPr>
          <w:rFonts w:ascii="Cambria" w:hAnsi="Cambria" w:cs="Cambria"/>
        </w:rPr>
        <w:t xml:space="preserve"> (fig </w:t>
      </w:r>
      <w:r w:rsidR="003E773F">
        <w:rPr>
          <w:rFonts w:ascii="Cambria" w:hAnsi="Cambria" w:cs="Cambria"/>
        </w:rPr>
        <w:t>2</w:t>
      </w:r>
      <w:r w:rsidR="00EC41EE" w:rsidRPr="003E773F">
        <w:rPr>
          <w:rFonts w:ascii="Cambria" w:hAnsi="Cambria" w:cs="Cambria"/>
          <w:vertAlign w:val="subscript"/>
        </w:rPr>
        <w:t>k</w:t>
      </w:r>
      <w:r w:rsidR="00EC41EE">
        <w:rPr>
          <w:rFonts w:ascii="Cambria" w:hAnsi="Cambria" w:cs="Cambria"/>
        </w:rPr>
        <w:t xml:space="preserve">, </w:t>
      </w:r>
      <w:r w:rsidR="003E773F">
        <w:rPr>
          <w:rFonts w:ascii="Cambria" w:hAnsi="Cambria" w:cs="Cambria"/>
        </w:rPr>
        <w:t>4</w:t>
      </w:r>
      <w:r w:rsidR="00EC41EE" w:rsidRPr="003E773F">
        <w:rPr>
          <w:rFonts w:ascii="Cambria" w:hAnsi="Cambria" w:cs="Cambria"/>
          <w:vertAlign w:val="subscript"/>
        </w:rPr>
        <w:t>k</w:t>
      </w:r>
      <w:r w:rsidR="00EC41EE">
        <w:rPr>
          <w:rFonts w:ascii="Cambria" w:hAnsi="Cambria" w:cs="Cambria"/>
        </w:rPr>
        <w:t>)</w:t>
      </w:r>
      <w:r>
        <w:rPr>
          <w:rFonts w:ascii="Cambria" w:hAnsi="Cambria" w:cs="Cambria"/>
        </w:rPr>
        <w:t>. This produced a dendrogram of a few long branches with the main partitioning of species being very shallow and occurring near or at th</w:t>
      </w:r>
      <w:r w:rsidR="00EC41EE">
        <w:rPr>
          <w:rFonts w:ascii="Cambria" w:hAnsi="Cambria" w:cs="Cambria"/>
        </w:rPr>
        <w:t>e leaves of the tree. It is likely that should an analysis could</w:t>
      </w:r>
      <w:r>
        <w:rPr>
          <w:rFonts w:ascii="Cambria" w:hAnsi="Cambria" w:cs="Cambria"/>
        </w:rPr>
        <w:t xml:space="preserve"> be </w:t>
      </w:r>
      <w:r w:rsidR="00EC41EE">
        <w:rPr>
          <w:rFonts w:ascii="Cambria" w:hAnsi="Cambria" w:cs="Cambria"/>
        </w:rPr>
        <w:t>highly to sensitive to inconsistencies between metric available to describe trait for each species (ie. maximum, average etc) and differences in sources of information and should therefore be avoided.</w:t>
      </w:r>
    </w:p>
    <w:p w:rsidR="002A3D05" w:rsidRDefault="002A3D05"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p>
    <w:p w:rsidR="00EC41EE" w:rsidRDefault="00EC41EE"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p>
    <w:p w:rsidR="003439EB" w:rsidRPr="003439EB" w:rsidRDefault="003E773F"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sz w:val="22"/>
        </w:rPr>
      </w:pPr>
      <w:r>
        <w:rPr>
          <w:rFonts w:ascii="Cambria" w:hAnsi="Cambria" w:cs="Cambria"/>
        </w:rPr>
        <w:t>Interestingly a large proportion of nodes (70-80%) across the vast majority of analyses are completely taxonomically distinct ie. they are composed of species of completely different phyla.</w:t>
      </w:r>
      <w:r w:rsidR="003C29CB">
        <w:rPr>
          <w:rFonts w:ascii="Cambria" w:hAnsi="Cambria" w:cs="Cambria"/>
        </w:rPr>
        <w:br w:type="page"/>
      </w:r>
      <w:r w:rsidR="003439EB" w:rsidRPr="003439EB">
        <w:rPr>
          <w:rFonts w:ascii="Cambria" w:hAnsi="Cambria" w:cs="Cambria"/>
          <w:b/>
          <w:sz w:val="22"/>
        </w:rPr>
        <w:t>Table 1</w:t>
      </w:r>
      <w:r w:rsidR="003439EB" w:rsidRPr="003439EB">
        <w:rPr>
          <w:rFonts w:ascii="Cambria" w:hAnsi="Cambria" w:cs="Cambria"/>
          <w:sz w:val="22"/>
        </w:rPr>
        <w:t xml:space="preserve"> Details of Trait data. The ordering from top to bottom reflects the sequence of inclusion of variables.  Data availability indicates the number of species for which trait data were available and complete cases indicates the number of species for which data for the trait and all previous traits in the sequence are available.</w:t>
      </w:r>
    </w:p>
    <w:p w:rsidR="000C543B" w:rsidRDefault="000C543B"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p>
    <w:tbl>
      <w:tblPr>
        <w:tblW w:w="9727" w:type="dxa"/>
        <w:tblInd w:w="-263" w:type="dxa"/>
        <w:tblLook w:val="0000"/>
      </w:tblPr>
      <w:tblGrid>
        <w:gridCol w:w="2433"/>
        <w:gridCol w:w="980"/>
        <w:gridCol w:w="1002"/>
        <w:gridCol w:w="1299"/>
        <w:gridCol w:w="4013"/>
      </w:tblGrid>
      <w:tr w:rsidR="000C543B" w:rsidRPr="003439EB">
        <w:trPr>
          <w:trHeight w:val="800"/>
        </w:trPr>
        <w:tc>
          <w:tcPr>
            <w:tcW w:w="2439" w:type="dxa"/>
            <w:tcBorders>
              <w:top w:val="single" w:sz="4" w:space="0" w:color="auto"/>
              <w:left w:val="nil"/>
              <w:bottom w:val="single" w:sz="8" w:space="0" w:color="auto"/>
              <w:right w:val="nil"/>
            </w:tcBorders>
            <w:shd w:val="clear" w:color="auto" w:fill="auto"/>
            <w:vAlign w:val="center"/>
          </w:tcPr>
          <w:p w:rsidR="000C543B" w:rsidRPr="003439EB" w:rsidRDefault="000C543B" w:rsidP="000C543B">
            <w:pPr>
              <w:jc w:val="center"/>
              <w:rPr>
                <w:rFonts w:ascii="Cambria" w:hAnsi="Cambria"/>
                <w:b/>
                <w:bCs/>
                <w:sz w:val="18"/>
                <w:szCs w:val="20"/>
                <w:lang w:val="en-GB"/>
              </w:rPr>
            </w:pPr>
            <w:r w:rsidRPr="003439EB">
              <w:rPr>
                <w:rFonts w:ascii="Cambria" w:hAnsi="Cambria"/>
                <w:b/>
                <w:bCs/>
                <w:sz w:val="18"/>
                <w:szCs w:val="20"/>
                <w:lang w:val="en-GB"/>
              </w:rPr>
              <w:t>Trait</w:t>
            </w:r>
          </w:p>
        </w:tc>
        <w:tc>
          <w:tcPr>
            <w:tcW w:w="980" w:type="dxa"/>
            <w:tcBorders>
              <w:top w:val="single" w:sz="4" w:space="0" w:color="auto"/>
              <w:left w:val="nil"/>
              <w:bottom w:val="single" w:sz="8" w:space="0" w:color="auto"/>
              <w:right w:val="nil"/>
            </w:tcBorders>
            <w:shd w:val="clear" w:color="auto" w:fill="auto"/>
            <w:vAlign w:val="center"/>
          </w:tcPr>
          <w:p w:rsidR="000C543B" w:rsidRPr="003439EB" w:rsidRDefault="003439EB" w:rsidP="000C543B">
            <w:pPr>
              <w:jc w:val="center"/>
              <w:rPr>
                <w:rFonts w:ascii="Cambria" w:hAnsi="Cambria"/>
                <w:b/>
                <w:bCs/>
                <w:sz w:val="18"/>
                <w:szCs w:val="20"/>
                <w:lang w:val="en-GB"/>
              </w:rPr>
            </w:pPr>
            <w:r>
              <w:rPr>
                <w:rFonts w:ascii="Cambria" w:hAnsi="Cambria"/>
                <w:b/>
                <w:bCs/>
                <w:sz w:val="18"/>
                <w:szCs w:val="20"/>
                <w:lang w:val="en-GB"/>
              </w:rPr>
              <w:t>Data availabi- lity</w:t>
            </w:r>
          </w:p>
        </w:tc>
        <w:tc>
          <w:tcPr>
            <w:tcW w:w="983" w:type="dxa"/>
            <w:tcBorders>
              <w:top w:val="single" w:sz="4" w:space="0" w:color="auto"/>
              <w:left w:val="nil"/>
              <w:bottom w:val="single" w:sz="8" w:space="0" w:color="auto"/>
              <w:right w:val="nil"/>
            </w:tcBorders>
            <w:shd w:val="clear" w:color="auto" w:fill="auto"/>
            <w:vAlign w:val="center"/>
          </w:tcPr>
          <w:p w:rsidR="000C543B" w:rsidRPr="003439EB" w:rsidRDefault="003439EB" w:rsidP="000C543B">
            <w:pPr>
              <w:jc w:val="center"/>
              <w:rPr>
                <w:rFonts w:ascii="Cambria" w:hAnsi="Cambria"/>
                <w:b/>
                <w:bCs/>
                <w:sz w:val="18"/>
                <w:szCs w:val="20"/>
                <w:lang w:val="en-GB"/>
              </w:rPr>
            </w:pPr>
            <w:r>
              <w:rPr>
                <w:rFonts w:ascii="Cambria" w:hAnsi="Cambria"/>
                <w:b/>
                <w:bCs/>
                <w:sz w:val="18"/>
                <w:szCs w:val="20"/>
                <w:lang w:val="en-GB"/>
              </w:rPr>
              <w:t>C</w:t>
            </w:r>
            <w:r w:rsidR="000C543B" w:rsidRPr="003439EB">
              <w:rPr>
                <w:rFonts w:ascii="Cambria" w:hAnsi="Cambria"/>
                <w:b/>
                <w:bCs/>
                <w:sz w:val="18"/>
                <w:szCs w:val="20"/>
                <w:lang w:val="en-GB"/>
              </w:rPr>
              <w:t>omplete cases</w:t>
            </w:r>
          </w:p>
        </w:tc>
        <w:tc>
          <w:tcPr>
            <w:tcW w:w="1300" w:type="dxa"/>
            <w:tcBorders>
              <w:top w:val="single" w:sz="4" w:space="0" w:color="auto"/>
              <w:left w:val="nil"/>
              <w:bottom w:val="single" w:sz="8" w:space="0" w:color="auto"/>
              <w:right w:val="nil"/>
            </w:tcBorders>
            <w:shd w:val="clear" w:color="auto" w:fill="auto"/>
            <w:vAlign w:val="center"/>
          </w:tcPr>
          <w:p w:rsidR="000C543B" w:rsidRPr="003439EB" w:rsidRDefault="000C543B" w:rsidP="000C543B">
            <w:pPr>
              <w:jc w:val="center"/>
              <w:rPr>
                <w:rFonts w:ascii="Cambria" w:hAnsi="Cambria"/>
                <w:b/>
                <w:bCs/>
                <w:sz w:val="18"/>
                <w:szCs w:val="20"/>
                <w:lang w:val="en-GB"/>
              </w:rPr>
            </w:pPr>
            <w:r w:rsidRPr="003439EB">
              <w:rPr>
                <w:rFonts w:ascii="Cambria" w:hAnsi="Cambria"/>
                <w:b/>
                <w:bCs/>
                <w:sz w:val="18"/>
                <w:szCs w:val="20"/>
                <w:lang w:val="en-GB"/>
              </w:rPr>
              <w:t>Type</w:t>
            </w:r>
          </w:p>
        </w:tc>
        <w:tc>
          <w:tcPr>
            <w:tcW w:w="4025" w:type="dxa"/>
            <w:tcBorders>
              <w:top w:val="single" w:sz="4" w:space="0" w:color="auto"/>
              <w:left w:val="nil"/>
              <w:bottom w:val="single" w:sz="8" w:space="0" w:color="auto"/>
              <w:right w:val="nil"/>
            </w:tcBorders>
            <w:shd w:val="clear" w:color="auto" w:fill="auto"/>
            <w:vAlign w:val="center"/>
          </w:tcPr>
          <w:p w:rsidR="000C543B" w:rsidRPr="003439EB" w:rsidRDefault="000C543B" w:rsidP="000C543B">
            <w:pPr>
              <w:jc w:val="center"/>
              <w:rPr>
                <w:rFonts w:ascii="Cambria" w:hAnsi="Cambria"/>
                <w:b/>
                <w:bCs/>
                <w:sz w:val="18"/>
                <w:szCs w:val="20"/>
                <w:lang w:val="en-GB"/>
              </w:rPr>
            </w:pPr>
            <w:r w:rsidRPr="003439EB">
              <w:rPr>
                <w:rFonts w:ascii="Cambria" w:hAnsi="Cambria"/>
                <w:b/>
                <w:bCs/>
                <w:sz w:val="18"/>
                <w:szCs w:val="20"/>
                <w:lang w:val="en-GB"/>
              </w:rPr>
              <w:t>Range / modalities</w:t>
            </w:r>
          </w:p>
        </w:tc>
      </w:tr>
      <w:tr w:rsidR="000C543B" w:rsidRPr="003439EB">
        <w:trPr>
          <w:trHeight w:val="28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Body Size</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204</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198</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Continuous</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0.4 - 90 cm</w:t>
            </w:r>
          </w:p>
        </w:tc>
      </w:tr>
      <w:tr w:rsidR="000C543B" w:rsidRPr="003439EB">
        <w:trPr>
          <w:trHeight w:val="78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Movement Method</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195</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188</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burrower, crawler, floater, motile, permanent attachment, sessile, swimmer, temporary attachment, tube-dwelling</w:t>
            </w:r>
          </w:p>
        </w:tc>
      </w:tr>
      <w:tr w:rsidR="000C543B" w:rsidRPr="003439EB">
        <w:trPr>
          <w:trHeight w:val="78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Feeding Method</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195</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179</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active suspension feeder, browser, deposit feeder, filter feeder, grazer, passive suspension feeder, predator, scavenger, surface deposit feeder, suspension feeder</w:t>
            </w:r>
          </w:p>
        </w:tc>
      </w:tr>
      <w:tr w:rsidR="000C543B" w:rsidRPr="003439EB">
        <w:trPr>
          <w:trHeight w:val="28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Sociability</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183</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164</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colonial, gregarious, solitary, sometimes gregarious</w:t>
            </w:r>
          </w:p>
        </w:tc>
      </w:tr>
      <w:tr w:rsidR="000C543B" w:rsidRPr="003439EB">
        <w:trPr>
          <w:trHeight w:val="52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Habitat</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133</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120</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demersal, epibenthic, epifaunal, epilithic, epiphytic, epizoic, infaunal</w:t>
            </w:r>
          </w:p>
        </w:tc>
      </w:tr>
      <w:tr w:rsidR="000C543B" w:rsidRPr="003439EB">
        <w:trPr>
          <w:trHeight w:val="104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Diet</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120</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101</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algae, benthic organisms, detritus, macroalgae, meiobenthic organisms, micro-organisms, microalgae, omnivore, phytoplankton, plankton, sediment particles, suspended particles/material, zooplankton</w:t>
            </w:r>
          </w:p>
        </w:tc>
      </w:tr>
      <w:tr w:rsidR="000C543B" w:rsidRPr="003439EB">
        <w:trPr>
          <w:trHeight w:val="52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Migration</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142</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91</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irregular/single migration, no evidence, non-migratory, regular</w:t>
            </w:r>
          </w:p>
        </w:tc>
      </w:tr>
      <w:tr w:rsidR="000C543B" w:rsidRPr="003439EB">
        <w:trPr>
          <w:trHeight w:val="28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Reproductive Frequency</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116</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79</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annual, biannual, semelparous</w:t>
            </w:r>
          </w:p>
        </w:tc>
      </w:tr>
      <w:tr w:rsidR="000C543B" w:rsidRPr="003439EB">
        <w:trPr>
          <w:trHeight w:val="28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Larval Feeding Strategy</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113</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65</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lecithotrophic, planktotrophic</w:t>
            </w:r>
          </w:p>
        </w:tc>
      </w:tr>
      <w:tr w:rsidR="000C543B" w:rsidRPr="003439EB">
        <w:trPr>
          <w:trHeight w:val="28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Lifespan</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146</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47</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Continuous</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1.5 - 60.5</w:t>
            </w:r>
          </w:p>
        </w:tc>
      </w:tr>
      <w:tr w:rsidR="000C543B" w:rsidRPr="003439EB">
        <w:trPr>
          <w:trHeight w:val="28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Reproductive Period</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111</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46</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episodic, protracted</w:t>
            </w:r>
          </w:p>
        </w:tc>
      </w:tr>
      <w:tr w:rsidR="000C543B" w:rsidRPr="003439EB">
        <w:trPr>
          <w:trHeight w:val="780"/>
        </w:trPr>
        <w:tc>
          <w:tcPr>
            <w:tcW w:w="2439" w:type="dxa"/>
            <w:tcBorders>
              <w:top w:val="nil"/>
              <w:left w:val="nil"/>
              <w:bottom w:val="nil"/>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Developmental Mechanism</w:t>
            </w:r>
          </w:p>
        </w:tc>
        <w:tc>
          <w:tcPr>
            <w:tcW w:w="98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105</w:t>
            </w:r>
          </w:p>
        </w:tc>
        <w:tc>
          <w:tcPr>
            <w:tcW w:w="983"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17</w:t>
            </w:r>
          </w:p>
        </w:tc>
        <w:tc>
          <w:tcPr>
            <w:tcW w:w="1300" w:type="dxa"/>
            <w:tcBorders>
              <w:top w:val="nil"/>
              <w:left w:val="nil"/>
              <w:bottom w:val="nil"/>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nil"/>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direct development, larval development, benthic larval development, pelagic larval development, oviparous, fission</w:t>
            </w:r>
          </w:p>
        </w:tc>
      </w:tr>
      <w:tr w:rsidR="000C543B" w:rsidRPr="003439EB">
        <w:trPr>
          <w:trHeight w:val="300"/>
        </w:trPr>
        <w:tc>
          <w:tcPr>
            <w:tcW w:w="2439" w:type="dxa"/>
            <w:tcBorders>
              <w:top w:val="nil"/>
              <w:left w:val="nil"/>
              <w:bottom w:val="double" w:sz="6" w:space="0" w:color="auto"/>
              <w:right w:val="nil"/>
            </w:tcBorders>
            <w:shd w:val="clear" w:color="auto" w:fill="auto"/>
          </w:tcPr>
          <w:p w:rsidR="000C543B" w:rsidRPr="003439EB" w:rsidRDefault="000C543B" w:rsidP="000C543B">
            <w:pPr>
              <w:rPr>
                <w:rFonts w:ascii="Cambria" w:hAnsi="Cambria"/>
                <w:b/>
                <w:bCs/>
                <w:i/>
                <w:iCs/>
                <w:sz w:val="18"/>
                <w:szCs w:val="20"/>
                <w:lang w:val="en-GB"/>
              </w:rPr>
            </w:pPr>
            <w:r w:rsidRPr="003439EB">
              <w:rPr>
                <w:rFonts w:ascii="Cambria" w:hAnsi="Cambria"/>
                <w:b/>
                <w:bCs/>
                <w:i/>
                <w:iCs/>
                <w:sz w:val="18"/>
                <w:szCs w:val="20"/>
                <w:lang w:val="en-GB"/>
              </w:rPr>
              <w:t>Reproductive Timing</w:t>
            </w:r>
          </w:p>
        </w:tc>
        <w:tc>
          <w:tcPr>
            <w:tcW w:w="980" w:type="dxa"/>
            <w:tcBorders>
              <w:top w:val="nil"/>
              <w:left w:val="nil"/>
              <w:bottom w:val="double" w:sz="6" w:space="0" w:color="auto"/>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91</w:t>
            </w:r>
          </w:p>
        </w:tc>
        <w:tc>
          <w:tcPr>
            <w:tcW w:w="983" w:type="dxa"/>
            <w:tcBorders>
              <w:top w:val="nil"/>
              <w:left w:val="nil"/>
              <w:bottom w:val="double" w:sz="6" w:space="0" w:color="auto"/>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15</w:t>
            </w:r>
          </w:p>
        </w:tc>
        <w:tc>
          <w:tcPr>
            <w:tcW w:w="1300" w:type="dxa"/>
            <w:tcBorders>
              <w:top w:val="nil"/>
              <w:left w:val="nil"/>
              <w:bottom w:val="double" w:sz="6" w:space="0" w:color="auto"/>
              <w:right w:val="nil"/>
            </w:tcBorders>
            <w:shd w:val="clear" w:color="auto" w:fill="auto"/>
          </w:tcPr>
          <w:p w:rsidR="000C543B" w:rsidRPr="003439EB" w:rsidRDefault="000C543B" w:rsidP="000C543B">
            <w:pPr>
              <w:jc w:val="center"/>
              <w:rPr>
                <w:rFonts w:ascii="Cambria" w:hAnsi="Cambria"/>
                <w:sz w:val="18"/>
                <w:szCs w:val="20"/>
                <w:lang w:val="en-GB"/>
              </w:rPr>
            </w:pPr>
            <w:r w:rsidRPr="003439EB">
              <w:rPr>
                <w:rFonts w:ascii="Cambria" w:hAnsi="Cambria"/>
                <w:sz w:val="18"/>
                <w:szCs w:val="20"/>
                <w:lang w:val="en-GB"/>
              </w:rPr>
              <w:t>Categorical</w:t>
            </w:r>
          </w:p>
        </w:tc>
        <w:tc>
          <w:tcPr>
            <w:tcW w:w="4025" w:type="dxa"/>
            <w:tcBorders>
              <w:top w:val="nil"/>
              <w:left w:val="nil"/>
              <w:bottom w:val="double" w:sz="6" w:space="0" w:color="auto"/>
              <w:right w:val="nil"/>
            </w:tcBorders>
            <w:shd w:val="clear" w:color="auto" w:fill="auto"/>
          </w:tcPr>
          <w:p w:rsidR="000C543B" w:rsidRPr="003439EB" w:rsidRDefault="000C543B" w:rsidP="000C543B">
            <w:pPr>
              <w:rPr>
                <w:rFonts w:ascii="Cambria" w:hAnsi="Cambria"/>
                <w:sz w:val="18"/>
                <w:szCs w:val="20"/>
                <w:lang w:val="en-GB"/>
              </w:rPr>
            </w:pPr>
            <w:r w:rsidRPr="003439EB">
              <w:rPr>
                <w:rFonts w:ascii="Cambria" w:hAnsi="Cambria"/>
                <w:sz w:val="18"/>
                <w:szCs w:val="20"/>
                <w:lang w:val="en-GB"/>
              </w:rPr>
              <w:t>1 to 12</w:t>
            </w:r>
          </w:p>
        </w:tc>
      </w:tr>
    </w:tbl>
    <w:p w:rsidR="003439EB" w:rsidRDefault="003439EB"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sz w:val="18"/>
        </w:rPr>
      </w:pPr>
    </w:p>
    <w:p w:rsidR="000C543B" w:rsidRPr="003439EB" w:rsidRDefault="003439EB"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sz w:val="18"/>
        </w:rPr>
      </w:pPr>
      <w:r>
        <w:rPr>
          <w:rFonts w:ascii="Cambria" w:hAnsi="Cambria" w:cs="Cambria"/>
          <w:sz w:val="18"/>
        </w:rPr>
        <w:br w:type="page"/>
      </w:r>
    </w:p>
    <w:p w:rsidR="00EC41EE" w:rsidRDefault="003C29CB"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r>
        <w:rPr>
          <w:rFonts w:ascii="Cambria" w:hAnsi="Cambria" w:cs="Cambria"/>
          <w:noProof/>
        </w:rPr>
        <w:drawing>
          <wp:inline distT="0" distB="0" distL="0" distR="0">
            <wp:extent cx="5476240" cy="2377440"/>
            <wp:effectExtent l="25400" t="0" r="10160" b="0"/>
            <wp:docPr id="4" name="Picture 3" descr=":tab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image.jpg"/>
                    <pic:cNvPicPr>
                      <a:picLocks noChangeAspect="1" noChangeArrowheads="1"/>
                    </pic:cNvPicPr>
                  </pic:nvPicPr>
                  <pic:blipFill>
                    <a:blip r:embed="rId5"/>
                    <a:srcRect/>
                    <a:stretch>
                      <a:fillRect/>
                    </a:stretch>
                  </pic:blipFill>
                  <pic:spPr bwMode="auto">
                    <a:xfrm>
                      <a:off x="0" y="0"/>
                      <a:ext cx="5476240" cy="2377440"/>
                    </a:xfrm>
                    <a:prstGeom prst="rect">
                      <a:avLst/>
                    </a:prstGeom>
                    <a:noFill/>
                    <a:ln w="9525">
                      <a:noFill/>
                      <a:miter lim="800000"/>
                      <a:headEnd/>
                      <a:tailEnd/>
                    </a:ln>
                  </pic:spPr>
                </pic:pic>
              </a:graphicData>
            </a:graphic>
          </wp:inline>
        </w:drawing>
      </w:r>
    </w:p>
    <w:p w:rsidR="00C60742" w:rsidRPr="002D62C0" w:rsidRDefault="00C60742"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p>
    <w:p w:rsidR="00C60742" w:rsidRDefault="00C60742"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p>
    <w:p w:rsidR="00C60742" w:rsidRDefault="00C60742" w:rsidP="00C60742">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rPr>
          <w:rFonts w:ascii="Cambria" w:hAnsi="Cambria" w:cs="Cambria"/>
        </w:rPr>
      </w:pPr>
    </w:p>
    <w:p w:rsidR="00817685" w:rsidRDefault="00817685" w:rsidP="00817685">
      <w:pPr>
        <w:widowControl w:val="0"/>
        <w:tabs>
          <w:tab w:val="left" w:pos="920"/>
          <w:tab w:val="left" w:pos="1480"/>
          <w:tab w:val="left" w:pos="2040"/>
          <w:tab w:val="left" w:pos="2600"/>
          <w:tab w:val="left" w:pos="3160"/>
          <w:tab w:val="left" w:pos="3720"/>
          <w:tab w:val="left" w:pos="4280"/>
          <w:tab w:val="left" w:pos="4840"/>
          <w:tab w:val="left" w:pos="5400"/>
          <w:tab w:val="left" w:pos="5960"/>
          <w:tab w:val="left" w:pos="6520"/>
          <w:tab w:val="left" w:pos="7080"/>
        </w:tabs>
        <w:autoSpaceDE w:val="0"/>
        <w:autoSpaceDN w:val="0"/>
        <w:adjustRightInd w:val="0"/>
        <w:spacing w:after="0"/>
        <w:ind w:left="360"/>
        <w:rPr>
          <w:rFonts w:ascii="Cambria" w:hAnsi="Cambria" w:cs="Cambria"/>
        </w:rPr>
      </w:pPr>
    </w:p>
    <w:p w:rsidR="000E60AF" w:rsidRPr="000C543B" w:rsidRDefault="00817685" w:rsidP="00817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Helvetica"/>
          <w:sz w:val="22"/>
        </w:rPr>
      </w:pPr>
      <w:r>
        <w:rPr>
          <w:rFonts w:ascii="Helvetica" w:hAnsi="Helvetica" w:cs="Helvetica"/>
        </w:rPr>
        <w:t xml:space="preserve"> </w:t>
      </w:r>
      <w:r w:rsidR="000E60AF" w:rsidRPr="000C543B">
        <w:rPr>
          <w:rFonts w:ascii="Cambria" w:hAnsi="Cambria" w:cs="Helvetica"/>
          <w:b/>
          <w:sz w:val="22"/>
        </w:rPr>
        <w:t>Figure 1</w:t>
      </w:r>
      <w:r w:rsidR="000E60AF" w:rsidRPr="000C543B">
        <w:rPr>
          <w:rFonts w:ascii="Cambria" w:hAnsi="Cambria" w:cs="Helvetica"/>
          <w:sz w:val="22"/>
        </w:rPr>
        <w:t xml:space="preserve"> </w:t>
      </w:r>
      <w:r w:rsidR="0006418E" w:rsidRPr="000C543B">
        <w:rPr>
          <w:rFonts w:ascii="Cambria" w:hAnsi="Cambria" w:cs="Helvetica"/>
          <w:sz w:val="22"/>
        </w:rPr>
        <w:t>Representation of ordering of species (</w:t>
      </w:r>
      <w:r w:rsidR="0006418E" w:rsidRPr="000C543B">
        <w:rPr>
          <w:rFonts w:ascii="Cambria" w:hAnsi="Cambria" w:cs="Helvetica"/>
          <w:i/>
          <w:sz w:val="22"/>
        </w:rPr>
        <w:t>s</w:t>
      </w:r>
      <w:r w:rsidR="0006418E" w:rsidRPr="000C543B">
        <w:rPr>
          <w:rFonts w:ascii="Cambria" w:hAnsi="Cambria" w:cs="Helvetica"/>
          <w:sz w:val="22"/>
        </w:rPr>
        <w:t>) and traits (</w:t>
      </w:r>
      <w:r w:rsidR="0006418E" w:rsidRPr="000C543B">
        <w:rPr>
          <w:rFonts w:ascii="Cambria" w:hAnsi="Cambria" w:cs="Helvetica"/>
          <w:i/>
          <w:sz w:val="22"/>
        </w:rPr>
        <w:t xml:space="preserve">t </w:t>
      </w:r>
      <w:r w:rsidR="0006418E" w:rsidRPr="000C543B">
        <w:rPr>
          <w:rFonts w:ascii="Cambria" w:hAnsi="Cambria" w:cs="Helvetica"/>
          <w:sz w:val="22"/>
        </w:rPr>
        <w:t xml:space="preserve">) </w:t>
      </w:r>
      <w:r w:rsidR="003C29CB" w:rsidRPr="000C543B">
        <w:rPr>
          <w:rFonts w:ascii="Cambria" w:hAnsi="Cambria" w:cs="Helvetica"/>
          <w:sz w:val="22"/>
        </w:rPr>
        <w:t xml:space="preserve">and selection </w:t>
      </w:r>
      <w:r w:rsidR="000C543B" w:rsidRPr="000C543B">
        <w:rPr>
          <w:rFonts w:ascii="Cambria" w:hAnsi="Cambria" w:cs="Helvetica"/>
          <w:sz w:val="22"/>
        </w:rPr>
        <w:t xml:space="preserve">procedure for each condition. A) Both species and trait number included in analysis is varied at each iteration resulting in all data being used in complete analysis B) Number of species included in analysis is held constant while trait inclusion is varied C) Number of traits is held constant while species are varied. Sequence of trait / species exclusion is fixed and follows ordering imposed by data availability.  </w:t>
      </w:r>
    </w:p>
    <w:p w:rsidR="000E60AF" w:rsidRDefault="000E60AF" w:rsidP="00817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rPr>
      </w:pPr>
    </w:p>
    <w:p w:rsidR="00817685" w:rsidRDefault="000E60AF" w:rsidP="00817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ambria" w:hAnsi="Cambria" w:cs="Cambria"/>
        </w:rPr>
      </w:pPr>
      <w:r>
        <w:rPr>
          <w:rFonts w:ascii="Helvetica" w:hAnsi="Helvetica" w:cs="Helvetica"/>
        </w:rPr>
        <w:br w:type="page"/>
      </w:r>
    </w:p>
    <w:p w:rsidR="00350884" w:rsidRDefault="000E60AF">
      <w:pPr>
        <w:rPr>
          <w:sz w:val="22"/>
        </w:rPr>
      </w:pPr>
      <w:r>
        <w:rPr>
          <w:noProof/>
        </w:rPr>
        <w:drawing>
          <wp:inline distT="0" distB="0" distL="0" distR="0">
            <wp:extent cx="5486400" cy="7518400"/>
            <wp:effectExtent l="25400" t="0" r="0" b="0"/>
            <wp:docPr id="1" name="Picture 1" descr=":plots:both 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both plots.png"/>
                    <pic:cNvPicPr>
                      <a:picLocks noChangeAspect="1" noChangeArrowheads="1"/>
                    </pic:cNvPicPr>
                  </pic:nvPicPr>
                  <pic:blipFill>
                    <a:blip r:embed="rId6"/>
                    <a:srcRect/>
                    <a:stretch>
                      <a:fillRect/>
                    </a:stretch>
                  </pic:blipFill>
                  <pic:spPr bwMode="auto">
                    <a:xfrm>
                      <a:off x="0" y="0"/>
                      <a:ext cx="5486400" cy="7518400"/>
                    </a:xfrm>
                    <a:prstGeom prst="rect">
                      <a:avLst/>
                    </a:prstGeom>
                    <a:noFill/>
                    <a:ln w="9525">
                      <a:noFill/>
                      <a:miter lim="800000"/>
                      <a:headEnd/>
                      <a:tailEnd/>
                    </a:ln>
                  </pic:spPr>
                </pic:pic>
              </a:graphicData>
            </a:graphic>
          </wp:inline>
        </w:drawing>
      </w:r>
      <w:r w:rsidRPr="00350884">
        <w:rPr>
          <w:b/>
          <w:sz w:val="22"/>
        </w:rPr>
        <w:t>Figure 2</w:t>
      </w:r>
      <w:r w:rsidR="003439EB">
        <w:rPr>
          <w:sz w:val="22"/>
        </w:rPr>
        <w:t xml:space="preserve"> Results from analysis A in which both number of traits</w:t>
      </w:r>
      <w:r w:rsidR="00350884">
        <w:rPr>
          <w:sz w:val="22"/>
        </w:rPr>
        <w:t xml:space="preserve"> (</w:t>
      </w:r>
      <w:r w:rsidR="00350884">
        <w:rPr>
          <w:i/>
          <w:sz w:val="22"/>
        </w:rPr>
        <w:t>t</w:t>
      </w:r>
      <w:r w:rsidR="00350884">
        <w:rPr>
          <w:sz w:val="22"/>
        </w:rPr>
        <w:t xml:space="preserve"> )</w:t>
      </w:r>
      <w:r w:rsidR="003439EB">
        <w:rPr>
          <w:sz w:val="22"/>
        </w:rPr>
        <w:t xml:space="preserve"> and species </w:t>
      </w:r>
      <w:r w:rsidR="00350884">
        <w:rPr>
          <w:sz w:val="22"/>
        </w:rPr>
        <w:t>(</w:t>
      </w:r>
      <w:r w:rsidR="00350884">
        <w:rPr>
          <w:i/>
          <w:sz w:val="22"/>
        </w:rPr>
        <w:t>s</w:t>
      </w:r>
      <w:r w:rsidR="00350884">
        <w:rPr>
          <w:sz w:val="22"/>
        </w:rPr>
        <w:t xml:space="preserve">) </w:t>
      </w:r>
      <w:r w:rsidR="003439EB">
        <w:rPr>
          <w:sz w:val="22"/>
        </w:rPr>
        <w:t>included was varied for selected</w:t>
      </w:r>
      <w:r w:rsidR="00350884">
        <w:rPr>
          <w:sz w:val="22"/>
        </w:rPr>
        <w:t xml:space="preserve"> </w:t>
      </w:r>
      <w:r w:rsidR="00350884" w:rsidRPr="00350884">
        <w:rPr>
          <w:i/>
          <w:sz w:val="22"/>
        </w:rPr>
        <w:t>t</w:t>
      </w:r>
      <w:r w:rsidR="00350884">
        <w:rPr>
          <w:sz w:val="22"/>
        </w:rPr>
        <w:t xml:space="preserve"> and </w:t>
      </w:r>
      <w:r w:rsidR="00350884" w:rsidRPr="00350884">
        <w:rPr>
          <w:i/>
          <w:sz w:val="22"/>
        </w:rPr>
        <w:t>s</w:t>
      </w:r>
      <w:r w:rsidR="00350884">
        <w:rPr>
          <w:sz w:val="22"/>
        </w:rPr>
        <w:t xml:space="preserve"> combinations. Left panels show FD dendrograms and right panels show corresponding relationship between </w:t>
      </w:r>
      <w:r w:rsidR="00350884">
        <w:rPr>
          <w:rFonts w:ascii="Cambria" w:hAnsi="Cambria" w:cs="Cambria"/>
        </w:rPr>
        <w:t>Δ</w:t>
      </w:r>
      <w:r w:rsidR="00350884">
        <w:rPr>
          <w:rFonts w:ascii="Cambria" w:hAnsi="Cambria" w:cs="Cambria"/>
          <w:vertAlign w:val="subscript"/>
        </w:rPr>
        <w:t>f</w:t>
      </w:r>
      <w:r w:rsidR="00350884" w:rsidRPr="002D62C0">
        <w:rPr>
          <w:rFonts w:ascii="Cambria" w:hAnsi="Cambria" w:cs="Cambria"/>
          <w:vertAlign w:val="superscript"/>
        </w:rPr>
        <w:t>+</w:t>
      </w:r>
      <w:r w:rsidR="00350884">
        <w:rPr>
          <w:sz w:val="22"/>
        </w:rPr>
        <w:t xml:space="preserve"> and h</w:t>
      </w:r>
      <w:r w:rsidR="00350884">
        <w:rPr>
          <w:sz w:val="22"/>
          <w:vertAlign w:val="subscript"/>
        </w:rPr>
        <w:t>f</w:t>
      </w:r>
      <w:r w:rsidR="00350884">
        <w:rPr>
          <w:sz w:val="22"/>
        </w:rPr>
        <w:t xml:space="preserve">. Solid line indicates linear model fit while dashed line indicates model fit and 95% confidence intervals of relationship between </w:t>
      </w:r>
      <w:r w:rsidR="00350884">
        <w:rPr>
          <w:rFonts w:ascii="Cambria" w:hAnsi="Cambria" w:cs="Cambria"/>
        </w:rPr>
        <w:t>Δ</w:t>
      </w:r>
      <w:r w:rsidR="00350884">
        <w:rPr>
          <w:rFonts w:ascii="Cambria" w:hAnsi="Cambria" w:cs="Cambria"/>
          <w:vertAlign w:val="subscript"/>
        </w:rPr>
        <w:t>t</w:t>
      </w:r>
      <w:r w:rsidR="00350884" w:rsidRPr="002D62C0">
        <w:rPr>
          <w:rFonts w:ascii="Cambria" w:hAnsi="Cambria" w:cs="Cambria"/>
          <w:vertAlign w:val="superscript"/>
        </w:rPr>
        <w:t>+</w:t>
      </w:r>
      <w:r w:rsidR="00350884">
        <w:rPr>
          <w:sz w:val="22"/>
        </w:rPr>
        <w:t xml:space="preserve"> and h</w:t>
      </w:r>
      <w:r w:rsidR="00350884">
        <w:rPr>
          <w:sz w:val="22"/>
          <w:vertAlign w:val="subscript"/>
        </w:rPr>
        <w:t>t</w:t>
      </w:r>
      <w:r w:rsidR="00350884">
        <w:rPr>
          <w:sz w:val="22"/>
        </w:rPr>
        <w:t>.</w:t>
      </w:r>
      <w:r w:rsidR="00B52665">
        <w:rPr>
          <w:sz w:val="22"/>
        </w:rPr>
        <w:t xml:space="preserve"> h</w:t>
      </w:r>
      <w:r w:rsidR="00B52665">
        <w:rPr>
          <w:sz w:val="22"/>
          <w:vertAlign w:val="subscript"/>
        </w:rPr>
        <w:t xml:space="preserve">f </w:t>
      </w:r>
      <w:r w:rsidR="00B52665">
        <w:rPr>
          <w:sz w:val="22"/>
        </w:rPr>
        <w:t>in right panels is standardized to values between 0 &amp; 1.</w:t>
      </w:r>
    </w:p>
    <w:p w:rsidR="00350884" w:rsidRDefault="00350884">
      <w:pPr>
        <w:rPr>
          <w:sz w:val="22"/>
        </w:rPr>
      </w:pPr>
      <w:r>
        <w:rPr>
          <w:sz w:val="22"/>
        </w:rPr>
        <w:br w:type="page"/>
      </w:r>
      <w:r>
        <w:rPr>
          <w:noProof/>
          <w:sz w:val="22"/>
        </w:rPr>
        <w:drawing>
          <wp:inline distT="0" distB="0" distL="0" distR="0">
            <wp:extent cx="5539105" cy="7590790"/>
            <wp:effectExtent l="25400" t="0" r="0" b="0"/>
            <wp:docPr id="5" name="Picture 4" descr="var 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 plots.png"/>
                    <pic:cNvPicPr/>
                  </pic:nvPicPr>
                  <pic:blipFill>
                    <a:blip r:embed="rId7"/>
                    <a:stretch>
                      <a:fillRect/>
                    </a:stretch>
                  </pic:blipFill>
                  <pic:spPr>
                    <a:xfrm>
                      <a:off x="0" y="0"/>
                      <a:ext cx="5539105" cy="7590790"/>
                    </a:xfrm>
                    <a:prstGeom prst="rect">
                      <a:avLst/>
                    </a:prstGeom>
                  </pic:spPr>
                </pic:pic>
              </a:graphicData>
            </a:graphic>
          </wp:inline>
        </w:drawing>
      </w:r>
    </w:p>
    <w:p w:rsidR="00350884" w:rsidRDefault="00350884">
      <w:pPr>
        <w:rPr>
          <w:sz w:val="22"/>
        </w:rPr>
      </w:pPr>
      <w:r w:rsidRPr="00350884">
        <w:rPr>
          <w:b/>
          <w:sz w:val="22"/>
        </w:rPr>
        <w:t xml:space="preserve">Figure </w:t>
      </w:r>
      <w:r>
        <w:rPr>
          <w:b/>
          <w:sz w:val="22"/>
        </w:rPr>
        <w:t>3</w:t>
      </w:r>
      <w:r>
        <w:rPr>
          <w:sz w:val="22"/>
        </w:rPr>
        <w:t xml:space="preserve"> Results from analysis B in which species were held constant (</w:t>
      </w:r>
      <w:r>
        <w:rPr>
          <w:i/>
          <w:sz w:val="22"/>
        </w:rPr>
        <w:t>s</w:t>
      </w:r>
      <w:r>
        <w:rPr>
          <w:sz w:val="22"/>
        </w:rPr>
        <w:t xml:space="preserve"> = 65) while number of traits (</w:t>
      </w:r>
      <w:r>
        <w:rPr>
          <w:i/>
          <w:sz w:val="22"/>
        </w:rPr>
        <w:t>t</w:t>
      </w:r>
      <w:r>
        <w:rPr>
          <w:sz w:val="22"/>
        </w:rPr>
        <w:t xml:space="preserve"> ) included was varied. Left panels show FD dendrograms and right panels show corresponding relationship between </w:t>
      </w:r>
      <w:r>
        <w:rPr>
          <w:rFonts w:ascii="Cambria" w:hAnsi="Cambria" w:cs="Cambria"/>
        </w:rPr>
        <w:t>Δ</w:t>
      </w:r>
      <w:r>
        <w:rPr>
          <w:rFonts w:ascii="Cambria" w:hAnsi="Cambria" w:cs="Cambria"/>
          <w:vertAlign w:val="subscript"/>
        </w:rPr>
        <w:t>f</w:t>
      </w:r>
      <w:r w:rsidRPr="002D62C0">
        <w:rPr>
          <w:rFonts w:ascii="Cambria" w:hAnsi="Cambria" w:cs="Cambria"/>
          <w:vertAlign w:val="superscript"/>
        </w:rPr>
        <w:t>+</w:t>
      </w:r>
      <w:r>
        <w:rPr>
          <w:sz w:val="22"/>
        </w:rPr>
        <w:t xml:space="preserve"> and h</w:t>
      </w:r>
      <w:r>
        <w:rPr>
          <w:sz w:val="22"/>
          <w:vertAlign w:val="subscript"/>
        </w:rPr>
        <w:t>f</w:t>
      </w:r>
      <w:r>
        <w:rPr>
          <w:sz w:val="22"/>
        </w:rPr>
        <w:t xml:space="preserve">. Solid line indicates linear model fit while dashed line indicates model fit and 95% confidence intervals of relationship between </w:t>
      </w:r>
      <w:r>
        <w:rPr>
          <w:rFonts w:ascii="Cambria" w:hAnsi="Cambria" w:cs="Cambria"/>
        </w:rPr>
        <w:t>Δ</w:t>
      </w:r>
      <w:r>
        <w:rPr>
          <w:rFonts w:ascii="Cambria" w:hAnsi="Cambria" w:cs="Cambria"/>
          <w:vertAlign w:val="subscript"/>
        </w:rPr>
        <w:t>t</w:t>
      </w:r>
      <w:r w:rsidRPr="002D62C0">
        <w:rPr>
          <w:rFonts w:ascii="Cambria" w:hAnsi="Cambria" w:cs="Cambria"/>
          <w:vertAlign w:val="superscript"/>
        </w:rPr>
        <w:t>+</w:t>
      </w:r>
      <w:r>
        <w:rPr>
          <w:sz w:val="22"/>
        </w:rPr>
        <w:t xml:space="preserve"> and h</w:t>
      </w:r>
      <w:r>
        <w:rPr>
          <w:sz w:val="22"/>
          <w:vertAlign w:val="subscript"/>
        </w:rPr>
        <w:t>t</w:t>
      </w:r>
      <w:r>
        <w:rPr>
          <w:sz w:val="22"/>
        </w:rPr>
        <w:t>.</w:t>
      </w:r>
      <w:r w:rsidR="00B52665">
        <w:rPr>
          <w:sz w:val="22"/>
        </w:rPr>
        <w:t xml:space="preserve"> h</w:t>
      </w:r>
      <w:r w:rsidR="00B52665">
        <w:rPr>
          <w:sz w:val="22"/>
          <w:vertAlign w:val="subscript"/>
        </w:rPr>
        <w:t xml:space="preserve">f </w:t>
      </w:r>
      <w:r w:rsidR="00B52665">
        <w:rPr>
          <w:sz w:val="22"/>
        </w:rPr>
        <w:t>in right panels is standardized to values between 0 &amp; 1.</w:t>
      </w:r>
    </w:p>
    <w:p w:rsidR="00350884" w:rsidRDefault="00350884">
      <w:pPr>
        <w:rPr>
          <w:sz w:val="22"/>
        </w:rPr>
      </w:pPr>
      <w:r>
        <w:rPr>
          <w:sz w:val="22"/>
        </w:rPr>
        <w:br w:type="page"/>
      </w:r>
      <w:r>
        <w:rPr>
          <w:noProof/>
        </w:rPr>
        <w:drawing>
          <wp:inline distT="0" distB="0" distL="0" distR="0">
            <wp:extent cx="5539105" cy="7590625"/>
            <wp:effectExtent l="25400" t="0" r="0" b="0"/>
            <wp:docPr id="6" name="Picture 5" descr="var 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 plots.png"/>
                    <pic:cNvPicPr/>
                  </pic:nvPicPr>
                  <pic:blipFill>
                    <a:blip r:embed="rId8"/>
                    <a:stretch>
                      <a:fillRect/>
                    </a:stretch>
                  </pic:blipFill>
                  <pic:spPr>
                    <a:xfrm>
                      <a:off x="0" y="0"/>
                      <a:ext cx="5539105" cy="7590625"/>
                    </a:xfrm>
                    <a:prstGeom prst="rect">
                      <a:avLst/>
                    </a:prstGeom>
                  </pic:spPr>
                </pic:pic>
              </a:graphicData>
            </a:graphic>
          </wp:inline>
        </w:drawing>
      </w:r>
    </w:p>
    <w:p w:rsidR="00256801" w:rsidRDefault="00350884" w:rsidP="00350884">
      <w:pPr>
        <w:rPr>
          <w:sz w:val="22"/>
        </w:rPr>
      </w:pPr>
      <w:r w:rsidRPr="00350884">
        <w:rPr>
          <w:b/>
          <w:sz w:val="22"/>
        </w:rPr>
        <w:t xml:space="preserve">Figure </w:t>
      </w:r>
      <w:r>
        <w:rPr>
          <w:b/>
          <w:sz w:val="22"/>
        </w:rPr>
        <w:t>4</w:t>
      </w:r>
      <w:r>
        <w:rPr>
          <w:sz w:val="22"/>
        </w:rPr>
        <w:t xml:space="preserve"> Results from analysis C in which traits were held constant (</w:t>
      </w:r>
      <w:r>
        <w:rPr>
          <w:i/>
          <w:sz w:val="22"/>
        </w:rPr>
        <w:t>t</w:t>
      </w:r>
      <w:r>
        <w:rPr>
          <w:sz w:val="22"/>
        </w:rPr>
        <w:t xml:space="preserve"> = 8) while number of species (</w:t>
      </w:r>
      <w:r>
        <w:rPr>
          <w:i/>
          <w:sz w:val="22"/>
        </w:rPr>
        <w:t>s</w:t>
      </w:r>
      <w:r>
        <w:rPr>
          <w:sz w:val="22"/>
        </w:rPr>
        <w:t xml:space="preserve"> ) included was varied. Left panels show FD dendrograms and right panels show corresponding relationship between </w:t>
      </w:r>
      <w:r>
        <w:rPr>
          <w:rFonts w:ascii="Cambria" w:hAnsi="Cambria" w:cs="Cambria"/>
        </w:rPr>
        <w:t>Δ</w:t>
      </w:r>
      <w:r>
        <w:rPr>
          <w:rFonts w:ascii="Cambria" w:hAnsi="Cambria" w:cs="Cambria"/>
          <w:vertAlign w:val="subscript"/>
        </w:rPr>
        <w:t>f</w:t>
      </w:r>
      <w:r w:rsidRPr="002D62C0">
        <w:rPr>
          <w:rFonts w:ascii="Cambria" w:hAnsi="Cambria" w:cs="Cambria"/>
          <w:vertAlign w:val="superscript"/>
        </w:rPr>
        <w:t>+</w:t>
      </w:r>
      <w:r>
        <w:rPr>
          <w:sz w:val="22"/>
        </w:rPr>
        <w:t xml:space="preserve"> and h</w:t>
      </w:r>
      <w:r>
        <w:rPr>
          <w:sz w:val="22"/>
          <w:vertAlign w:val="subscript"/>
        </w:rPr>
        <w:t>f</w:t>
      </w:r>
      <w:r>
        <w:rPr>
          <w:sz w:val="22"/>
        </w:rPr>
        <w:t xml:space="preserve">. Solid line indicates linear model fit while dashed line indicates model fit and 95% confidence intervals of relationship between </w:t>
      </w:r>
      <w:r>
        <w:rPr>
          <w:rFonts w:ascii="Cambria" w:hAnsi="Cambria" w:cs="Cambria"/>
        </w:rPr>
        <w:t>Δ</w:t>
      </w:r>
      <w:r>
        <w:rPr>
          <w:rFonts w:ascii="Cambria" w:hAnsi="Cambria" w:cs="Cambria"/>
          <w:vertAlign w:val="subscript"/>
        </w:rPr>
        <w:t>t</w:t>
      </w:r>
      <w:r w:rsidRPr="002D62C0">
        <w:rPr>
          <w:rFonts w:ascii="Cambria" w:hAnsi="Cambria" w:cs="Cambria"/>
          <w:vertAlign w:val="superscript"/>
        </w:rPr>
        <w:t>+</w:t>
      </w:r>
      <w:r>
        <w:rPr>
          <w:sz w:val="22"/>
        </w:rPr>
        <w:t xml:space="preserve"> and h</w:t>
      </w:r>
      <w:r>
        <w:rPr>
          <w:sz w:val="22"/>
          <w:vertAlign w:val="subscript"/>
        </w:rPr>
        <w:t>t</w:t>
      </w:r>
      <w:r>
        <w:rPr>
          <w:sz w:val="22"/>
        </w:rPr>
        <w:t>.</w:t>
      </w:r>
      <w:r w:rsidR="00B52665">
        <w:rPr>
          <w:sz w:val="22"/>
        </w:rPr>
        <w:t xml:space="preserve"> h</w:t>
      </w:r>
      <w:r w:rsidR="00B52665">
        <w:rPr>
          <w:sz w:val="22"/>
          <w:vertAlign w:val="subscript"/>
        </w:rPr>
        <w:t xml:space="preserve">f </w:t>
      </w:r>
      <w:r w:rsidR="00B52665">
        <w:rPr>
          <w:sz w:val="22"/>
        </w:rPr>
        <w:t>in right panels is standardized to values between 0 &amp; 1.</w:t>
      </w:r>
    </w:p>
    <w:p w:rsidR="00350884" w:rsidRPr="00B52665" w:rsidRDefault="00256801" w:rsidP="00350884">
      <w:pPr>
        <w:rPr>
          <w:sz w:val="22"/>
        </w:rPr>
      </w:pPr>
      <w:r>
        <w:rPr>
          <w:sz w:val="22"/>
        </w:rPr>
        <w:br w:type="page"/>
      </w:r>
      <w:r>
        <w:rPr>
          <w:noProof/>
          <w:sz w:val="22"/>
        </w:rPr>
        <w:drawing>
          <wp:inline distT="0" distB="0" distL="0" distR="0">
            <wp:extent cx="5539105" cy="5539105"/>
            <wp:effectExtent l="25400" t="0" r="0" b="0"/>
            <wp:docPr id="7" name="Picture 6" descr="sppanalysis plots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analysis plots ALL.png"/>
                    <pic:cNvPicPr/>
                  </pic:nvPicPr>
                  <pic:blipFill>
                    <a:blip r:embed="rId9"/>
                    <a:stretch>
                      <a:fillRect/>
                    </a:stretch>
                  </pic:blipFill>
                  <pic:spPr>
                    <a:xfrm>
                      <a:off x="0" y="0"/>
                      <a:ext cx="5539105" cy="5539105"/>
                    </a:xfrm>
                    <a:prstGeom prst="rect">
                      <a:avLst/>
                    </a:prstGeom>
                  </pic:spPr>
                </pic:pic>
              </a:graphicData>
            </a:graphic>
          </wp:inline>
        </w:drawing>
      </w:r>
    </w:p>
    <w:p w:rsidR="00256801" w:rsidRDefault="00256801"/>
    <w:p w:rsidR="009702D9" w:rsidRDefault="00256801">
      <w:pPr>
        <w:rPr>
          <w:sz w:val="22"/>
        </w:rPr>
      </w:pPr>
      <w:r w:rsidRPr="003E773F">
        <w:rPr>
          <w:b/>
          <w:sz w:val="22"/>
        </w:rPr>
        <w:t>Figure 5</w:t>
      </w:r>
      <w:r w:rsidRPr="003E773F">
        <w:rPr>
          <w:sz w:val="22"/>
        </w:rPr>
        <w:t xml:space="preserve"> Strength of correlation between </w:t>
      </w:r>
      <w:r w:rsidR="001962B3">
        <w:rPr>
          <w:rFonts w:ascii="Cambria" w:hAnsi="Cambria" w:cs="Cambria"/>
        </w:rPr>
        <w:t>Δ</w:t>
      </w:r>
      <w:r w:rsidR="001962B3">
        <w:rPr>
          <w:rFonts w:ascii="Cambria" w:hAnsi="Cambria" w:cs="Cambria"/>
          <w:vertAlign w:val="subscript"/>
        </w:rPr>
        <w:t>f</w:t>
      </w:r>
      <w:r w:rsidR="001962B3" w:rsidRPr="002D62C0">
        <w:rPr>
          <w:rFonts w:ascii="Cambria" w:hAnsi="Cambria" w:cs="Cambria"/>
          <w:vertAlign w:val="superscript"/>
        </w:rPr>
        <w:t>+</w:t>
      </w:r>
      <w:r w:rsidR="001962B3">
        <w:rPr>
          <w:sz w:val="22"/>
        </w:rPr>
        <w:t xml:space="preserve"> </w:t>
      </w:r>
      <w:r w:rsidRPr="003E773F">
        <w:rPr>
          <w:sz w:val="22"/>
        </w:rPr>
        <w:t xml:space="preserve"> and  </w:t>
      </w:r>
      <w:r w:rsidR="001962B3">
        <w:rPr>
          <w:rFonts w:ascii="Cambria" w:hAnsi="Cambria" w:cs="Cambria"/>
        </w:rPr>
        <w:t>h</w:t>
      </w:r>
      <w:r w:rsidR="001962B3">
        <w:rPr>
          <w:rFonts w:ascii="Cambria" w:hAnsi="Cambria" w:cs="Cambria"/>
          <w:vertAlign w:val="subscript"/>
        </w:rPr>
        <w:t>f</w:t>
      </w:r>
      <w:r w:rsidR="001962B3" w:rsidRPr="002D62C0">
        <w:rPr>
          <w:rFonts w:ascii="Cambria" w:hAnsi="Cambria" w:cs="Cambria"/>
          <w:vertAlign w:val="superscript"/>
        </w:rPr>
        <w:t>+</w:t>
      </w:r>
      <w:r w:rsidR="001962B3">
        <w:rPr>
          <w:sz w:val="22"/>
        </w:rPr>
        <w:t xml:space="preserve">  </w:t>
      </w:r>
      <w:r w:rsidRPr="003E773F">
        <w:rPr>
          <w:sz w:val="22"/>
        </w:rPr>
        <w:t>A</w:t>
      </w:r>
      <w:r w:rsidRPr="003E773F">
        <w:rPr>
          <w:sz w:val="22"/>
          <w:vertAlign w:val="subscript"/>
        </w:rPr>
        <w:t>1</w:t>
      </w:r>
      <w:r w:rsidRPr="003E773F">
        <w:rPr>
          <w:sz w:val="22"/>
        </w:rPr>
        <w:t xml:space="preserve">) as a function of </w:t>
      </w:r>
      <w:r w:rsidRPr="003E773F">
        <w:rPr>
          <w:i/>
          <w:sz w:val="22"/>
        </w:rPr>
        <w:t xml:space="preserve">t </w:t>
      </w:r>
      <w:r w:rsidRPr="003E773F">
        <w:rPr>
          <w:sz w:val="22"/>
        </w:rPr>
        <w:t xml:space="preserve">when both </w:t>
      </w:r>
      <w:r w:rsidRPr="003E773F">
        <w:rPr>
          <w:i/>
          <w:sz w:val="22"/>
        </w:rPr>
        <w:t xml:space="preserve">t </w:t>
      </w:r>
      <w:r w:rsidR="003E773F" w:rsidRPr="003E773F">
        <w:rPr>
          <w:sz w:val="22"/>
        </w:rPr>
        <w:t>and</w:t>
      </w:r>
      <w:r w:rsidRPr="003E773F">
        <w:rPr>
          <w:sz w:val="22"/>
        </w:rPr>
        <w:t xml:space="preserve"> </w:t>
      </w:r>
      <w:r w:rsidRPr="003E773F">
        <w:rPr>
          <w:i/>
          <w:sz w:val="22"/>
        </w:rPr>
        <w:t>s</w:t>
      </w:r>
      <w:r w:rsidRPr="003E773F">
        <w:rPr>
          <w:sz w:val="22"/>
        </w:rPr>
        <w:t xml:space="preserve"> were varied, A</w:t>
      </w:r>
      <w:r w:rsidRPr="003E773F">
        <w:rPr>
          <w:sz w:val="22"/>
          <w:vertAlign w:val="subscript"/>
        </w:rPr>
        <w:t>2</w:t>
      </w:r>
      <w:r w:rsidRPr="003E773F">
        <w:rPr>
          <w:sz w:val="22"/>
        </w:rPr>
        <w:t xml:space="preserve">) as a function of </w:t>
      </w:r>
      <w:r w:rsidRPr="003E773F">
        <w:rPr>
          <w:i/>
          <w:sz w:val="22"/>
        </w:rPr>
        <w:t xml:space="preserve">s </w:t>
      </w:r>
      <w:r w:rsidR="003E773F" w:rsidRPr="003E773F">
        <w:rPr>
          <w:sz w:val="22"/>
        </w:rPr>
        <w:t xml:space="preserve">when both </w:t>
      </w:r>
      <w:r w:rsidR="003E773F" w:rsidRPr="003E773F">
        <w:rPr>
          <w:i/>
          <w:sz w:val="22"/>
        </w:rPr>
        <w:t xml:space="preserve">t </w:t>
      </w:r>
      <w:r w:rsidR="003E773F" w:rsidRPr="003E773F">
        <w:rPr>
          <w:sz w:val="22"/>
        </w:rPr>
        <w:t xml:space="preserve">and </w:t>
      </w:r>
      <w:r w:rsidR="003E773F" w:rsidRPr="003E773F">
        <w:rPr>
          <w:i/>
          <w:sz w:val="22"/>
        </w:rPr>
        <w:t>s</w:t>
      </w:r>
      <w:r w:rsidR="003E773F" w:rsidRPr="003E773F">
        <w:rPr>
          <w:sz w:val="22"/>
        </w:rPr>
        <w:t xml:space="preserve"> were varied</w:t>
      </w:r>
      <w:r w:rsidRPr="003E773F">
        <w:rPr>
          <w:sz w:val="22"/>
        </w:rPr>
        <w:t xml:space="preserve">, B) as a function of </w:t>
      </w:r>
      <w:r w:rsidRPr="003E773F">
        <w:rPr>
          <w:i/>
          <w:sz w:val="22"/>
        </w:rPr>
        <w:t xml:space="preserve">t </w:t>
      </w:r>
      <w:r w:rsidR="003E773F" w:rsidRPr="003E773F">
        <w:rPr>
          <w:sz w:val="22"/>
        </w:rPr>
        <w:t xml:space="preserve">when only </w:t>
      </w:r>
      <w:r w:rsidR="003E773F" w:rsidRPr="003E773F">
        <w:rPr>
          <w:i/>
          <w:sz w:val="22"/>
        </w:rPr>
        <w:t>t</w:t>
      </w:r>
      <w:r w:rsidR="003E773F" w:rsidRPr="003E773F">
        <w:rPr>
          <w:sz w:val="22"/>
        </w:rPr>
        <w:t xml:space="preserve"> was varied</w:t>
      </w:r>
      <w:r w:rsidRPr="003E773F">
        <w:rPr>
          <w:sz w:val="22"/>
        </w:rPr>
        <w:t xml:space="preserve"> and </w:t>
      </w:r>
      <w:r w:rsidR="003E773F" w:rsidRPr="003E773F">
        <w:rPr>
          <w:sz w:val="22"/>
        </w:rPr>
        <w:t xml:space="preserve">C) as a function of </w:t>
      </w:r>
      <w:r w:rsidR="003E773F" w:rsidRPr="003E773F">
        <w:rPr>
          <w:i/>
          <w:sz w:val="22"/>
        </w:rPr>
        <w:t>s</w:t>
      </w:r>
      <w:r w:rsidR="003E773F" w:rsidRPr="003E773F">
        <w:rPr>
          <w:sz w:val="22"/>
        </w:rPr>
        <w:t xml:space="preserve"> when only </w:t>
      </w:r>
      <w:r w:rsidR="003E773F" w:rsidRPr="003E773F">
        <w:rPr>
          <w:i/>
          <w:sz w:val="22"/>
        </w:rPr>
        <w:t>s</w:t>
      </w:r>
      <w:r w:rsidR="003E773F" w:rsidRPr="003E773F">
        <w:rPr>
          <w:sz w:val="22"/>
        </w:rPr>
        <w:t xml:space="preserve"> was varied.</w:t>
      </w:r>
    </w:p>
    <w:p w:rsidR="009702D9" w:rsidRDefault="009702D9">
      <w:pPr>
        <w:rPr>
          <w:sz w:val="22"/>
        </w:rPr>
      </w:pPr>
    </w:p>
    <w:p w:rsidR="002C0A8F" w:rsidRDefault="009702D9">
      <w:pPr>
        <w:rPr>
          <w:sz w:val="22"/>
        </w:rPr>
      </w:pPr>
      <w:r w:rsidRPr="009702D9">
        <w:rPr>
          <w:b/>
          <w:sz w:val="22"/>
        </w:rPr>
        <w:t xml:space="preserve">Table 2 </w:t>
      </w:r>
      <w:r w:rsidRPr="009702D9">
        <w:rPr>
          <w:sz w:val="22"/>
        </w:rPr>
        <w:t>Linear regression coefficients</w:t>
      </w:r>
      <w:r w:rsidR="001962B3">
        <w:rPr>
          <w:b/>
          <w:sz w:val="22"/>
        </w:rPr>
        <w:t xml:space="preserve"> </w:t>
      </w:r>
      <w:r w:rsidR="001962B3" w:rsidRPr="001962B3">
        <w:rPr>
          <w:sz w:val="22"/>
        </w:rPr>
        <w:t xml:space="preserve">of relationships depicted in figure 5 </w:t>
      </w:r>
    </w:p>
    <w:tbl>
      <w:tblPr>
        <w:tblW w:w="3900" w:type="dxa"/>
        <w:tblInd w:w="88" w:type="dxa"/>
        <w:tblLook w:val="0000"/>
      </w:tblPr>
      <w:tblGrid>
        <w:gridCol w:w="655"/>
        <w:gridCol w:w="812"/>
        <w:gridCol w:w="811"/>
        <w:gridCol w:w="811"/>
        <w:gridCol w:w="811"/>
      </w:tblGrid>
      <w:tr w:rsidR="002C0A8F" w:rsidRPr="002C0A8F" w:rsidTr="002C0A8F">
        <w:trPr>
          <w:trHeight w:val="340"/>
        </w:trPr>
        <w:tc>
          <w:tcPr>
            <w:tcW w:w="620" w:type="dxa"/>
            <w:tcBorders>
              <w:top w:val="nil"/>
              <w:left w:val="nil"/>
              <w:bottom w:val="nil"/>
              <w:right w:val="nil"/>
            </w:tcBorders>
            <w:shd w:val="clear" w:color="auto" w:fill="auto"/>
          </w:tcPr>
          <w:p w:rsidR="002C0A8F" w:rsidRPr="002C0A8F" w:rsidRDefault="002C0A8F" w:rsidP="002C0A8F">
            <w:pPr>
              <w:rPr>
                <w:rFonts w:ascii="Calibri" w:hAnsi="Calibri"/>
                <w:sz w:val="20"/>
                <w:szCs w:val="20"/>
                <w:lang w:val="en-GB"/>
              </w:rPr>
            </w:pPr>
          </w:p>
        </w:tc>
        <w:tc>
          <w:tcPr>
            <w:tcW w:w="820" w:type="dxa"/>
            <w:tcBorders>
              <w:top w:val="nil"/>
              <w:left w:val="nil"/>
              <w:bottom w:val="nil"/>
              <w:right w:val="nil"/>
            </w:tcBorders>
            <w:shd w:val="clear" w:color="auto" w:fill="auto"/>
          </w:tcPr>
          <w:p w:rsidR="002C0A8F" w:rsidRPr="002C0A8F" w:rsidRDefault="002C0A8F" w:rsidP="002C0A8F">
            <w:pPr>
              <w:jc w:val="center"/>
              <w:rPr>
                <w:rFonts w:ascii="Calibri" w:hAnsi="Calibri"/>
                <w:b/>
                <w:bCs/>
                <w:sz w:val="20"/>
                <w:szCs w:val="20"/>
                <w:lang w:val="en-GB"/>
              </w:rPr>
            </w:pPr>
            <w:r w:rsidRPr="002C0A8F">
              <w:rPr>
                <w:rFonts w:ascii="Calibri" w:hAnsi="Calibri"/>
                <w:b/>
                <w:bCs/>
                <w:sz w:val="20"/>
                <w:szCs w:val="20"/>
                <w:lang w:val="en-GB"/>
              </w:rPr>
              <w:t>A</w:t>
            </w:r>
            <w:r w:rsidRPr="002C0A8F">
              <w:rPr>
                <w:rFonts w:ascii="Calibri" w:hAnsi="Calibri"/>
                <w:b/>
                <w:bCs/>
                <w:sz w:val="20"/>
                <w:szCs w:val="20"/>
                <w:vertAlign w:val="subscript"/>
                <w:lang w:val="en-GB"/>
              </w:rPr>
              <w:t>1</w:t>
            </w:r>
            <w:r w:rsidRPr="002C0A8F">
              <w:rPr>
                <w:rFonts w:ascii="Calibri" w:hAnsi="Calibri"/>
                <w:b/>
                <w:bCs/>
                <w:sz w:val="20"/>
                <w:szCs w:val="20"/>
                <w:lang w:val="en-GB"/>
              </w:rPr>
              <w:t xml:space="preserve"> (</w:t>
            </w:r>
            <w:r w:rsidRPr="002C0A8F">
              <w:rPr>
                <w:rFonts w:ascii="Calibri" w:hAnsi="Calibri"/>
                <w:b/>
                <w:bCs/>
                <w:i/>
                <w:iCs/>
                <w:sz w:val="20"/>
                <w:szCs w:val="20"/>
                <w:lang w:val="en-GB"/>
              </w:rPr>
              <w:t>t</w:t>
            </w:r>
            <w:r w:rsidRPr="002C0A8F">
              <w:rPr>
                <w:rFonts w:ascii="Calibri" w:hAnsi="Calibri"/>
                <w:b/>
                <w:bCs/>
                <w:sz w:val="20"/>
                <w:szCs w:val="20"/>
                <w:lang w:val="en-GB"/>
              </w:rPr>
              <w:t>)</w:t>
            </w:r>
          </w:p>
        </w:tc>
        <w:tc>
          <w:tcPr>
            <w:tcW w:w="820" w:type="dxa"/>
            <w:tcBorders>
              <w:top w:val="nil"/>
              <w:left w:val="nil"/>
              <w:bottom w:val="nil"/>
              <w:right w:val="nil"/>
            </w:tcBorders>
            <w:shd w:val="clear" w:color="auto" w:fill="auto"/>
          </w:tcPr>
          <w:p w:rsidR="002C0A8F" w:rsidRPr="002C0A8F" w:rsidRDefault="002C0A8F" w:rsidP="002C0A8F">
            <w:pPr>
              <w:jc w:val="center"/>
              <w:rPr>
                <w:rFonts w:ascii="Calibri" w:hAnsi="Calibri"/>
                <w:b/>
                <w:bCs/>
                <w:sz w:val="20"/>
                <w:szCs w:val="20"/>
                <w:lang w:val="en-GB"/>
              </w:rPr>
            </w:pPr>
            <w:r w:rsidRPr="002C0A8F">
              <w:rPr>
                <w:rFonts w:ascii="Calibri" w:hAnsi="Calibri"/>
                <w:b/>
                <w:bCs/>
                <w:sz w:val="20"/>
                <w:szCs w:val="20"/>
                <w:lang w:val="en-GB"/>
              </w:rPr>
              <w:t>A</w:t>
            </w:r>
            <w:r w:rsidRPr="002C0A8F">
              <w:rPr>
                <w:rFonts w:ascii="Calibri" w:hAnsi="Calibri"/>
                <w:b/>
                <w:bCs/>
                <w:sz w:val="20"/>
                <w:szCs w:val="20"/>
                <w:vertAlign w:val="subscript"/>
                <w:lang w:val="en-GB"/>
              </w:rPr>
              <w:t>2</w:t>
            </w:r>
            <w:r w:rsidRPr="002C0A8F">
              <w:rPr>
                <w:rFonts w:ascii="Calibri" w:hAnsi="Calibri"/>
                <w:b/>
                <w:bCs/>
                <w:sz w:val="20"/>
                <w:szCs w:val="20"/>
                <w:lang w:val="en-GB"/>
              </w:rPr>
              <w:t xml:space="preserve"> (</w:t>
            </w:r>
            <w:r w:rsidRPr="002C0A8F">
              <w:rPr>
                <w:rFonts w:ascii="Calibri" w:hAnsi="Calibri"/>
                <w:b/>
                <w:bCs/>
                <w:i/>
                <w:iCs/>
                <w:sz w:val="20"/>
                <w:szCs w:val="20"/>
                <w:lang w:val="en-GB"/>
              </w:rPr>
              <w:t>s</w:t>
            </w:r>
            <w:r w:rsidRPr="002C0A8F">
              <w:rPr>
                <w:rFonts w:ascii="Calibri" w:hAnsi="Calibri"/>
                <w:b/>
                <w:bCs/>
                <w:sz w:val="20"/>
                <w:szCs w:val="20"/>
                <w:lang w:val="en-GB"/>
              </w:rPr>
              <w:t>)</w:t>
            </w:r>
          </w:p>
        </w:tc>
        <w:tc>
          <w:tcPr>
            <w:tcW w:w="820" w:type="dxa"/>
            <w:tcBorders>
              <w:top w:val="nil"/>
              <w:left w:val="nil"/>
              <w:bottom w:val="nil"/>
              <w:right w:val="nil"/>
            </w:tcBorders>
            <w:shd w:val="clear" w:color="auto" w:fill="auto"/>
          </w:tcPr>
          <w:p w:rsidR="002C0A8F" w:rsidRPr="002C0A8F" w:rsidRDefault="002C0A8F" w:rsidP="002C0A8F">
            <w:pPr>
              <w:jc w:val="center"/>
              <w:rPr>
                <w:rFonts w:ascii="Calibri" w:hAnsi="Calibri"/>
                <w:b/>
                <w:bCs/>
                <w:sz w:val="20"/>
                <w:szCs w:val="20"/>
                <w:lang w:val="en-GB"/>
              </w:rPr>
            </w:pPr>
            <w:r w:rsidRPr="002C0A8F">
              <w:rPr>
                <w:rFonts w:ascii="Calibri" w:hAnsi="Calibri"/>
                <w:b/>
                <w:bCs/>
                <w:sz w:val="20"/>
                <w:szCs w:val="20"/>
                <w:lang w:val="en-GB"/>
              </w:rPr>
              <w:t>B (</w:t>
            </w:r>
            <w:r w:rsidRPr="002C0A8F">
              <w:rPr>
                <w:rFonts w:ascii="Calibri" w:hAnsi="Calibri"/>
                <w:b/>
                <w:bCs/>
                <w:i/>
                <w:iCs/>
                <w:sz w:val="20"/>
                <w:szCs w:val="20"/>
                <w:lang w:val="en-GB"/>
              </w:rPr>
              <w:t>t</w:t>
            </w:r>
            <w:r w:rsidRPr="002C0A8F">
              <w:rPr>
                <w:rFonts w:ascii="Calibri" w:hAnsi="Calibri"/>
                <w:b/>
                <w:bCs/>
                <w:sz w:val="20"/>
                <w:szCs w:val="20"/>
                <w:lang w:val="en-GB"/>
              </w:rPr>
              <w:t xml:space="preserve">) </w:t>
            </w:r>
          </w:p>
        </w:tc>
        <w:tc>
          <w:tcPr>
            <w:tcW w:w="820" w:type="dxa"/>
            <w:tcBorders>
              <w:top w:val="nil"/>
              <w:left w:val="nil"/>
              <w:bottom w:val="nil"/>
              <w:right w:val="nil"/>
            </w:tcBorders>
            <w:shd w:val="clear" w:color="auto" w:fill="auto"/>
          </w:tcPr>
          <w:p w:rsidR="002C0A8F" w:rsidRPr="002C0A8F" w:rsidRDefault="002C0A8F" w:rsidP="002C0A8F">
            <w:pPr>
              <w:jc w:val="center"/>
              <w:rPr>
                <w:rFonts w:ascii="Calibri" w:hAnsi="Calibri"/>
                <w:b/>
                <w:bCs/>
                <w:sz w:val="20"/>
                <w:szCs w:val="20"/>
                <w:lang w:val="en-GB"/>
              </w:rPr>
            </w:pPr>
            <w:r w:rsidRPr="002C0A8F">
              <w:rPr>
                <w:rFonts w:ascii="Calibri" w:hAnsi="Calibri"/>
                <w:b/>
                <w:bCs/>
                <w:sz w:val="20"/>
                <w:szCs w:val="20"/>
                <w:lang w:val="en-GB"/>
              </w:rPr>
              <w:t>C (</w:t>
            </w:r>
            <w:r w:rsidRPr="002C0A8F">
              <w:rPr>
                <w:rFonts w:ascii="Calibri" w:hAnsi="Calibri"/>
                <w:b/>
                <w:bCs/>
                <w:i/>
                <w:iCs/>
                <w:sz w:val="20"/>
                <w:szCs w:val="20"/>
                <w:lang w:val="en-GB"/>
              </w:rPr>
              <w:t>s</w:t>
            </w:r>
            <w:r w:rsidRPr="002C0A8F">
              <w:rPr>
                <w:rFonts w:ascii="Calibri" w:hAnsi="Calibri"/>
                <w:b/>
                <w:bCs/>
                <w:sz w:val="20"/>
                <w:szCs w:val="20"/>
                <w:lang w:val="en-GB"/>
              </w:rPr>
              <w:t>)</w:t>
            </w:r>
          </w:p>
        </w:tc>
      </w:tr>
      <w:tr w:rsidR="002C0A8F" w:rsidRPr="002C0A8F" w:rsidTr="002C0A8F">
        <w:trPr>
          <w:trHeight w:val="280"/>
        </w:trPr>
        <w:tc>
          <w:tcPr>
            <w:tcW w:w="620" w:type="dxa"/>
            <w:tcBorders>
              <w:top w:val="single" w:sz="8" w:space="0" w:color="auto"/>
              <w:left w:val="nil"/>
              <w:bottom w:val="nil"/>
              <w:right w:val="nil"/>
            </w:tcBorders>
            <w:shd w:val="clear" w:color="auto" w:fill="auto"/>
          </w:tcPr>
          <w:p w:rsidR="002C0A8F" w:rsidRPr="002C0A8F" w:rsidRDefault="002C0A8F" w:rsidP="002C0A8F">
            <w:pPr>
              <w:rPr>
                <w:rFonts w:ascii="Calibri" w:hAnsi="Calibri"/>
                <w:b/>
                <w:bCs/>
                <w:i/>
                <w:iCs/>
                <w:sz w:val="20"/>
                <w:szCs w:val="20"/>
                <w:lang w:val="en-GB"/>
              </w:rPr>
            </w:pPr>
            <w:r w:rsidRPr="002C0A8F">
              <w:rPr>
                <w:rFonts w:ascii="Calibri" w:hAnsi="Calibri"/>
                <w:b/>
                <w:bCs/>
                <w:i/>
                <w:iCs/>
                <w:sz w:val="20"/>
                <w:szCs w:val="20"/>
                <w:lang w:val="en-GB"/>
              </w:rPr>
              <w:t>slope</w:t>
            </w:r>
          </w:p>
        </w:tc>
        <w:tc>
          <w:tcPr>
            <w:tcW w:w="820" w:type="dxa"/>
            <w:tcBorders>
              <w:top w:val="single" w:sz="8" w:space="0" w:color="auto"/>
              <w:left w:val="nil"/>
              <w:bottom w:val="nil"/>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0.018</w:t>
            </w:r>
          </w:p>
        </w:tc>
        <w:tc>
          <w:tcPr>
            <w:tcW w:w="820" w:type="dxa"/>
            <w:tcBorders>
              <w:top w:val="single" w:sz="8" w:space="0" w:color="auto"/>
              <w:left w:val="nil"/>
              <w:bottom w:val="nil"/>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-0.001</w:t>
            </w:r>
          </w:p>
        </w:tc>
        <w:tc>
          <w:tcPr>
            <w:tcW w:w="820" w:type="dxa"/>
            <w:tcBorders>
              <w:top w:val="single" w:sz="8" w:space="0" w:color="auto"/>
              <w:left w:val="nil"/>
              <w:bottom w:val="nil"/>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0.039</w:t>
            </w:r>
          </w:p>
        </w:tc>
        <w:tc>
          <w:tcPr>
            <w:tcW w:w="820" w:type="dxa"/>
            <w:tcBorders>
              <w:top w:val="single" w:sz="8" w:space="0" w:color="auto"/>
              <w:left w:val="nil"/>
              <w:bottom w:val="nil"/>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0.000</w:t>
            </w:r>
          </w:p>
        </w:tc>
      </w:tr>
      <w:tr w:rsidR="002C0A8F" w:rsidRPr="002C0A8F" w:rsidTr="002C0A8F">
        <w:trPr>
          <w:trHeight w:val="280"/>
        </w:trPr>
        <w:tc>
          <w:tcPr>
            <w:tcW w:w="620" w:type="dxa"/>
            <w:tcBorders>
              <w:top w:val="nil"/>
              <w:left w:val="nil"/>
              <w:bottom w:val="nil"/>
              <w:right w:val="nil"/>
            </w:tcBorders>
            <w:shd w:val="clear" w:color="auto" w:fill="auto"/>
          </w:tcPr>
          <w:p w:rsidR="002C0A8F" w:rsidRPr="002C0A8F" w:rsidRDefault="002C0A8F" w:rsidP="002C0A8F">
            <w:pPr>
              <w:rPr>
                <w:rFonts w:ascii="Calibri" w:hAnsi="Calibri"/>
                <w:b/>
                <w:bCs/>
                <w:i/>
                <w:iCs/>
                <w:sz w:val="20"/>
                <w:szCs w:val="20"/>
                <w:lang w:val="en-GB"/>
              </w:rPr>
            </w:pPr>
            <w:r w:rsidRPr="002C0A8F">
              <w:rPr>
                <w:rFonts w:ascii="Calibri" w:hAnsi="Calibri"/>
                <w:b/>
                <w:bCs/>
                <w:i/>
                <w:iCs/>
                <w:sz w:val="20"/>
                <w:szCs w:val="20"/>
                <w:lang w:val="en-GB"/>
              </w:rPr>
              <w:t>p</w:t>
            </w:r>
          </w:p>
        </w:tc>
        <w:tc>
          <w:tcPr>
            <w:tcW w:w="820" w:type="dxa"/>
            <w:tcBorders>
              <w:top w:val="nil"/>
              <w:left w:val="nil"/>
              <w:bottom w:val="nil"/>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w:t>
            </w:r>
          </w:p>
        </w:tc>
        <w:tc>
          <w:tcPr>
            <w:tcW w:w="820" w:type="dxa"/>
            <w:tcBorders>
              <w:top w:val="nil"/>
              <w:left w:val="nil"/>
              <w:bottom w:val="nil"/>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w:t>
            </w:r>
          </w:p>
        </w:tc>
        <w:tc>
          <w:tcPr>
            <w:tcW w:w="820" w:type="dxa"/>
            <w:tcBorders>
              <w:top w:val="nil"/>
              <w:left w:val="nil"/>
              <w:bottom w:val="nil"/>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w:t>
            </w:r>
          </w:p>
        </w:tc>
        <w:tc>
          <w:tcPr>
            <w:tcW w:w="820" w:type="dxa"/>
            <w:tcBorders>
              <w:top w:val="nil"/>
              <w:left w:val="nil"/>
              <w:bottom w:val="nil"/>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NS</w:t>
            </w:r>
          </w:p>
        </w:tc>
      </w:tr>
      <w:tr w:rsidR="002C0A8F" w:rsidRPr="002C0A8F" w:rsidTr="002C0A8F">
        <w:trPr>
          <w:trHeight w:val="300"/>
        </w:trPr>
        <w:tc>
          <w:tcPr>
            <w:tcW w:w="620" w:type="dxa"/>
            <w:tcBorders>
              <w:top w:val="nil"/>
              <w:left w:val="nil"/>
              <w:bottom w:val="double" w:sz="6" w:space="0" w:color="auto"/>
              <w:right w:val="nil"/>
            </w:tcBorders>
            <w:shd w:val="clear" w:color="auto" w:fill="auto"/>
          </w:tcPr>
          <w:p w:rsidR="002C0A8F" w:rsidRPr="002C0A8F" w:rsidRDefault="002C0A8F" w:rsidP="002C0A8F">
            <w:pPr>
              <w:rPr>
                <w:rFonts w:ascii="Calibri" w:hAnsi="Calibri"/>
                <w:b/>
                <w:bCs/>
                <w:i/>
                <w:iCs/>
                <w:sz w:val="20"/>
                <w:szCs w:val="20"/>
                <w:lang w:val="en-GB"/>
              </w:rPr>
            </w:pPr>
            <w:r w:rsidRPr="002C0A8F">
              <w:rPr>
                <w:rFonts w:ascii="Calibri" w:hAnsi="Calibri"/>
                <w:b/>
                <w:bCs/>
                <w:i/>
                <w:iCs/>
                <w:sz w:val="20"/>
                <w:szCs w:val="20"/>
                <w:lang w:val="en-GB"/>
              </w:rPr>
              <w:t>r.sq</w:t>
            </w:r>
          </w:p>
        </w:tc>
        <w:tc>
          <w:tcPr>
            <w:tcW w:w="820" w:type="dxa"/>
            <w:tcBorders>
              <w:top w:val="nil"/>
              <w:left w:val="nil"/>
              <w:bottom w:val="double" w:sz="6" w:space="0" w:color="auto"/>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0.36</w:t>
            </w:r>
          </w:p>
        </w:tc>
        <w:tc>
          <w:tcPr>
            <w:tcW w:w="820" w:type="dxa"/>
            <w:tcBorders>
              <w:top w:val="nil"/>
              <w:left w:val="nil"/>
              <w:bottom w:val="double" w:sz="6" w:space="0" w:color="auto"/>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0.31</w:t>
            </w:r>
          </w:p>
        </w:tc>
        <w:tc>
          <w:tcPr>
            <w:tcW w:w="820" w:type="dxa"/>
            <w:tcBorders>
              <w:top w:val="nil"/>
              <w:left w:val="nil"/>
              <w:bottom w:val="double" w:sz="6" w:space="0" w:color="auto"/>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 </w:t>
            </w:r>
            <w:r w:rsidR="003F21AE">
              <w:rPr>
                <w:rFonts w:ascii="Calibri" w:hAnsi="Calibri"/>
                <w:sz w:val="20"/>
                <w:szCs w:val="20"/>
                <w:lang w:val="en-GB"/>
              </w:rPr>
              <w:t>0.85</w:t>
            </w:r>
          </w:p>
        </w:tc>
        <w:tc>
          <w:tcPr>
            <w:tcW w:w="820" w:type="dxa"/>
            <w:tcBorders>
              <w:top w:val="nil"/>
              <w:left w:val="nil"/>
              <w:bottom w:val="double" w:sz="6" w:space="0" w:color="auto"/>
              <w:right w:val="nil"/>
            </w:tcBorders>
            <w:shd w:val="clear" w:color="auto" w:fill="auto"/>
          </w:tcPr>
          <w:p w:rsidR="002C0A8F" w:rsidRPr="002C0A8F" w:rsidRDefault="002C0A8F" w:rsidP="002C0A8F">
            <w:pPr>
              <w:jc w:val="center"/>
              <w:rPr>
                <w:rFonts w:ascii="Calibri" w:hAnsi="Calibri"/>
                <w:sz w:val="20"/>
                <w:szCs w:val="20"/>
                <w:lang w:val="en-GB"/>
              </w:rPr>
            </w:pPr>
            <w:r w:rsidRPr="002C0A8F">
              <w:rPr>
                <w:rFonts w:ascii="Calibri" w:hAnsi="Calibri"/>
                <w:sz w:val="20"/>
                <w:szCs w:val="20"/>
                <w:lang w:val="en-GB"/>
              </w:rPr>
              <w:t>0.00</w:t>
            </w:r>
          </w:p>
        </w:tc>
      </w:tr>
    </w:tbl>
    <w:p w:rsidR="009702D9" w:rsidRPr="001962B3" w:rsidRDefault="009702D9">
      <w:pPr>
        <w:rPr>
          <w:sz w:val="22"/>
        </w:rPr>
      </w:pPr>
    </w:p>
    <w:p w:rsidR="00C60742" w:rsidRPr="003E773F" w:rsidRDefault="00C60742">
      <w:pPr>
        <w:rPr>
          <w:sz w:val="22"/>
        </w:rPr>
      </w:pPr>
    </w:p>
    <w:sectPr w:rsidR="00C60742" w:rsidRPr="003E773F" w:rsidSect="003439EB">
      <w:pgSz w:w="11899" w:h="16840"/>
      <w:pgMar w:top="1440" w:right="1588" w:bottom="1440" w:left="1588" w:gutter="0"/>
      <w:noEndnote/>
      <w:printerSettings r:id="rId1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817685"/>
    <w:rsid w:val="0006418E"/>
    <w:rsid w:val="000C543B"/>
    <w:rsid w:val="000E60AF"/>
    <w:rsid w:val="001962B3"/>
    <w:rsid w:val="0020458B"/>
    <w:rsid w:val="00256801"/>
    <w:rsid w:val="002A3D05"/>
    <w:rsid w:val="002C0A8F"/>
    <w:rsid w:val="002D62C0"/>
    <w:rsid w:val="003439EB"/>
    <w:rsid w:val="0034762E"/>
    <w:rsid w:val="00350884"/>
    <w:rsid w:val="003C29CB"/>
    <w:rsid w:val="003E773F"/>
    <w:rsid w:val="003F21AE"/>
    <w:rsid w:val="005A1A8A"/>
    <w:rsid w:val="005A66A2"/>
    <w:rsid w:val="006315E6"/>
    <w:rsid w:val="0068589B"/>
    <w:rsid w:val="006F0D4B"/>
    <w:rsid w:val="007210EF"/>
    <w:rsid w:val="00742CCF"/>
    <w:rsid w:val="00776C56"/>
    <w:rsid w:val="007F19F9"/>
    <w:rsid w:val="00804AED"/>
    <w:rsid w:val="00817685"/>
    <w:rsid w:val="0082016A"/>
    <w:rsid w:val="009702D9"/>
    <w:rsid w:val="00A45463"/>
    <w:rsid w:val="00AA4B5B"/>
    <w:rsid w:val="00B52665"/>
    <w:rsid w:val="00B67A9F"/>
    <w:rsid w:val="00B71C28"/>
    <w:rsid w:val="00C01BEF"/>
    <w:rsid w:val="00C60742"/>
    <w:rsid w:val="00CF1357"/>
    <w:rsid w:val="00D90DE9"/>
    <w:rsid w:val="00D94ECA"/>
    <w:rsid w:val="00EC41EE"/>
    <w:rsid w:val="00ED2693"/>
    <w:rsid w:val="00F93718"/>
    <w:rsid w:val="00FD147E"/>
  </w:rsids>
  <m:mathPr>
    <m:mathFont m:val="AdvP40668"/>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DB"/>
  </w:style>
  <w:style w:type="paragraph" w:styleId="Heading1">
    <w:name w:val="heading 1"/>
    <w:basedOn w:val="Normal"/>
    <w:next w:val="Normal"/>
    <w:link w:val="Heading1Char"/>
    <w:uiPriority w:val="9"/>
    <w:qFormat/>
    <w:rsid w:val="00817685"/>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17685"/>
    <w:rPr>
      <w:rFonts w:asciiTheme="majorHAnsi" w:eastAsiaTheme="majorEastAsia" w:hAnsiTheme="majorHAnsi" w:cstheme="majorBidi"/>
      <w:b/>
      <w:bCs/>
      <w:color w:val="365F91" w:themeColor="accent1" w:themeShade="BF"/>
      <w:sz w:val="28"/>
      <w:szCs w:val="28"/>
      <w:lang w:bidi="en-US"/>
    </w:rPr>
  </w:style>
</w:styles>
</file>

<file path=word/webSettings.xml><?xml version="1.0" encoding="utf-8"?>
<w:webSettings xmlns:r="http://schemas.openxmlformats.org/officeDocument/2006/relationships" xmlns:w="http://schemas.openxmlformats.org/wordprocessingml/2006/main">
  <w:divs>
    <w:div w:id="1723865987">
      <w:bodyDiv w:val="1"/>
      <w:marLeft w:val="0"/>
      <w:marRight w:val="0"/>
      <w:marTop w:val="0"/>
      <w:marBottom w:val="0"/>
      <w:divBdr>
        <w:top w:val="none" w:sz="0" w:space="0" w:color="auto"/>
        <w:left w:val="none" w:sz="0" w:space="0" w:color="auto"/>
        <w:bottom w:val="none" w:sz="0" w:space="0" w:color="auto"/>
        <w:right w:val="none" w:sz="0" w:space="0" w:color="auto"/>
      </w:divBdr>
    </w:div>
    <w:div w:id="1770006343">
      <w:bodyDiv w:val="1"/>
      <w:marLeft w:val="0"/>
      <w:marRight w:val="0"/>
      <w:marTop w:val="0"/>
      <w:marBottom w:val="0"/>
      <w:divBdr>
        <w:top w:val="none" w:sz="0" w:space="0" w:color="auto"/>
        <w:left w:val="none" w:sz="0" w:space="0" w:color="auto"/>
        <w:bottom w:val="none" w:sz="0" w:space="0" w:color="auto"/>
        <w:right w:val="none" w:sz="0" w:space="0" w:color="auto"/>
      </w:divBdr>
    </w:div>
    <w:div w:id="19816889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printerSettings" Target="printerSettings/printerSettings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F9A4B01-43B3-EE4E-B175-846EEE310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9</Pages>
  <Words>2029</Words>
  <Characters>11568</Characters>
  <Application>Microsoft Macintosh Word</Application>
  <DocSecurity>0</DocSecurity>
  <Lines>96</Lines>
  <Paragraphs>23</Paragraphs>
  <ScaleCrop>false</ScaleCrop>
  <Company>University of Sheffield</Company>
  <LinksUpToDate>false</LinksUpToDate>
  <CharactersWithSpaces>14206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Krystalli</dc:creator>
  <cp:keywords/>
  <cp:lastModifiedBy>Anna Krystalli</cp:lastModifiedBy>
  <cp:revision>8</cp:revision>
  <dcterms:created xsi:type="dcterms:W3CDTF">2013-10-16T09:29:00Z</dcterms:created>
  <dcterms:modified xsi:type="dcterms:W3CDTF">2013-10-17T09:19:00Z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citations="6" publications="4"/&gt;&lt;/info&gt;PAPERS2_INFO_END</vt:lpwstr>
  </property>
</Properties>
</file>