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ind w:left="0" w:firstLine="0"/>
        <w:jc w:val="left"/>
        <w:rPr>
          <w:rFonts w:ascii="Times New Roman"/>
          <w:sz w:val="2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9"/>
        <w:gridCol w:w="2084"/>
        <w:gridCol w:w="1923"/>
        <w:gridCol w:w="1926"/>
        <w:gridCol w:w="1926"/>
      </w:tblGrid>
      <w:tr>
        <w:trPr>
          <w:trHeight w:val="762" w:hRule="atLeast"/>
        </w:trPr>
        <w:tc>
          <w:tcPr>
            <w:tcW w:w="3853" w:type="dxa"/>
            <w:gridSpan w:val="2"/>
          </w:tcPr>
          <w:p>
            <w:pPr>
              <w:pStyle w:val="TableParagraph"/>
              <w:spacing w:before="11"/>
              <w:rPr>
                <w:rFonts w:ascii="Times New Roman"/>
                <w:sz w:val="3"/>
              </w:rPr>
            </w:pPr>
          </w:p>
          <w:p>
            <w:pPr>
              <w:pStyle w:val="TableParagraph"/>
              <w:spacing w:before="0"/>
              <w:ind w:left="5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58995" cy="425196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95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775" w:type="dxa"/>
            <w:gridSpan w:val="3"/>
          </w:tcPr>
          <w:p>
            <w:pPr>
              <w:pStyle w:val="TableParagraph"/>
              <w:spacing w:before="55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1228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Tipo</w:t>
            </w:r>
            <w:r>
              <w:rPr>
                <w:i/>
                <w:spacing w:val="7"/>
                <w:sz w:val="18"/>
              </w:rPr>
              <w:t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6"/>
                <w:sz w:val="18"/>
              </w:rPr>
              <w:t> </w:t>
            </w:r>
            <w:r>
              <w:rPr>
                <w:i/>
                <w:w w:val="85"/>
                <w:sz w:val="18"/>
              </w:rPr>
              <w:t>Procedura</w:t>
            </w:r>
            <w:r>
              <w:rPr>
                <w:i/>
                <w:spacing w:val="6"/>
                <w:sz w:val="18"/>
              </w:rPr>
              <w:t> </w:t>
            </w:r>
            <w:r>
              <w:rPr>
                <w:i/>
                <w:spacing w:val="-2"/>
                <w:w w:val="85"/>
                <w:sz w:val="18"/>
              </w:rPr>
              <w:t>organizzativa</w:t>
            </w:r>
          </w:p>
        </w:tc>
      </w:tr>
      <w:tr>
        <w:trPr>
          <w:trHeight w:val="311" w:hRule="atLeast"/>
        </w:trPr>
        <w:tc>
          <w:tcPr>
            <w:tcW w:w="9628" w:type="dxa"/>
            <w:gridSpan w:val="5"/>
          </w:tcPr>
          <w:p>
            <w:pPr>
              <w:pStyle w:val="TableParagraph"/>
              <w:spacing w:before="37"/>
              <w:ind w:left="11"/>
              <w:jc w:val="center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Titolo</w:t>
            </w:r>
            <w:r>
              <w:rPr>
                <w:i/>
                <w:spacing w:val="14"/>
                <w:sz w:val="18"/>
              </w:rPr>
              <w:t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13"/>
                <w:sz w:val="18"/>
              </w:rPr>
              <w:t> </w:t>
            </w:r>
            <w:r>
              <w:rPr>
                <w:i/>
                <w:w w:val="85"/>
                <w:sz w:val="18"/>
              </w:rPr>
              <w:t>Attuazione</w:t>
            </w:r>
            <w:r>
              <w:rPr>
                <w:i/>
                <w:spacing w:val="7"/>
                <w:sz w:val="18"/>
              </w:rPr>
              <w:t> </w:t>
            </w:r>
            <w:r>
              <w:rPr>
                <w:i/>
                <w:w w:val="85"/>
                <w:sz w:val="18"/>
              </w:rPr>
              <w:t>del</w:t>
            </w:r>
            <w:r>
              <w:rPr>
                <w:i/>
                <w:spacing w:val="13"/>
                <w:sz w:val="18"/>
              </w:rPr>
              <w:t> </w:t>
            </w:r>
            <w:r>
              <w:rPr>
                <w:i/>
                <w:w w:val="85"/>
                <w:sz w:val="18"/>
              </w:rPr>
              <w:t>Processo</w:t>
            </w:r>
            <w:r>
              <w:rPr>
                <w:i/>
                <w:spacing w:val="14"/>
                <w:sz w:val="18"/>
              </w:rPr>
              <w:t> </w:t>
            </w:r>
            <w:r>
              <w:rPr>
                <w:i/>
                <w:spacing w:val="-2"/>
                <w:w w:val="85"/>
                <w:sz w:val="18"/>
              </w:rPr>
              <w:t>d’Acquisto</w:t>
            </w:r>
          </w:p>
        </w:tc>
      </w:tr>
      <w:tr>
        <w:trPr>
          <w:trHeight w:val="798" w:hRule="atLeast"/>
        </w:trPr>
        <w:tc>
          <w:tcPr>
            <w:tcW w:w="1769" w:type="dxa"/>
          </w:tcPr>
          <w:p>
            <w:pPr>
              <w:pStyle w:val="TableParagraph"/>
              <w:spacing w:before="37"/>
              <w:ind w:left="321" w:firstLine="110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Emesso</w:t>
            </w:r>
            <w:r>
              <w:rPr>
                <w:i/>
                <w:spacing w:val="7"/>
                <w:sz w:val="18"/>
              </w:rPr>
              <w:t> </w:t>
            </w:r>
            <w:r>
              <w:rPr>
                <w:i/>
                <w:spacing w:val="-5"/>
                <w:w w:val="95"/>
                <w:sz w:val="18"/>
              </w:rPr>
              <w:t>da:</w:t>
            </w:r>
          </w:p>
          <w:p>
            <w:pPr>
              <w:pStyle w:val="TableParagraph"/>
              <w:spacing w:line="242" w:lineRule="auto" w:before="48"/>
              <w:ind w:left="441" w:right="294" w:hanging="120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Fabio</w:t>
            </w:r>
            <w:r>
              <w:rPr>
                <w:i/>
                <w:spacing w:val="-13"/>
                <w:w w:val="90"/>
                <w:sz w:val="18"/>
              </w:rPr>
              <w:t> </w:t>
            </w:r>
            <w:r>
              <w:rPr>
                <w:i/>
                <w:w w:val="90"/>
                <w:sz w:val="18"/>
              </w:rPr>
              <w:t>Orlando </w:t>
            </w:r>
            <w:r>
              <w:rPr>
                <w:i/>
                <w:spacing w:val="-2"/>
                <w:w w:val="95"/>
                <w:sz w:val="18"/>
              </w:rPr>
              <w:t>(PR.G.VQP)</w:t>
            </w:r>
          </w:p>
        </w:tc>
        <w:tc>
          <w:tcPr>
            <w:tcW w:w="2084" w:type="dxa"/>
          </w:tcPr>
          <w:p>
            <w:pPr>
              <w:pStyle w:val="TableParagraph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pacing w:val="-4"/>
                <w:w w:val="95"/>
                <w:sz w:val="18"/>
              </w:rPr>
              <w:t>PR.G</w:t>
            </w:r>
          </w:p>
          <w:p>
            <w:pPr>
              <w:pStyle w:val="TableParagraph"/>
              <w:spacing w:before="2"/>
              <w:ind w:left="19" w:right="5"/>
              <w:jc w:val="center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Paolo</w:t>
            </w:r>
            <w:r>
              <w:rPr>
                <w:i/>
                <w:spacing w:val="-5"/>
                <w:w w:val="90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Nazzaro</w:t>
            </w:r>
          </w:p>
        </w:tc>
        <w:tc>
          <w:tcPr>
            <w:tcW w:w="1923" w:type="dxa"/>
          </w:tcPr>
          <w:p>
            <w:pPr>
              <w:pStyle w:val="TableParagraph"/>
              <w:spacing w:line="290" w:lineRule="auto"/>
              <w:ind w:left="486" w:right="198" w:hanging="27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Codice</w:t>
            </w:r>
            <w:r>
              <w:rPr>
                <w:i/>
                <w:spacing w:val="-14"/>
                <w:w w:val="90"/>
                <w:sz w:val="18"/>
              </w:rPr>
              <w:t> </w:t>
            </w:r>
            <w:r>
              <w:rPr>
                <w:i/>
                <w:w w:val="90"/>
                <w:sz w:val="18"/>
              </w:rPr>
              <w:t>documento </w:t>
            </w:r>
            <w:r>
              <w:rPr>
                <w:i/>
                <w:spacing w:val="-2"/>
                <w:sz w:val="18"/>
              </w:rPr>
              <w:t>2019-00042</w:t>
            </w:r>
          </w:p>
        </w:tc>
        <w:tc>
          <w:tcPr>
            <w:tcW w:w="1926" w:type="dxa"/>
          </w:tcPr>
          <w:p>
            <w:pPr>
              <w:pStyle w:val="TableParagraph"/>
              <w:spacing w:line="290" w:lineRule="auto"/>
              <w:ind w:left="916" w:right="595" w:hanging="303"/>
              <w:rPr>
                <w:i/>
                <w:sz w:val="18"/>
              </w:rPr>
            </w:pPr>
            <w:r>
              <w:rPr>
                <w:i/>
                <w:spacing w:val="-2"/>
                <w:w w:val="90"/>
                <w:sz w:val="18"/>
              </w:rPr>
              <w:t>Versione </w:t>
            </w:r>
            <w:r>
              <w:rPr>
                <w:i/>
                <w:spacing w:val="-10"/>
                <w:w w:val="95"/>
                <w:sz w:val="18"/>
              </w:rPr>
              <w:t>3</w:t>
            </w:r>
          </w:p>
        </w:tc>
        <w:tc>
          <w:tcPr>
            <w:tcW w:w="1926" w:type="dxa"/>
          </w:tcPr>
          <w:p>
            <w:pPr>
              <w:pStyle w:val="TableParagraph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Data</w:t>
            </w:r>
            <w:r>
              <w:rPr>
                <w:i/>
                <w:spacing w:val="-6"/>
                <w:w w:val="90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pubblicazione</w:t>
            </w:r>
          </w:p>
          <w:p>
            <w:pPr>
              <w:pStyle w:val="TableParagraph"/>
              <w:spacing w:before="46"/>
              <w:ind w:left="9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10/11/2025</w:t>
            </w:r>
          </w:p>
        </w:tc>
      </w:tr>
    </w:tbl>
    <w:p>
      <w:pPr>
        <w:pStyle w:val="Heading1"/>
      </w:pPr>
      <w:r>
        <w:rPr>
          <w:w w:val="90"/>
        </w:rPr>
        <w:t>ALLEGATO</w:t>
      </w:r>
      <w:r>
        <w:rPr>
          <w:spacing w:val="21"/>
        </w:rPr>
        <w:t> </w:t>
      </w:r>
      <w:r>
        <w:rPr>
          <w:w w:val="90"/>
        </w:rPr>
        <w:t>1:</w:t>
      </w:r>
      <w:r>
        <w:rPr>
          <w:spacing w:val="22"/>
        </w:rPr>
        <w:t> </w:t>
      </w:r>
      <w:r>
        <w:rPr>
          <w:w w:val="90"/>
        </w:rPr>
        <w:t>CASISTICHE</w:t>
      </w:r>
      <w:r>
        <w:rPr>
          <w:spacing w:val="23"/>
        </w:rPr>
        <w:t> </w:t>
      </w:r>
      <w:r>
        <w:rPr>
          <w:w w:val="90"/>
        </w:rPr>
        <w:t>DI</w:t>
      </w:r>
      <w:r>
        <w:rPr>
          <w:spacing w:val="22"/>
        </w:rPr>
        <w:t> </w:t>
      </w:r>
      <w:r>
        <w:rPr>
          <w:w w:val="90"/>
        </w:rPr>
        <w:t>TRATTATIVA</w:t>
      </w:r>
      <w:r>
        <w:rPr>
          <w:spacing w:val="25"/>
        </w:rPr>
        <w:t> </w:t>
      </w:r>
      <w:r>
        <w:rPr>
          <w:spacing w:val="-2"/>
          <w:w w:val="90"/>
        </w:rPr>
        <w:t>DIRETTA</w:t>
      </w:r>
    </w:p>
    <w:p>
      <w:pPr>
        <w:pStyle w:val="BodyText"/>
        <w:spacing w:line="244" w:lineRule="auto" w:before="12"/>
        <w:ind w:left="141" w:right="1050" w:firstLine="0"/>
      </w:pPr>
      <w:r>
        <w:rPr/>
        <w:t>Le casistiche ammesse per gli acquisti in trattativa diretta, che vanno preventivamente autorizzati nell’ambito della funzione i PR, sono: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  <w:tab w:pos="424" w:val="left" w:leader="none"/>
        </w:tabs>
        <w:spacing w:line="244" w:lineRule="auto" w:before="59" w:after="0"/>
        <w:ind w:left="424" w:right="142" w:hanging="284"/>
        <w:jc w:val="both"/>
        <w:rPr>
          <w:sz w:val="20"/>
        </w:rPr>
      </w:pPr>
      <w:r>
        <w:rPr>
          <w:sz w:val="20"/>
        </w:rPr>
        <w:t>Particolarità tecnologiche/infrastrutturali: soluzioni/prodotti/servizi con caratteristiche di specializzazione tecnologica o atti a garantire la continuità del servizio, anche in termini di safety e di security, nonché ampliamento e/o ottimizzazione dell'infrastruttura esistente per</w:t>
      </w:r>
      <w:r>
        <w:rPr>
          <w:spacing w:val="80"/>
          <w:sz w:val="20"/>
        </w:rPr>
        <w:t> </w:t>
      </w:r>
      <w:r>
        <w:rPr>
          <w:sz w:val="20"/>
        </w:rPr>
        <w:t>assicurare/ottimizzare</w:t>
      </w:r>
      <w:r>
        <w:rPr>
          <w:spacing w:val="80"/>
          <w:sz w:val="20"/>
        </w:rPr>
        <w:t> </w:t>
      </w:r>
      <w:r>
        <w:rPr>
          <w:sz w:val="20"/>
        </w:rPr>
        <w:t>prestazioni</w:t>
      </w:r>
      <w:r>
        <w:rPr>
          <w:spacing w:val="80"/>
          <w:sz w:val="20"/>
        </w:rPr>
        <w:t> </w:t>
      </w:r>
      <w:r>
        <w:rPr>
          <w:sz w:val="20"/>
        </w:rPr>
        <w:t>e costo</w:t>
      </w:r>
      <w:r>
        <w:rPr>
          <w:spacing w:val="40"/>
          <w:sz w:val="20"/>
        </w:rPr>
        <w:t> </w:t>
      </w:r>
      <w:r>
        <w:rPr>
          <w:sz w:val="20"/>
        </w:rPr>
        <w:t>totale</w:t>
      </w:r>
      <w:r>
        <w:rPr>
          <w:spacing w:val="40"/>
          <w:sz w:val="20"/>
        </w:rPr>
        <w:t> </w:t>
      </w:r>
      <w:r>
        <w:rPr>
          <w:sz w:val="20"/>
        </w:rPr>
        <w:t>da</w:t>
      </w:r>
      <w:r>
        <w:rPr>
          <w:spacing w:val="40"/>
          <w:sz w:val="20"/>
        </w:rPr>
        <w:t> </w:t>
      </w:r>
      <w:r>
        <w:rPr>
          <w:sz w:val="20"/>
        </w:rPr>
        <w:t>valutare</w:t>
      </w:r>
      <w:r>
        <w:rPr>
          <w:spacing w:val="40"/>
          <w:sz w:val="20"/>
        </w:rPr>
        <w:t> </w:t>
      </w:r>
      <w:r>
        <w:rPr>
          <w:sz w:val="20"/>
        </w:rPr>
        <w:t>nell’arco</w:t>
      </w:r>
      <w:r>
        <w:rPr>
          <w:spacing w:val="40"/>
          <w:sz w:val="20"/>
        </w:rPr>
        <w:t> </w:t>
      </w:r>
      <w:r>
        <w:rPr>
          <w:sz w:val="20"/>
        </w:rPr>
        <w:t>della</w:t>
      </w:r>
      <w:r>
        <w:rPr>
          <w:spacing w:val="40"/>
          <w:sz w:val="20"/>
        </w:rPr>
        <w:t> </w:t>
      </w:r>
      <w:r>
        <w:rPr>
          <w:sz w:val="20"/>
        </w:rPr>
        <w:t>vita</w:t>
      </w:r>
      <w:r>
        <w:rPr>
          <w:spacing w:val="40"/>
          <w:sz w:val="20"/>
        </w:rPr>
        <w:t> </w:t>
      </w:r>
      <w:r>
        <w:rPr>
          <w:sz w:val="20"/>
        </w:rPr>
        <w:t>utile</w:t>
      </w:r>
      <w:r>
        <w:rPr>
          <w:spacing w:val="40"/>
          <w:sz w:val="20"/>
        </w:rPr>
        <w:t> </w:t>
      </w:r>
      <w:r>
        <w:rPr>
          <w:sz w:val="20"/>
        </w:rPr>
        <w:t>della fornitura (che comprende, oltre al costo di acquisto, ad es. quelli di aggiornamento dei contratti di assistenza,</w:t>
      </w:r>
      <w:r>
        <w:rPr>
          <w:spacing w:val="80"/>
          <w:sz w:val="20"/>
        </w:rPr>
        <w:t> </w:t>
      </w:r>
      <w:r>
        <w:rPr>
          <w:sz w:val="20"/>
        </w:rPr>
        <w:t>eventuali</w:t>
      </w:r>
      <w:r>
        <w:rPr>
          <w:spacing w:val="40"/>
          <w:sz w:val="20"/>
        </w:rPr>
        <w:t> </w:t>
      </w:r>
      <w:r>
        <w:rPr>
          <w:sz w:val="20"/>
        </w:rPr>
        <w:t>modifiche</w:t>
      </w:r>
      <w:r>
        <w:rPr>
          <w:spacing w:val="40"/>
          <w:sz w:val="20"/>
        </w:rPr>
        <w:t> </w:t>
      </w:r>
      <w:r>
        <w:rPr>
          <w:sz w:val="20"/>
        </w:rPr>
        <w:t>ai</w:t>
      </w:r>
      <w:r>
        <w:rPr>
          <w:spacing w:val="40"/>
          <w:sz w:val="20"/>
        </w:rPr>
        <w:t> </w:t>
      </w:r>
      <w:r>
        <w:rPr>
          <w:sz w:val="20"/>
        </w:rPr>
        <w:t>sistemi per esercizio e manutenzione, interfacce con i clienti)</w:t>
      </w:r>
      <w:hyperlink w:history="true" w:anchor="_bookmark0">
        <w:r>
          <w:rPr>
            <w:position w:val="7"/>
            <w:sz w:val="12"/>
          </w:rPr>
          <w:t>1</w:t>
        </w:r>
        <w:r>
          <w:rPr>
            <w:sz w:val="20"/>
          </w:rPr>
          <w:t>.</w:t>
        </w:r>
      </w:hyperlink>
    </w:p>
    <w:p>
      <w:pPr>
        <w:pStyle w:val="ListParagraph"/>
        <w:numPr>
          <w:ilvl w:val="0"/>
          <w:numId w:val="1"/>
        </w:numPr>
        <w:tabs>
          <w:tab w:pos="422" w:val="left" w:leader="none"/>
          <w:tab w:pos="424" w:val="left" w:leader="none"/>
        </w:tabs>
        <w:spacing w:line="247" w:lineRule="auto" w:before="59" w:after="0"/>
        <w:ind w:left="424" w:right="142" w:hanging="284"/>
        <w:jc w:val="both"/>
        <w:rPr>
          <w:sz w:val="20"/>
        </w:rPr>
      </w:pPr>
      <w:r>
        <w:rPr>
          <w:sz w:val="20"/>
        </w:rPr>
        <w:t>Acquisti fatti in condizioni di emergenza, adeguatamente motivati, laddove a seguito di eventi imprevedibili siano a rischio funzionalità operative dell’Azienda.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  <w:tab w:pos="424" w:val="left" w:leader="none"/>
        </w:tabs>
        <w:spacing w:line="244" w:lineRule="auto" w:before="55" w:after="0"/>
        <w:ind w:left="424" w:right="150" w:hanging="284"/>
        <w:jc w:val="both"/>
        <w:rPr>
          <w:sz w:val="20"/>
        </w:rPr>
      </w:pPr>
      <w:r>
        <w:rPr>
          <w:sz w:val="20"/>
        </w:rPr>
        <w:t>Presenza,</w:t>
      </w:r>
      <w:r>
        <w:rPr>
          <w:spacing w:val="-7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consulenze/prestazioni</w:t>
      </w:r>
      <w:r>
        <w:rPr>
          <w:spacing w:val="-8"/>
          <w:sz w:val="20"/>
        </w:rPr>
        <w:t> </w:t>
      </w:r>
      <w:r>
        <w:rPr>
          <w:sz w:val="20"/>
        </w:rPr>
        <w:t>professionali,</w:t>
      </w:r>
      <w:r>
        <w:rPr>
          <w:spacing w:val="-4"/>
          <w:sz w:val="20"/>
        </w:rPr>
        <w:t> </w:t>
      </w:r>
      <w:r>
        <w:rPr>
          <w:sz w:val="20"/>
        </w:rPr>
        <w:t>di</w:t>
      </w:r>
      <w:r>
        <w:rPr>
          <w:spacing w:val="-8"/>
          <w:sz w:val="20"/>
        </w:rPr>
        <w:t> </w:t>
      </w:r>
      <w:r>
        <w:rPr>
          <w:sz w:val="20"/>
        </w:rPr>
        <w:t>particolare</w:t>
      </w:r>
      <w:r>
        <w:rPr>
          <w:spacing w:val="-3"/>
          <w:sz w:val="20"/>
        </w:rPr>
        <w:t> </w:t>
      </w:r>
      <w:r>
        <w:rPr>
          <w:sz w:val="20"/>
        </w:rPr>
        <w:t>specializzazione</w:t>
      </w:r>
      <w:r>
        <w:rPr>
          <w:spacing w:val="-7"/>
          <w:sz w:val="20"/>
        </w:rPr>
        <w:t> </w:t>
      </w:r>
      <w:r>
        <w:rPr>
          <w:sz w:val="20"/>
        </w:rPr>
        <w:t>ovvero</w:t>
      </w:r>
      <w:r>
        <w:rPr>
          <w:spacing w:val="-3"/>
          <w:sz w:val="20"/>
        </w:rPr>
        <w:t> </w:t>
      </w:r>
      <w:r>
        <w:rPr>
          <w:sz w:val="20"/>
        </w:rPr>
        <w:t>di</w:t>
      </w:r>
      <w:r>
        <w:rPr>
          <w:spacing w:val="-5"/>
          <w:sz w:val="20"/>
        </w:rPr>
        <w:t> </w:t>
      </w:r>
      <w:r>
        <w:rPr>
          <w:sz w:val="20"/>
        </w:rPr>
        <w:t>integrazione o di complementarità delle stesse con attività già avviate.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  <w:tab w:pos="424" w:val="left" w:leader="none"/>
        </w:tabs>
        <w:spacing w:line="244" w:lineRule="auto" w:before="60" w:after="0"/>
        <w:ind w:left="424" w:right="142" w:hanging="284"/>
        <w:jc w:val="both"/>
        <w:rPr>
          <w:sz w:val="20"/>
        </w:rPr>
      </w:pPr>
      <w:r>
        <w:rPr>
          <w:sz w:val="20"/>
        </w:rPr>
        <w:t>Acquisti d'opportunità, qualora sia possibile acquistare a condizioni estremamente vantaggiose da fornitore che cessi definitivamente la propria attività commerciale ovvero approfittando di occasione particolarmente vantaggiosa che si presenti</w:t>
      </w:r>
      <w:r>
        <w:rPr>
          <w:spacing w:val="40"/>
          <w:sz w:val="20"/>
        </w:rPr>
        <w:t> </w:t>
      </w:r>
      <w:r>
        <w:rPr>
          <w:sz w:val="20"/>
        </w:rPr>
        <w:t>per</w:t>
      </w:r>
      <w:r>
        <w:rPr>
          <w:spacing w:val="40"/>
          <w:sz w:val="20"/>
        </w:rPr>
        <w:t> </w:t>
      </w:r>
      <w:r>
        <w:rPr>
          <w:sz w:val="20"/>
        </w:rPr>
        <w:t>un tempo</w:t>
      </w:r>
      <w:r>
        <w:rPr>
          <w:spacing w:val="40"/>
          <w:sz w:val="20"/>
        </w:rPr>
        <w:t> </w:t>
      </w:r>
      <w:r>
        <w:rPr>
          <w:sz w:val="20"/>
        </w:rPr>
        <w:t>molto</w:t>
      </w:r>
      <w:r>
        <w:rPr>
          <w:spacing w:val="40"/>
          <w:sz w:val="20"/>
        </w:rPr>
        <w:t> </w:t>
      </w:r>
      <w:r>
        <w:rPr>
          <w:sz w:val="20"/>
        </w:rPr>
        <w:t>breve</w:t>
      </w:r>
      <w:r>
        <w:rPr>
          <w:spacing w:val="40"/>
          <w:sz w:val="20"/>
        </w:rPr>
        <w:t> </w:t>
      </w:r>
      <w:r>
        <w:rPr>
          <w:sz w:val="20"/>
        </w:rPr>
        <w:t>con</w:t>
      </w:r>
      <w:r>
        <w:rPr>
          <w:spacing w:val="40"/>
          <w:sz w:val="20"/>
        </w:rPr>
        <w:t> </w:t>
      </w:r>
      <w:r>
        <w:rPr>
          <w:sz w:val="20"/>
        </w:rPr>
        <w:t>prezzi</w:t>
      </w:r>
      <w:r>
        <w:rPr>
          <w:spacing w:val="40"/>
          <w:sz w:val="20"/>
        </w:rPr>
        <w:t> </w:t>
      </w:r>
      <w:r>
        <w:rPr>
          <w:sz w:val="20"/>
        </w:rPr>
        <w:t>sensibilmente inferiori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quelli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2"/>
          <w:sz w:val="20"/>
        </w:rPr>
        <w:t> </w:t>
      </w:r>
      <w:r>
        <w:rPr>
          <w:sz w:val="20"/>
        </w:rPr>
        <w:t>mercato,</w:t>
      </w:r>
      <w:r>
        <w:rPr>
          <w:spacing w:val="-7"/>
          <w:sz w:val="20"/>
        </w:rPr>
        <w:t> </w:t>
      </w:r>
      <w:r>
        <w:rPr>
          <w:sz w:val="20"/>
        </w:rPr>
        <w:t>purché</w:t>
      </w:r>
      <w:r>
        <w:rPr>
          <w:spacing w:val="40"/>
          <w:sz w:val="20"/>
        </w:rPr>
        <w:t> </w:t>
      </w:r>
      <w:r>
        <w:rPr>
          <w:sz w:val="20"/>
        </w:rPr>
        <w:t>le</w:t>
      </w:r>
      <w:r>
        <w:rPr>
          <w:spacing w:val="40"/>
          <w:sz w:val="20"/>
        </w:rPr>
        <w:t> </w:t>
      </w:r>
      <w:r>
        <w:rPr>
          <w:sz w:val="20"/>
        </w:rPr>
        <w:t>condizioni</w:t>
      </w:r>
      <w:r>
        <w:rPr>
          <w:spacing w:val="-12"/>
          <w:sz w:val="20"/>
        </w:rPr>
        <w:t> </w:t>
      </w:r>
      <w:r>
        <w:rPr>
          <w:sz w:val="20"/>
        </w:rPr>
        <w:t>di</w:t>
      </w:r>
      <w:r>
        <w:rPr>
          <w:spacing w:val="-11"/>
          <w:sz w:val="20"/>
        </w:rPr>
        <w:t> </w:t>
      </w:r>
      <w:r>
        <w:rPr>
          <w:sz w:val="20"/>
        </w:rPr>
        <w:t>acquisto</w:t>
      </w:r>
      <w:r>
        <w:rPr>
          <w:spacing w:val="40"/>
          <w:sz w:val="20"/>
        </w:rPr>
        <w:t> </w:t>
      </w:r>
      <w:r>
        <w:rPr>
          <w:sz w:val="20"/>
        </w:rPr>
        <w:t>non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40"/>
          <w:sz w:val="20"/>
        </w:rPr>
        <w:t> </w:t>
      </w:r>
      <w:r>
        <w:rPr>
          <w:sz w:val="20"/>
        </w:rPr>
        <w:t>ripetano</w:t>
      </w:r>
      <w:r>
        <w:rPr>
          <w:spacing w:val="-11"/>
          <w:sz w:val="20"/>
        </w:rPr>
        <w:t> </w:t>
      </w:r>
      <w:r>
        <w:rPr>
          <w:sz w:val="20"/>
        </w:rPr>
        <w:t>nel</w:t>
      </w:r>
      <w:r>
        <w:rPr>
          <w:spacing w:val="40"/>
          <w:sz w:val="20"/>
        </w:rPr>
        <w:t> </w:t>
      </w:r>
      <w:r>
        <w:rPr>
          <w:sz w:val="20"/>
        </w:rPr>
        <w:t>tempo</w:t>
      </w:r>
      <w:r>
        <w:rPr>
          <w:spacing w:val="-10"/>
          <w:sz w:val="20"/>
        </w:rPr>
        <w:t> </w:t>
      </w:r>
      <w:r>
        <w:rPr>
          <w:sz w:val="20"/>
        </w:rPr>
        <w:t>(al</w:t>
      </w:r>
      <w:r>
        <w:rPr>
          <w:spacing w:val="40"/>
          <w:sz w:val="20"/>
        </w:rPr>
        <w:t> </w:t>
      </w:r>
      <w:r>
        <w:rPr>
          <w:sz w:val="20"/>
        </w:rPr>
        <w:t>fine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2"/>
          <w:sz w:val="20"/>
        </w:rPr>
        <w:t> </w:t>
      </w:r>
      <w:r>
        <w:rPr>
          <w:sz w:val="20"/>
        </w:rPr>
        <w:t>evitare lo sfruttamento di situazioni di “dumping”).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  <w:tab w:pos="424" w:val="left" w:leader="none"/>
        </w:tabs>
        <w:spacing w:line="244" w:lineRule="auto" w:before="60" w:after="0"/>
        <w:ind w:left="424" w:right="147" w:hanging="284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seguito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gara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andata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deserta,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purché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contenuto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tecnico/economico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della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trattativa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discosti significativamente da quello della gara.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  <w:tab w:pos="424" w:val="left" w:leader="none"/>
        </w:tabs>
        <w:spacing w:line="244" w:lineRule="auto" w:before="59" w:after="0"/>
        <w:ind w:left="424" w:right="150" w:hanging="284"/>
        <w:jc w:val="both"/>
        <w:rPr>
          <w:sz w:val="20"/>
        </w:rPr>
      </w:pPr>
      <w:r>
        <w:rPr>
          <w:sz w:val="20"/>
        </w:rPr>
        <w:t>Prezzi imposti da autorità di settore o derivanti da accordi di cessione d’azienda/ramo d’azienda che comportano l’impossibilità oggettiva di competizione tra più fornitori.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  <w:tab w:pos="424" w:val="left" w:leader="none"/>
        </w:tabs>
        <w:spacing w:line="244" w:lineRule="auto" w:before="60" w:after="0"/>
        <w:ind w:left="424" w:right="145" w:hanging="284"/>
        <w:jc w:val="both"/>
        <w:rPr>
          <w:sz w:val="20"/>
        </w:rPr>
      </w:pPr>
      <w:r>
        <w:rPr>
          <w:w w:val="105"/>
          <w:sz w:val="20"/>
        </w:rPr>
        <w:t>Estensioni</w:t>
      </w:r>
      <w:r>
        <w:rPr>
          <w:w w:val="105"/>
          <w:sz w:val="20"/>
        </w:rPr>
        <w:t> a</w:t>
      </w:r>
      <w:r>
        <w:rPr>
          <w:w w:val="105"/>
          <w:sz w:val="20"/>
        </w:rPr>
        <w:t> fornitori</w:t>
      </w:r>
      <w:r>
        <w:rPr>
          <w:w w:val="105"/>
          <w:sz w:val="20"/>
        </w:rPr>
        <w:t> non</w:t>
      </w:r>
      <w:r>
        <w:rPr>
          <w:w w:val="105"/>
          <w:sz w:val="20"/>
        </w:rPr>
        <w:t> aggiudicatari</w:t>
      </w:r>
      <w:r>
        <w:rPr>
          <w:w w:val="105"/>
          <w:sz w:val="20"/>
        </w:rPr>
        <w:t> di</w:t>
      </w:r>
      <w:r>
        <w:rPr>
          <w:w w:val="105"/>
          <w:sz w:val="20"/>
        </w:rPr>
        <w:t> competizione</w:t>
      </w:r>
      <w:hyperlink w:history="true" w:anchor="_bookmark1">
        <w:r>
          <w:rPr>
            <w:w w:val="105"/>
            <w:position w:val="7"/>
            <w:sz w:val="12"/>
          </w:rPr>
          <w:t>2</w:t>
        </w:r>
      </w:hyperlink>
      <w:r>
        <w:rPr>
          <w:spacing w:val="40"/>
          <w:w w:val="105"/>
          <w:position w:val="7"/>
          <w:sz w:val="12"/>
        </w:rPr>
        <w:t> </w:t>
      </w:r>
      <w:r>
        <w:rPr>
          <w:w w:val="105"/>
          <w:sz w:val="20"/>
        </w:rPr>
        <w:t>delle</w:t>
      </w:r>
      <w:r>
        <w:rPr>
          <w:w w:val="105"/>
          <w:sz w:val="20"/>
        </w:rPr>
        <w:t> condizioni</w:t>
      </w:r>
      <w:r>
        <w:rPr>
          <w:w w:val="105"/>
          <w:sz w:val="20"/>
        </w:rPr>
        <w:t> e</w:t>
      </w:r>
      <w:r>
        <w:rPr>
          <w:w w:val="105"/>
          <w:sz w:val="20"/>
        </w:rPr>
        <w:t> dei</w:t>
      </w:r>
      <w:r>
        <w:rPr>
          <w:w w:val="105"/>
          <w:sz w:val="20"/>
        </w:rPr>
        <w:t> prezzi</w:t>
      </w:r>
      <w:r>
        <w:rPr>
          <w:w w:val="105"/>
          <w:sz w:val="20"/>
        </w:rPr>
        <w:t> definiti</w:t>
      </w:r>
      <w:r>
        <w:rPr>
          <w:w w:val="105"/>
          <w:sz w:val="20"/>
        </w:rPr>
        <w:t> in competizione,</w:t>
      </w:r>
      <w:r>
        <w:rPr>
          <w:w w:val="105"/>
          <w:sz w:val="20"/>
        </w:rPr>
        <w:t> se</w:t>
      </w:r>
      <w:r>
        <w:rPr>
          <w:w w:val="105"/>
          <w:sz w:val="20"/>
        </w:rPr>
        <w:t> effettuate</w:t>
      </w:r>
      <w:r>
        <w:rPr>
          <w:w w:val="105"/>
          <w:sz w:val="20"/>
        </w:rPr>
        <w:t> non</w:t>
      </w:r>
      <w:r>
        <w:rPr>
          <w:w w:val="105"/>
          <w:sz w:val="20"/>
        </w:rPr>
        <w:t> oltre</w:t>
      </w:r>
      <w:r>
        <w:rPr>
          <w:w w:val="105"/>
          <w:sz w:val="20"/>
        </w:rPr>
        <w:t> 6</w:t>
      </w:r>
      <w:r>
        <w:rPr>
          <w:w w:val="105"/>
          <w:sz w:val="20"/>
        </w:rPr>
        <w:t> mesi</w:t>
      </w:r>
      <w:r>
        <w:rPr>
          <w:w w:val="105"/>
          <w:sz w:val="20"/>
        </w:rPr>
        <w:t> dalla</w:t>
      </w:r>
      <w:r>
        <w:rPr>
          <w:w w:val="105"/>
          <w:sz w:val="20"/>
        </w:rPr>
        <w:t> data</w:t>
      </w:r>
      <w:r>
        <w:rPr>
          <w:w w:val="105"/>
          <w:sz w:val="20"/>
        </w:rPr>
        <w:t> di</w:t>
      </w:r>
      <w:r>
        <w:rPr>
          <w:w w:val="105"/>
          <w:sz w:val="20"/>
        </w:rPr>
        <w:t> stipula</w:t>
      </w:r>
      <w:r>
        <w:rPr>
          <w:w w:val="105"/>
          <w:sz w:val="20"/>
        </w:rPr>
        <w:t> del</w:t>
      </w:r>
      <w:r>
        <w:rPr>
          <w:w w:val="105"/>
          <w:sz w:val="20"/>
        </w:rPr>
        <w:t> contratto</w:t>
      </w:r>
      <w:r>
        <w:rPr>
          <w:w w:val="105"/>
          <w:sz w:val="20"/>
        </w:rPr>
        <w:t> conseguente </w:t>
      </w:r>
      <w:r>
        <w:rPr>
          <w:sz w:val="20"/>
        </w:rPr>
        <w:t>all’aggiudicazione</w:t>
      </w:r>
      <w:r>
        <w:rPr>
          <w:spacing w:val="-2"/>
          <w:sz w:val="20"/>
        </w:rPr>
        <w:t> </w:t>
      </w:r>
      <w:r>
        <w:rPr>
          <w:sz w:val="20"/>
        </w:rPr>
        <w:t>della fornitura e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validità non</w:t>
      </w:r>
      <w:r>
        <w:rPr>
          <w:spacing w:val="-3"/>
          <w:sz w:val="20"/>
        </w:rPr>
        <w:t> </w:t>
      </w:r>
      <w:r>
        <w:rPr>
          <w:sz w:val="20"/>
        </w:rPr>
        <w:t>superiore a quella del</w:t>
      </w:r>
      <w:r>
        <w:rPr>
          <w:spacing w:val="-3"/>
          <w:sz w:val="20"/>
        </w:rPr>
        <w:t> </w:t>
      </w:r>
      <w:r>
        <w:rPr>
          <w:sz w:val="20"/>
        </w:rPr>
        <w:t>contratto</w:t>
      </w:r>
      <w:r>
        <w:rPr>
          <w:spacing w:val="-2"/>
          <w:sz w:val="20"/>
        </w:rPr>
        <w:t> </w:t>
      </w:r>
      <w:r>
        <w:rPr>
          <w:sz w:val="20"/>
        </w:rPr>
        <w:t>definito</w:t>
      </w:r>
      <w:r>
        <w:rPr>
          <w:spacing w:val="-2"/>
          <w:sz w:val="20"/>
        </w:rPr>
        <w:t> </w:t>
      </w:r>
      <w:r>
        <w:rPr>
          <w:sz w:val="20"/>
        </w:rPr>
        <w:t>nel</w:t>
      </w:r>
      <w:r>
        <w:rPr>
          <w:spacing w:val="-3"/>
          <w:sz w:val="20"/>
        </w:rPr>
        <w:t> </w:t>
      </w:r>
      <w:r>
        <w:rPr>
          <w:sz w:val="20"/>
        </w:rPr>
        <w:t>corso</w:t>
      </w:r>
      <w:r>
        <w:rPr>
          <w:spacing w:val="-2"/>
          <w:sz w:val="20"/>
        </w:rPr>
        <w:t> </w:t>
      </w:r>
      <w:r>
        <w:rPr>
          <w:sz w:val="20"/>
        </w:rPr>
        <w:t>della competizione, ovvero estensione dell’importo contrattuale al fornitore aggiudicatario della competizione, </w:t>
      </w:r>
      <w:r>
        <w:rPr>
          <w:w w:val="105"/>
          <w:sz w:val="20"/>
        </w:rPr>
        <w:t>purché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il</w:t>
      </w:r>
      <w:r>
        <w:rPr>
          <w:spacing w:val="-18"/>
          <w:w w:val="105"/>
          <w:sz w:val="20"/>
        </w:rPr>
        <w:t> </w:t>
      </w:r>
      <w:r>
        <w:rPr>
          <w:w w:val="105"/>
          <w:sz w:val="20"/>
        </w:rPr>
        <w:t>valore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documento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contrattuale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sia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inferiore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quello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aggiudicato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gara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almeno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50%.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  <w:tab w:pos="424" w:val="left" w:leader="none"/>
        </w:tabs>
        <w:spacing w:line="244" w:lineRule="auto" w:before="58" w:after="0"/>
        <w:ind w:left="424" w:right="149" w:hanging="284"/>
        <w:jc w:val="both"/>
        <w:rPr>
          <w:sz w:val="20"/>
        </w:rPr>
      </w:pPr>
      <w:r>
        <w:rPr>
          <w:sz w:val="20"/>
        </w:rPr>
        <w:t>In presenza di progetti di business/tecnologici adeguatamente identificati caratterizzati da esigenze di acquisto</w:t>
      </w:r>
      <w:r>
        <w:rPr>
          <w:spacing w:val="-5"/>
          <w:sz w:val="20"/>
        </w:rPr>
        <w:t> </w:t>
      </w:r>
      <w:r>
        <w:rPr>
          <w:sz w:val="20"/>
        </w:rPr>
        <w:t>relative</w:t>
      </w:r>
      <w:r>
        <w:rPr>
          <w:spacing w:val="-8"/>
          <w:sz w:val="20"/>
        </w:rPr>
        <w:t> </w:t>
      </w:r>
      <w:r>
        <w:rPr>
          <w:sz w:val="20"/>
        </w:rPr>
        <w:t>ad</w:t>
      </w:r>
      <w:r>
        <w:rPr>
          <w:spacing w:val="-9"/>
          <w:sz w:val="20"/>
        </w:rPr>
        <w:t> </w:t>
      </w:r>
      <w:r>
        <w:rPr>
          <w:sz w:val="20"/>
        </w:rPr>
        <w:t>archi</w:t>
      </w:r>
      <w:r>
        <w:rPr>
          <w:spacing w:val="-6"/>
          <w:sz w:val="20"/>
        </w:rPr>
        <w:t> </w:t>
      </w:r>
      <w:r>
        <w:rPr>
          <w:sz w:val="20"/>
        </w:rPr>
        <w:t>temporali</w:t>
      </w:r>
      <w:r>
        <w:rPr>
          <w:spacing w:val="-9"/>
          <w:sz w:val="20"/>
        </w:rPr>
        <w:t> </w:t>
      </w:r>
      <w:r>
        <w:rPr>
          <w:sz w:val="20"/>
        </w:rPr>
        <w:t>limitati,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8"/>
          <w:sz w:val="20"/>
        </w:rPr>
        <w:t> </w:t>
      </w:r>
      <w:r>
        <w:rPr>
          <w:sz w:val="20"/>
        </w:rPr>
        <w:t>i</w:t>
      </w:r>
      <w:r>
        <w:rPr>
          <w:spacing w:val="-9"/>
          <w:sz w:val="20"/>
        </w:rPr>
        <w:t> </w:t>
      </w:r>
      <w:r>
        <w:rPr>
          <w:sz w:val="20"/>
        </w:rPr>
        <w:t>quali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9"/>
          <w:sz w:val="20"/>
        </w:rPr>
        <w:t> </w:t>
      </w:r>
      <w:r>
        <w:rPr>
          <w:sz w:val="20"/>
        </w:rPr>
        <w:t>dispone</w:t>
      </w:r>
      <w:r>
        <w:rPr>
          <w:spacing w:val="-5"/>
          <w:sz w:val="20"/>
        </w:rPr>
        <w:t> </w:t>
      </w:r>
      <w:r>
        <w:rPr>
          <w:sz w:val="20"/>
        </w:rPr>
        <w:t>dei</w:t>
      </w:r>
      <w:r>
        <w:rPr>
          <w:spacing w:val="-9"/>
          <w:sz w:val="20"/>
        </w:rPr>
        <w:t> </w:t>
      </w:r>
      <w:r>
        <w:rPr>
          <w:sz w:val="20"/>
        </w:rPr>
        <w:t>fabbisogni</w:t>
      </w:r>
      <w:r>
        <w:rPr>
          <w:spacing w:val="-9"/>
          <w:sz w:val="20"/>
        </w:rPr>
        <w:t> </w:t>
      </w:r>
      <w:r>
        <w:rPr>
          <w:sz w:val="20"/>
        </w:rPr>
        <w:t>puntuali</w:t>
      </w:r>
      <w:r>
        <w:rPr>
          <w:spacing w:val="-6"/>
          <w:sz w:val="20"/>
        </w:rPr>
        <w:t> </w:t>
      </w:r>
      <w:r>
        <w:rPr>
          <w:sz w:val="20"/>
        </w:rPr>
        <w:t>nonché</w:t>
      </w:r>
      <w:r>
        <w:rPr>
          <w:spacing w:val="-5"/>
          <w:sz w:val="20"/>
        </w:rPr>
        <w:t> </w:t>
      </w:r>
      <w:r>
        <w:rPr>
          <w:sz w:val="20"/>
        </w:rPr>
        <w:t>dei</w:t>
      </w:r>
      <w:r>
        <w:rPr>
          <w:spacing w:val="-9"/>
          <w:sz w:val="20"/>
        </w:rPr>
        <w:t> </w:t>
      </w:r>
      <w:r>
        <w:rPr>
          <w:sz w:val="20"/>
        </w:rPr>
        <w:t>relativi fornitori interessati.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  <w:tab w:pos="424" w:val="left" w:leader="none"/>
        </w:tabs>
        <w:spacing w:line="244" w:lineRule="auto" w:before="60" w:after="0"/>
        <w:ind w:left="424" w:right="151" w:hanging="284"/>
        <w:jc w:val="both"/>
        <w:rPr>
          <w:sz w:val="20"/>
        </w:rPr>
      </w:pPr>
      <w:r>
        <w:rPr>
          <w:sz w:val="20"/>
        </w:rPr>
        <w:t>Acquisti per la Commercializzazione di prodotti/soluzioni non standard per i soli clienti privati non inquadrabili nell’ambito di clienti Pubblica Amministrazione </w:t>
      </w:r>
      <w:hyperlink w:history="true" w:anchor="_bookmark2">
        <w:r>
          <w:rPr>
            <w:position w:val="7"/>
            <w:sz w:val="12"/>
          </w:rPr>
          <w:t>3</w:t>
        </w:r>
        <w:r>
          <w:rPr>
            <w:sz w:val="20"/>
          </w:rPr>
          <w:t>.</w:t>
        </w:r>
      </w:hyperlink>
    </w:p>
    <w:p>
      <w:pPr>
        <w:pStyle w:val="ListParagraph"/>
        <w:numPr>
          <w:ilvl w:val="0"/>
          <w:numId w:val="1"/>
        </w:numPr>
        <w:tabs>
          <w:tab w:pos="410" w:val="left" w:leader="none"/>
          <w:tab w:pos="412" w:val="left" w:leader="none"/>
        </w:tabs>
        <w:spacing w:line="244" w:lineRule="auto" w:before="60" w:after="0"/>
        <w:ind w:left="412" w:right="143" w:hanging="363"/>
        <w:jc w:val="both"/>
        <w:rPr>
          <w:sz w:val="20"/>
        </w:rPr>
      </w:pPr>
      <w:r>
        <w:rPr>
          <w:w w:val="105"/>
          <w:sz w:val="20"/>
        </w:rPr>
        <w:t>Acquisti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opportunità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relative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alla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commercializzazione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verso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garantendo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il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rispetto degli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adempimenti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aggiuntivi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richiesti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tali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acquisti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secondo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quanto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previsto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paragrafo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dedicato della Procedura Attuazione del Processo d’Acquisto</w:t>
      </w:r>
    </w:p>
    <w:p>
      <w:pPr>
        <w:pStyle w:val="BodyText"/>
        <w:spacing w:before="2"/>
        <w:ind w:lef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719632</wp:posOffset>
                </wp:positionH>
                <wp:positionV relativeFrom="paragraph">
                  <wp:posOffset>162531</wp:posOffset>
                </wp:positionV>
                <wp:extent cx="182943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64001pt;margin-top:12.797774pt;width:144.020pt;height:.599980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4" w:lineRule="auto" w:before="119"/>
        <w:ind w:left="369" w:right="174" w:hanging="228"/>
        <w:jc w:val="left"/>
        <w:rPr>
          <w:sz w:val="16"/>
        </w:rPr>
      </w:pPr>
      <w:bookmarkStart w:name="_bookmark0" w:id="1"/>
      <w:bookmarkEnd w:id="1"/>
      <w:r>
        <w:rPr/>
      </w:r>
      <w:r>
        <w:rPr>
          <w:rFonts w:ascii="Calibri" w:hAnsi="Calibri"/>
          <w:spacing w:val="-2"/>
          <w:w w:val="105"/>
          <w:position w:val="5"/>
          <w:sz w:val="12"/>
        </w:rPr>
        <w:t>1</w:t>
      </w:r>
      <w:r>
        <w:rPr>
          <w:rFonts w:ascii="Calibri" w:hAnsi="Calibri"/>
          <w:spacing w:val="63"/>
          <w:w w:val="105"/>
          <w:position w:val="5"/>
          <w:sz w:val="12"/>
        </w:rPr>
        <w:t>  </w:t>
      </w:r>
      <w:r>
        <w:rPr>
          <w:spacing w:val="-2"/>
          <w:w w:val="105"/>
          <w:sz w:val="16"/>
        </w:rPr>
        <w:t>La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continuità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tecnologica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non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è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quindi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un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caso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in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cui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può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essere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richiesta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la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preventiva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autorizzazione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alla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trattativa diretta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nelle </w:t>
      </w:r>
      <w:r>
        <w:rPr>
          <w:w w:val="105"/>
          <w:sz w:val="16"/>
        </w:rPr>
        <w:t>situazioni in cui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sia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possibile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utilizzare:</w:t>
      </w:r>
    </w:p>
    <w:p>
      <w:pPr>
        <w:pStyle w:val="ListParagraph"/>
        <w:numPr>
          <w:ilvl w:val="1"/>
          <w:numId w:val="1"/>
        </w:numPr>
        <w:tabs>
          <w:tab w:pos="711" w:val="left" w:leader="none"/>
        </w:tabs>
        <w:spacing w:line="240" w:lineRule="auto" w:before="11" w:after="0"/>
        <w:ind w:left="711" w:right="0" w:hanging="227"/>
        <w:jc w:val="left"/>
        <w:rPr>
          <w:sz w:val="16"/>
        </w:rPr>
      </w:pPr>
      <w:r>
        <w:rPr>
          <w:sz w:val="16"/>
        </w:rPr>
        <w:t>fornitori che</w:t>
      </w:r>
      <w:r>
        <w:rPr>
          <w:spacing w:val="-2"/>
          <w:sz w:val="16"/>
        </w:rPr>
        <w:t> </w:t>
      </w:r>
      <w:r>
        <w:rPr>
          <w:sz w:val="16"/>
        </w:rPr>
        <w:t>offrano delle</w:t>
      </w:r>
      <w:r>
        <w:rPr>
          <w:spacing w:val="1"/>
          <w:sz w:val="16"/>
        </w:rPr>
        <w:t> </w:t>
      </w:r>
      <w:r>
        <w:rPr>
          <w:sz w:val="16"/>
        </w:rPr>
        <w:t>soluzioni</w:t>
      </w:r>
      <w:r>
        <w:rPr>
          <w:spacing w:val="1"/>
          <w:sz w:val="16"/>
        </w:rPr>
        <w:t> </w:t>
      </w:r>
      <w:r>
        <w:rPr>
          <w:sz w:val="16"/>
        </w:rPr>
        <w:t>alternative</w:t>
      </w:r>
      <w:r>
        <w:rPr>
          <w:spacing w:val="1"/>
          <w:sz w:val="16"/>
        </w:rPr>
        <w:t> </w:t>
      </w:r>
      <w:r>
        <w:rPr>
          <w:sz w:val="16"/>
        </w:rPr>
        <w:t>ed</w:t>
      </w:r>
      <w:r>
        <w:rPr>
          <w:spacing w:val="-2"/>
          <w:sz w:val="16"/>
        </w:rPr>
        <w:t> </w:t>
      </w:r>
      <w:r>
        <w:rPr>
          <w:sz w:val="16"/>
        </w:rPr>
        <w:t>integrabili</w:t>
      </w:r>
      <w:r>
        <w:rPr>
          <w:spacing w:val="1"/>
          <w:sz w:val="16"/>
        </w:rPr>
        <w:t> </w:t>
      </w:r>
      <w:r>
        <w:rPr>
          <w:sz w:val="16"/>
        </w:rPr>
        <w:t>con</w:t>
      </w:r>
      <w:r>
        <w:rPr>
          <w:spacing w:val="1"/>
          <w:sz w:val="16"/>
        </w:rPr>
        <w:t> </w:t>
      </w:r>
      <w:r>
        <w:rPr>
          <w:sz w:val="16"/>
        </w:rPr>
        <w:t>le infrastrutture</w:t>
      </w:r>
      <w:r>
        <w:rPr>
          <w:spacing w:val="1"/>
          <w:sz w:val="16"/>
        </w:rPr>
        <w:t> </w:t>
      </w:r>
      <w:r>
        <w:rPr>
          <w:sz w:val="16"/>
        </w:rPr>
        <w:t>esistenti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un</w:t>
      </w:r>
      <w:r>
        <w:rPr>
          <w:spacing w:val="-2"/>
          <w:sz w:val="16"/>
        </w:rPr>
        <w:t> </w:t>
      </w:r>
      <w:r>
        <w:rPr>
          <w:sz w:val="16"/>
        </w:rPr>
        <w:t>dato</w:t>
      </w:r>
      <w:r>
        <w:rPr>
          <w:spacing w:val="-2"/>
          <w:sz w:val="16"/>
        </w:rPr>
        <w:t> momento;</w:t>
      </w:r>
    </w:p>
    <w:p>
      <w:pPr>
        <w:pStyle w:val="ListParagraph"/>
        <w:numPr>
          <w:ilvl w:val="1"/>
          <w:numId w:val="1"/>
        </w:numPr>
        <w:tabs>
          <w:tab w:pos="711" w:val="left" w:leader="none"/>
        </w:tabs>
        <w:spacing w:line="297" w:lineRule="auto" w:before="63" w:after="0"/>
        <w:ind w:left="369" w:right="384" w:firstLine="115"/>
        <w:jc w:val="left"/>
        <w:rPr>
          <w:sz w:val="16"/>
        </w:rPr>
      </w:pPr>
      <w:r>
        <w:rPr>
          <w:w w:val="105"/>
          <w:sz w:val="16"/>
        </w:rPr>
        <w:t>fornitori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che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offrano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-15"/>
          <w:w w:val="105"/>
          <w:sz w:val="16"/>
        </w:rPr>
        <w:t> </w:t>
      </w:r>
      <w:r>
        <w:rPr>
          <w:w w:val="105"/>
          <w:sz w:val="16"/>
        </w:rPr>
        <w:t>possibilità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avere</w:t>
      </w:r>
      <w:r>
        <w:rPr>
          <w:spacing w:val="-16"/>
          <w:w w:val="105"/>
          <w:sz w:val="16"/>
        </w:rPr>
        <w:t> </w:t>
      </w:r>
      <w:r>
        <w:rPr>
          <w:w w:val="105"/>
          <w:sz w:val="16"/>
        </w:rPr>
        <w:t>continuità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tecnologica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sfruttando</w:t>
      </w:r>
      <w:r>
        <w:rPr>
          <w:spacing w:val="-15"/>
          <w:w w:val="105"/>
          <w:sz w:val="16"/>
        </w:rPr>
        <w:t> </w:t>
      </w:r>
      <w:r>
        <w:rPr>
          <w:w w:val="105"/>
          <w:sz w:val="16"/>
        </w:rPr>
        <w:t>prodotti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“compatibili”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con</w:t>
      </w:r>
      <w:r>
        <w:rPr>
          <w:spacing w:val="-15"/>
          <w:w w:val="105"/>
          <w:sz w:val="16"/>
        </w:rPr>
        <w:t> </w:t>
      </w:r>
      <w:r>
        <w:rPr>
          <w:w w:val="105"/>
          <w:sz w:val="16"/>
        </w:rPr>
        <w:t>la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tecnologia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15"/>
          <w:w w:val="105"/>
          <w:sz w:val="16"/>
        </w:rPr>
        <w:t> </w:t>
      </w:r>
      <w:r>
        <w:rPr>
          <w:w w:val="105"/>
          <w:sz w:val="16"/>
        </w:rPr>
        <w:t>uso. </w:t>
      </w:r>
      <w:r>
        <w:rPr>
          <w:sz w:val="16"/>
        </w:rPr>
        <w:t>A titolo di esempio non può essere considerato un vincolo tecnologico il caso di fornitura di software per “upgrade”</w:t>
      </w:r>
      <w:r>
        <w:rPr>
          <w:spacing w:val="-1"/>
          <w:sz w:val="16"/>
        </w:rPr>
        <w:t> </w:t>
      </w:r>
      <w:r>
        <w:rPr>
          <w:sz w:val="16"/>
        </w:rPr>
        <w:t>di precedenti </w:t>
      </w:r>
      <w:r>
        <w:rPr>
          <w:w w:val="105"/>
          <w:sz w:val="16"/>
        </w:rPr>
        <w:t>rilasci,</w:t>
      </w:r>
      <w:r>
        <w:rPr>
          <w:spacing w:val="-16"/>
          <w:w w:val="105"/>
          <w:sz w:val="16"/>
        </w:rPr>
        <w:t> </w:t>
      </w:r>
      <w:r>
        <w:rPr>
          <w:w w:val="105"/>
          <w:sz w:val="16"/>
        </w:rPr>
        <w:t>qualora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siano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disponibili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sul</w:t>
      </w:r>
      <w:r>
        <w:rPr>
          <w:spacing w:val="-16"/>
          <w:w w:val="105"/>
          <w:sz w:val="16"/>
        </w:rPr>
        <w:t> </w:t>
      </w:r>
      <w:r>
        <w:rPr>
          <w:w w:val="105"/>
          <w:sz w:val="16"/>
        </w:rPr>
        <w:t>mercato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anche</w:t>
      </w:r>
      <w:r>
        <w:rPr>
          <w:spacing w:val="-15"/>
          <w:w w:val="105"/>
          <w:sz w:val="16"/>
        </w:rPr>
        <w:t> </w:t>
      </w:r>
      <w:r>
        <w:rPr>
          <w:w w:val="105"/>
          <w:sz w:val="16"/>
        </w:rPr>
        <w:t>prodotti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software</w:t>
      </w:r>
      <w:r>
        <w:rPr>
          <w:spacing w:val="-15"/>
          <w:w w:val="105"/>
          <w:sz w:val="16"/>
        </w:rPr>
        <w:t> </w:t>
      </w:r>
      <w:r>
        <w:rPr>
          <w:w w:val="105"/>
          <w:sz w:val="16"/>
        </w:rPr>
        <w:t>equivalenti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compatibili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sulla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stessa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piattaforma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hardware, </w:t>
      </w:r>
      <w:bookmarkStart w:name="_bookmark1" w:id="2"/>
      <w:bookmarkEnd w:id="2"/>
      <w:r>
        <w:rPr>
          <w:w w:val="105"/>
          <w:sz w:val="16"/>
        </w:rPr>
        <w:t>ovv</w:t>
      </w:r>
      <w:r>
        <w:rPr>
          <w:w w:val="105"/>
          <w:sz w:val="16"/>
        </w:rPr>
        <w:t>ero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risultino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più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economici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interventi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di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sostituzione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dell’intera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piattaforma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hardware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/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software.</w:t>
      </w:r>
    </w:p>
    <w:p>
      <w:pPr>
        <w:spacing w:line="297" w:lineRule="auto" w:before="2"/>
        <w:ind w:left="369" w:right="174" w:hanging="228"/>
        <w:jc w:val="left"/>
        <w:rPr>
          <w:sz w:val="16"/>
        </w:rPr>
      </w:pPr>
      <w:r>
        <w:rPr>
          <w:spacing w:val="-2"/>
          <w:w w:val="105"/>
          <w:position w:val="5"/>
          <w:sz w:val="10"/>
        </w:rPr>
        <w:t>2</w:t>
      </w:r>
      <w:r>
        <w:rPr>
          <w:spacing w:val="60"/>
          <w:w w:val="105"/>
          <w:position w:val="5"/>
          <w:sz w:val="10"/>
        </w:rPr>
        <w:t>  </w:t>
      </w:r>
      <w:r>
        <w:rPr>
          <w:spacing w:val="-2"/>
          <w:w w:val="105"/>
          <w:sz w:val="16"/>
        </w:rPr>
        <w:t>La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casistica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è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estesa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anche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ad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eventuali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fornitori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non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partecipanti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alla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competizione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cui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si</w:t>
      </w:r>
      <w:r>
        <w:rPr>
          <w:spacing w:val="-8"/>
          <w:w w:val="105"/>
          <w:sz w:val="16"/>
        </w:rPr>
        <w:t> </w:t>
      </w:r>
      <w:r>
        <w:rPr>
          <w:spacing w:val="-2"/>
          <w:w w:val="105"/>
          <w:sz w:val="16"/>
        </w:rPr>
        <w:t>riferiscono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le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condizioni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ed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i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prezzi </w:t>
      </w:r>
      <w:bookmarkStart w:name="_bookmark2" w:id="3"/>
      <w:bookmarkEnd w:id="3"/>
      <w:r>
        <w:rPr>
          <w:w w:val="105"/>
          <w:sz w:val="16"/>
        </w:rPr>
        <w:t>a</w:t>
      </w:r>
      <w:r>
        <w:rPr>
          <w:w w:val="105"/>
          <w:sz w:val="16"/>
        </w:rPr>
        <w:t>pplicati alla specifica trattativa diretta</w:t>
      </w:r>
    </w:p>
    <w:p>
      <w:pPr>
        <w:spacing w:line="297" w:lineRule="auto" w:before="1"/>
        <w:ind w:left="369" w:right="174" w:hanging="228"/>
        <w:jc w:val="left"/>
        <w:rPr>
          <w:sz w:val="16"/>
        </w:rPr>
      </w:pPr>
      <w:r>
        <w:rPr>
          <w:spacing w:val="-2"/>
          <w:w w:val="105"/>
          <w:position w:val="5"/>
          <w:sz w:val="10"/>
        </w:rPr>
        <w:t>3</w:t>
      </w:r>
      <w:r>
        <w:rPr>
          <w:spacing w:val="59"/>
          <w:w w:val="105"/>
          <w:position w:val="5"/>
          <w:sz w:val="10"/>
        </w:rPr>
        <w:t>  </w:t>
      </w:r>
      <w:r>
        <w:rPr>
          <w:spacing w:val="-2"/>
          <w:w w:val="105"/>
          <w:sz w:val="16"/>
        </w:rPr>
        <w:t>Non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sono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classificabili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come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clienti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privati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tutti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quei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soggetti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operanti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come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gestori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o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concessionari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di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pubblico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servizio</w:t>
      </w:r>
      <w:r>
        <w:rPr>
          <w:spacing w:val="-13"/>
          <w:w w:val="105"/>
          <w:sz w:val="16"/>
        </w:rPr>
        <w:t> </w:t>
      </w:r>
      <w:r>
        <w:rPr>
          <w:spacing w:val="-2"/>
          <w:w w:val="105"/>
          <w:sz w:val="16"/>
        </w:rPr>
        <w:t>o</w:t>
      </w:r>
      <w:r>
        <w:rPr>
          <w:spacing w:val="-11"/>
          <w:w w:val="105"/>
          <w:sz w:val="16"/>
        </w:rPr>
        <w:t> </w:t>
      </w:r>
      <w:r>
        <w:rPr>
          <w:spacing w:val="-2"/>
          <w:w w:val="105"/>
          <w:sz w:val="16"/>
        </w:rPr>
        <w:t>società </w:t>
      </w:r>
      <w:r>
        <w:rPr>
          <w:w w:val="105"/>
          <w:sz w:val="16"/>
        </w:rPr>
        <w:t>miste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pubblico/privato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che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pertanto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rientrano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nel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quadro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della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Pubblica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Amministrazione.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81"/>
        <w:ind w:left="0" w:firstLine="0"/>
        <w:jc w:val="left"/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4813"/>
        <w:gridCol w:w="2408"/>
      </w:tblGrid>
      <w:tr>
        <w:trPr>
          <w:trHeight w:val="505" w:hRule="atLeast"/>
        </w:trPr>
        <w:tc>
          <w:tcPr>
            <w:tcW w:w="240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813" w:type="dxa"/>
          </w:tcPr>
          <w:p>
            <w:pPr>
              <w:pStyle w:val="TableParagraph"/>
              <w:spacing w:before="44"/>
              <w:ind w:left="2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TIM</w:t>
            </w:r>
            <w:r>
              <w:rPr>
                <w:rFonts w:ascii="Arial"/>
                <w:b/>
                <w:spacing w:val="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S.p.A.</w:t>
            </w:r>
          </w:p>
          <w:p>
            <w:pPr>
              <w:pStyle w:val="TableParagraph"/>
              <w:spacing w:line="189" w:lineRule="exact" w:before="45"/>
              <w:ind w:left="20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USO</w:t>
            </w:r>
            <w:r>
              <w:rPr>
                <w:rFonts w:ascii="Arial"/>
                <w:b/>
                <w:i/>
                <w:spacing w:val="-3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INTERNO</w:t>
            </w:r>
            <w:r>
              <w:rPr>
                <w:rFonts w:ascii="Arial"/>
                <w:b/>
                <w:i/>
                <w:spacing w:val="-1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-</w:t>
            </w:r>
            <w:r>
              <w:rPr>
                <w:rFonts w:ascii="Arial"/>
                <w:b/>
                <w:i/>
                <w:spacing w:val="-1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Tutti</w:t>
            </w:r>
            <w:r>
              <w:rPr>
                <w:rFonts w:ascii="Arial"/>
                <w:b/>
                <w:i/>
                <w:spacing w:val="-1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i</w:t>
            </w:r>
            <w:r>
              <w:rPr>
                <w:rFonts w:ascii="Arial"/>
                <w:b/>
                <w:i/>
                <w:spacing w:val="-1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diritti</w:t>
            </w:r>
            <w:r>
              <w:rPr>
                <w:rFonts w:ascii="Arial"/>
                <w:b/>
                <w:i/>
                <w:spacing w:val="-2"/>
                <w:sz w:val="18"/>
              </w:rPr>
              <w:t> riservati</w:t>
            </w:r>
          </w:p>
        </w:tc>
        <w:tc>
          <w:tcPr>
            <w:tcW w:w="2408" w:type="dxa"/>
          </w:tcPr>
          <w:p>
            <w:pPr>
              <w:pStyle w:val="TableParagraph"/>
              <w:spacing w:before="44"/>
              <w:ind w:left="67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Pagina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1 di </w:t>
            </w:r>
            <w:r>
              <w:rPr>
                <w:rFonts w:ascii="Arial"/>
                <w:i/>
                <w:spacing w:val="-10"/>
                <w:sz w:val="18"/>
              </w:rPr>
              <w:t>1</w:t>
            </w:r>
          </w:p>
        </w:tc>
      </w:tr>
    </w:tbl>
    <w:sectPr>
      <w:type w:val="continuous"/>
      <w:pgSz w:w="11910" w:h="16840"/>
      <w:pgMar w:top="5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4" w:hanging="284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3"/>
        <w:sz w:val="20"/>
        <w:szCs w:val="20"/>
        <w:lang w:val="it-IT" w:eastAsia="en-US" w:bidi="ar-SA"/>
      </w:rPr>
    </w:lvl>
    <w:lvl w:ilvl="1">
      <w:start w:val="0"/>
      <w:numFmt w:val="bullet"/>
      <w:lvlText w:val=""/>
      <w:lvlJc w:val="left"/>
      <w:pPr>
        <w:ind w:left="369" w:hanging="22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475" w:hanging="22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1" w:hanging="22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587" w:hanging="22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643" w:hanging="22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699" w:hanging="22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754" w:hanging="22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810" w:hanging="228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it-IT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424" w:hanging="284"/>
      <w:jc w:val="both"/>
    </w:pPr>
    <w:rPr>
      <w:rFonts w:ascii="Tahoma" w:hAnsi="Tahoma" w:eastAsia="Tahoma" w:cs="Tahoma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243"/>
      <w:ind w:left="141"/>
      <w:jc w:val="both"/>
      <w:outlineLvl w:val="1"/>
    </w:pPr>
    <w:rPr>
      <w:rFonts w:ascii="Tahoma" w:hAnsi="Tahoma" w:eastAsia="Tahoma" w:cs="Tahoma"/>
      <w:b/>
      <w:bCs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424" w:right="142" w:hanging="284"/>
      <w:jc w:val="both"/>
    </w:pPr>
    <w:rPr>
      <w:rFonts w:ascii="Tahoma" w:hAnsi="Tahoma" w:eastAsia="Tahoma" w:cs="Tahoma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2"/>
    </w:pPr>
    <w:rPr>
      <w:rFonts w:ascii="Verdana" w:hAnsi="Verdana" w:eastAsia="Verdana" w:cs="Verdana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Jacovacci Nicoletta</dc:creator>
  <dcterms:created xsi:type="dcterms:W3CDTF">2026-09-21T07:44:45Z</dcterms:created>
  <dcterms:modified xsi:type="dcterms:W3CDTF">2026-09-21T07:44:45Z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2025-11-10T00:00:00Z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2026-09-21T00:00:00Z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