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ind w:left="0" w:firstLine="0"/>
        <w:jc w:val="left"/>
        <w:rPr>
          <w:rFonts w:ascii="Times New Roman"/>
          <w:sz w:val="2"/>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69"/>
        <w:gridCol w:w="2084"/>
        <w:gridCol w:w="1923"/>
        <w:gridCol w:w="1926"/>
        <w:gridCol w:w="1926"/>
      </w:tblGrid>
      <w:tr>
        <w:trPr>
          <w:trHeight w:val="841" w:hRule="atLeast"/>
        </w:trPr>
        <w:tc>
          <w:tcPr>
            <w:tcW w:w="3853" w:type="dxa"/>
            <w:gridSpan w:val="2"/>
          </w:tcPr>
          <w:p>
            <w:pPr>
              <w:pStyle w:val="TableParagraph"/>
              <w:spacing w:before="11"/>
              <w:rPr>
                <w:rFonts w:ascii="Times New Roman"/>
                <w:sz w:val="3"/>
              </w:rPr>
            </w:pPr>
          </w:p>
          <w:p>
            <w:pPr>
              <w:pStyle w:val="TableParagraph"/>
              <w:spacing w:before="0"/>
              <w:ind w:left="531"/>
              <w:rPr>
                <w:rFonts w:ascii="Times New Roman"/>
                <w:sz w:val="20"/>
              </w:rPr>
            </w:pPr>
            <w:r>
              <w:rPr>
                <w:rFonts w:ascii="Times New Roman"/>
                <w:sz w:val="20"/>
              </w:rPr>
              <w:drawing>
                <wp:inline distT="0" distB="0" distL="0" distR="0">
                  <wp:extent cx="1754311" cy="46634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54311" cy="466344"/>
                          </a:xfrm>
                          <a:prstGeom prst="rect">
                            <a:avLst/>
                          </a:prstGeom>
                        </pic:spPr>
                      </pic:pic>
                    </a:graphicData>
                  </a:graphic>
                </wp:inline>
              </w:drawing>
            </w:r>
            <w:r>
              <w:rPr>
                <w:rFonts w:ascii="Times New Roman"/>
                <w:sz w:val="20"/>
              </w:rPr>
            </w:r>
          </w:p>
        </w:tc>
        <w:tc>
          <w:tcPr>
            <w:tcW w:w="5775" w:type="dxa"/>
            <w:gridSpan w:val="3"/>
          </w:tcPr>
          <w:p>
            <w:pPr>
              <w:pStyle w:val="TableParagraph"/>
              <w:spacing w:before="96"/>
              <w:rPr>
                <w:rFonts w:ascii="Times New Roman"/>
                <w:sz w:val="18"/>
              </w:rPr>
            </w:pPr>
          </w:p>
          <w:p>
            <w:pPr>
              <w:pStyle w:val="TableParagraph"/>
              <w:spacing w:before="0"/>
              <w:ind w:left="1228"/>
              <w:rPr>
                <w:i/>
                <w:sz w:val="18"/>
              </w:rPr>
            </w:pPr>
            <w:r>
              <w:rPr>
                <w:i/>
                <w:w w:val="85"/>
                <w:sz w:val="18"/>
              </w:rPr>
              <w:t>Tipo</w:t>
            </w:r>
            <w:r>
              <w:rPr>
                <w:i/>
                <w:spacing w:val="7"/>
                <w:sz w:val="18"/>
              </w:rPr>
              <w:t> </w:t>
            </w:r>
            <w:r>
              <w:rPr>
                <w:i/>
                <w:w w:val="85"/>
                <w:sz w:val="18"/>
              </w:rPr>
              <w:t>documento:</w:t>
            </w:r>
            <w:r>
              <w:rPr>
                <w:i/>
                <w:spacing w:val="6"/>
                <w:sz w:val="18"/>
              </w:rPr>
              <w:t> </w:t>
            </w:r>
            <w:r>
              <w:rPr>
                <w:i/>
                <w:w w:val="85"/>
                <w:sz w:val="18"/>
              </w:rPr>
              <w:t>Procedura</w:t>
            </w:r>
            <w:r>
              <w:rPr>
                <w:i/>
                <w:spacing w:val="6"/>
                <w:sz w:val="18"/>
              </w:rPr>
              <w:t> </w:t>
            </w:r>
            <w:r>
              <w:rPr>
                <w:i/>
                <w:spacing w:val="-2"/>
                <w:w w:val="85"/>
                <w:sz w:val="18"/>
              </w:rPr>
              <w:t>organizzativa</w:t>
            </w:r>
          </w:p>
        </w:tc>
      </w:tr>
      <w:tr>
        <w:trPr>
          <w:trHeight w:val="308" w:hRule="atLeast"/>
        </w:trPr>
        <w:tc>
          <w:tcPr>
            <w:tcW w:w="9628" w:type="dxa"/>
            <w:gridSpan w:val="5"/>
          </w:tcPr>
          <w:p>
            <w:pPr>
              <w:pStyle w:val="TableParagraph"/>
              <w:spacing w:before="37"/>
              <w:ind w:left="11"/>
              <w:jc w:val="center"/>
              <w:rPr>
                <w:i/>
                <w:sz w:val="18"/>
              </w:rPr>
            </w:pPr>
            <w:r>
              <w:rPr>
                <w:i/>
                <w:w w:val="85"/>
                <w:sz w:val="18"/>
              </w:rPr>
              <w:t>Titolo</w:t>
            </w:r>
            <w:r>
              <w:rPr>
                <w:i/>
                <w:spacing w:val="14"/>
                <w:sz w:val="18"/>
              </w:rPr>
              <w:t> </w:t>
            </w:r>
            <w:r>
              <w:rPr>
                <w:i/>
                <w:w w:val="85"/>
                <w:sz w:val="18"/>
              </w:rPr>
              <w:t>documento:</w:t>
            </w:r>
            <w:r>
              <w:rPr>
                <w:i/>
                <w:spacing w:val="13"/>
                <w:sz w:val="18"/>
              </w:rPr>
              <w:t> </w:t>
            </w:r>
            <w:r>
              <w:rPr>
                <w:i/>
                <w:w w:val="85"/>
                <w:sz w:val="18"/>
              </w:rPr>
              <w:t>Attuazione</w:t>
            </w:r>
            <w:r>
              <w:rPr>
                <w:i/>
                <w:spacing w:val="7"/>
                <w:sz w:val="18"/>
              </w:rPr>
              <w:t> </w:t>
            </w:r>
            <w:r>
              <w:rPr>
                <w:i/>
                <w:w w:val="85"/>
                <w:sz w:val="18"/>
              </w:rPr>
              <w:t>del</w:t>
            </w:r>
            <w:r>
              <w:rPr>
                <w:i/>
                <w:spacing w:val="13"/>
                <w:sz w:val="18"/>
              </w:rPr>
              <w:t> </w:t>
            </w:r>
            <w:r>
              <w:rPr>
                <w:i/>
                <w:w w:val="85"/>
                <w:sz w:val="18"/>
              </w:rPr>
              <w:t>Processo</w:t>
            </w:r>
            <w:r>
              <w:rPr>
                <w:i/>
                <w:spacing w:val="14"/>
                <w:sz w:val="18"/>
              </w:rPr>
              <w:t> </w:t>
            </w:r>
            <w:r>
              <w:rPr>
                <w:i/>
                <w:spacing w:val="-2"/>
                <w:w w:val="85"/>
                <w:sz w:val="18"/>
              </w:rPr>
              <w:t>d’Acquisto</w:t>
            </w:r>
          </w:p>
        </w:tc>
      </w:tr>
      <w:tr>
        <w:trPr>
          <w:trHeight w:val="801" w:hRule="atLeast"/>
        </w:trPr>
        <w:tc>
          <w:tcPr>
            <w:tcW w:w="1769" w:type="dxa"/>
          </w:tcPr>
          <w:p>
            <w:pPr>
              <w:pStyle w:val="TableParagraph"/>
              <w:spacing w:line="266" w:lineRule="auto" w:before="40"/>
              <w:ind w:left="321" w:right="302" w:firstLine="2"/>
              <w:jc w:val="center"/>
              <w:rPr>
                <w:i/>
                <w:sz w:val="18"/>
              </w:rPr>
            </w:pPr>
            <w:r>
              <w:rPr>
                <w:i/>
                <w:w w:val="95"/>
                <w:sz w:val="18"/>
              </w:rPr>
              <w:t>Emesso</w:t>
            </w:r>
            <w:r>
              <w:rPr>
                <w:i/>
                <w:spacing w:val="-12"/>
                <w:w w:val="95"/>
                <w:sz w:val="18"/>
              </w:rPr>
              <w:t> </w:t>
            </w:r>
            <w:r>
              <w:rPr>
                <w:i/>
                <w:w w:val="95"/>
                <w:sz w:val="18"/>
              </w:rPr>
              <w:t>da: </w:t>
            </w:r>
            <w:r>
              <w:rPr>
                <w:i/>
                <w:w w:val="90"/>
                <w:sz w:val="18"/>
              </w:rPr>
              <w:t>Fabio</w:t>
            </w:r>
            <w:r>
              <w:rPr>
                <w:i/>
                <w:spacing w:val="-13"/>
                <w:w w:val="90"/>
                <w:sz w:val="18"/>
              </w:rPr>
              <w:t> </w:t>
            </w:r>
            <w:r>
              <w:rPr>
                <w:i/>
                <w:w w:val="90"/>
                <w:sz w:val="18"/>
              </w:rPr>
              <w:t>Orlando </w:t>
            </w:r>
            <w:r>
              <w:rPr>
                <w:i/>
                <w:spacing w:val="-2"/>
                <w:w w:val="95"/>
                <w:sz w:val="18"/>
              </w:rPr>
              <w:t>(PR.G.VQP)</w:t>
            </w:r>
          </w:p>
        </w:tc>
        <w:tc>
          <w:tcPr>
            <w:tcW w:w="2084" w:type="dxa"/>
          </w:tcPr>
          <w:p>
            <w:pPr>
              <w:pStyle w:val="TableParagraph"/>
              <w:spacing w:line="242" w:lineRule="auto"/>
              <w:ind w:left="313" w:right="295" w:firstLine="540"/>
              <w:rPr>
                <w:i/>
                <w:sz w:val="18"/>
              </w:rPr>
            </w:pPr>
            <w:r>
              <w:rPr>
                <w:i/>
                <w:spacing w:val="-4"/>
                <w:sz w:val="18"/>
              </w:rPr>
              <w:t>PR.G </w:t>
            </w:r>
            <w:r>
              <w:rPr>
                <w:i/>
                <w:spacing w:val="-10"/>
                <w:sz w:val="18"/>
              </w:rPr>
              <w:t>PAOLO</w:t>
            </w:r>
            <w:r>
              <w:rPr>
                <w:i/>
                <w:spacing w:val="-19"/>
                <w:sz w:val="18"/>
              </w:rPr>
              <w:t> </w:t>
            </w:r>
            <w:r>
              <w:rPr>
                <w:i/>
                <w:spacing w:val="-10"/>
                <w:sz w:val="18"/>
              </w:rPr>
              <w:t>NAZZARO</w:t>
            </w:r>
          </w:p>
        </w:tc>
        <w:tc>
          <w:tcPr>
            <w:tcW w:w="1923" w:type="dxa"/>
          </w:tcPr>
          <w:p>
            <w:pPr>
              <w:pStyle w:val="TableParagraph"/>
              <w:spacing w:line="292" w:lineRule="auto"/>
              <w:ind w:left="486" w:right="198" w:hanging="274"/>
              <w:rPr>
                <w:i/>
                <w:sz w:val="18"/>
              </w:rPr>
            </w:pPr>
            <w:r>
              <w:rPr>
                <w:i/>
                <w:w w:val="90"/>
                <w:sz w:val="18"/>
              </w:rPr>
              <w:t>Codice</w:t>
            </w:r>
            <w:r>
              <w:rPr>
                <w:i/>
                <w:spacing w:val="-14"/>
                <w:w w:val="90"/>
                <w:sz w:val="18"/>
              </w:rPr>
              <w:t> </w:t>
            </w:r>
            <w:r>
              <w:rPr>
                <w:i/>
                <w:w w:val="90"/>
                <w:sz w:val="18"/>
              </w:rPr>
              <w:t>documento </w:t>
            </w:r>
            <w:r>
              <w:rPr>
                <w:i/>
                <w:spacing w:val="-2"/>
                <w:sz w:val="18"/>
              </w:rPr>
              <w:t>2019-00042</w:t>
            </w:r>
          </w:p>
        </w:tc>
        <w:tc>
          <w:tcPr>
            <w:tcW w:w="1926" w:type="dxa"/>
          </w:tcPr>
          <w:p>
            <w:pPr>
              <w:pStyle w:val="TableParagraph"/>
              <w:spacing w:line="292" w:lineRule="auto"/>
              <w:ind w:left="916" w:right="595" w:hanging="303"/>
              <w:rPr>
                <w:i/>
                <w:sz w:val="18"/>
              </w:rPr>
            </w:pPr>
            <w:r>
              <w:rPr>
                <w:i/>
                <w:spacing w:val="-2"/>
                <w:w w:val="90"/>
                <w:sz w:val="18"/>
              </w:rPr>
              <w:t>Versione </w:t>
            </w:r>
            <w:r>
              <w:rPr>
                <w:i/>
                <w:spacing w:val="-10"/>
                <w:w w:val="95"/>
                <w:sz w:val="18"/>
              </w:rPr>
              <w:t>3</w:t>
            </w:r>
          </w:p>
        </w:tc>
        <w:tc>
          <w:tcPr>
            <w:tcW w:w="1926" w:type="dxa"/>
          </w:tcPr>
          <w:p>
            <w:pPr>
              <w:pStyle w:val="TableParagraph"/>
              <w:ind w:left="9"/>
              <w:jc w:val="center"/>
              <w:rPr>
                <w:i/>
                <w:sz w:val="18"/>
              </w:rPr>
            </w:pPr>
            <w:r>
              <w:rPr>
                <w:i/>
                <w:w w:val="90"/>
                <w:sz w:val="18"/>
              </w:rPr>
              <w:t>Data</w:t>
            </w:r>
            <w:r>
              <w:rPr>
                <w:i/>
                <w:spacing w:val="-6"/>
                <w:w w:val="90"/>
                <w:sz w:val="18"/>
              </w:rPr>
              <w:t> </w:t>
            </w:r>
            <w:r>
              <w:rPr>
                <w:i/>
                <w:spacing w:val="-2"/>
                <w:sz w:val="18"/>
              </w:rPr>
              <w:t>pubblicazione</w:t>
            </w:r>
          </w:p>
          <w:p>
            <w:pPr>
              <w:pStyle w:val="TableParagraph"/>
              <w:spacing w:before="48"/>
              <w:ind w:left="9"/>
              <w:jc w:val="center"/>
              <w:rPr>
                <w:rFonts w:ascii="Tahoma"/>
                <w:sz w:val="18"/>
              </w:rPr>
            </w:pPr>
            <w:r>
              <w:rPr>
                <w:rFonts w:ascii="Tahoma"/>
                <w:spacing w:val="-2"/>
                <w:sz w:val="18"/>
              </w:rPr>
              <w:t>10/11/2025</w:t>
            </w:r>
          </w:p>
        </w:tc>
      </w:tr>
    </w:tbl>
    <w:p>
      <w:pPr>
        <w:pStyle w:val="Heading1"/>
      </w:pPr>
      <w:r>
        <w:rPr>
          <w:w w:val="90"/>
        </w:rPr>
        <w:t>ALLEGATO</w:t>
      </w:r>
      <w:r>
        <w:rPr>
          <w:spacing w:val="2"/>
        </w:rPr>
        <w:t> </w:t>
      </w:r>
      <w:r>
        <w:rPr>
          <w:w w:val="90"/>
        </w:rPr>
        <w:t>2</w:t>
      </w:r>
      <w:r>
        <w:rPr>
          <w:spacing w:val="1"/>
        </w:rPr>
        <w:t> </w:t>
      </w:r>
      <w:r>
        <w:rPr>
          <w:w w:val="90"/>
        </w:rPr>
        <w:t>-</w:t>
      </w:r>
      <w:r>
        <w:rPr>
          <w:spacing w:val="1"/>
        </w:rPr>
        <w:t> </w:t>
      </w:r>
      <w:r>
        <w:rPr>
          <w:w w:val="90"/>
        </w:rPr>
        <w:t>CASISTICHE</w:t>
      </w:r>
      <w:r>
        <w:rPr/>
        <w:t> </w:t>
      </w:r>
      <w:r>
        <w:rPr>
          <w:w w:val="90"/>
        </w:rPr>
        <w:t>DI</w:t>
      </w:r>
      <w:r>
        <w:rPr/>
        <w:t> </w:t>
      </w:r>
      <w:r>
        <w:rPr>
          <w:w w:val="90"/>
        </w:rPr>
        <w:t>ACQUISTI</w:t>
      </w:r>
      <w:r>
        <w:rPr>
          <w:spacing w:val="2"/>
        </w:rPr>
        <w:t> </w:t>
      </w:r>
      <w:r>
        <w:rPr>
          <w:spacing w:val="-2"/>
          <w:w w:val="90"/>
        </w:rPr>
        <w:t>“SPECIALI”</w:t>
      </w:r>
    </w:p>
    <w:p>
      <w:pPr>
        <w:pStyle w:val="BodyText"/>
        <w:spacing w:line="280" w:lineRule="auto" w:before="186"/>
        <w:ind w:left="141" w:right="335" w:firstLine="0"/>
      </w:pPr>
      <w:r>
        <w:rPr/>
        <w:t>Gli Acquisti Speciali non necessitano di richiesta di autorizzazione preventiva pur non essendo effettuati in competizione, in quanto già selezionati ed autorizzati dal Responsabile PR e sono effettuati verso un unico </w:t>
      </w:r>
      <w:r>
        <w:rPr>
          <w:spacing w:val="-2"/>
        </w:rPr>
        <w:t>fornitore.</w:t>
      </w:r>
    </w:p>
    <w:p>
      <w:pPr>
        <w:pStyle w:val="BodyText"/>
        <w:ind w:left="141" w:firstLine="0"/>
      </w:pPr>
      <w:r>
        <w:rPr/>
        <w:t>Per</w:t>
      </w:r>
      <w:r>
        <w:rPr>
          <w:spacing w:val="-8"/>
        </w:rPr>
        <w:t> </w:t>
      </w:r>
      <w:r>
        <w:rPr/>
        <w:t>il</w:t>
      </w:r>
      <w:r>
        <w:rPr>
          <w:spacing w:val="-9"/>
        </w:rPr>
        <w:t> </w:t>
      </w:r>
      <w:r>
        <w:rPr/>
        <w:t>resto</w:t>
      </w:r>
      <w:r>
        <w:rPr>
          <w:spacing w:val="-9"/>
        </w:rPr>
        <w:t> </w:t>
      </w:r>
      <w:r>
        <w:rPr/>
        <w:t>si</w:t>
      </w:r>
      <w:r>
        <w:rPr>
          <w:spacing w:val="-9"/>
        </w:rPr>
        <w:t> </w:t>
      </w:r>
      <w:r>
        <w:rPr/>
        <w:t>applica</w:t>
      </w:r>
      <w:r>
        <w:rPr>
          <w:spacing w:val="-6"/>
        </w:rPr>
        <w:t> </w:t>
      </w:r>
      <w:r>
        <w:rPr/>
        <w:t>il</w:t>
      </w:r>
      <w:r>
        <w:rPr>
          <w:spacing w:val="-9"/>
        </w:rPr>
        <w:t> </w:t>
      </w:r>
      <w:r>
        <w:rPr/>
        <w:t>processo</w:t>
      </w:r>
      <w:r>
        <w:rPr>
          <w:spacing w:val="-9"/>
        </w:rPr>
        <w:t> </w:t>
      </w:r>
      <w:r>
        <w:rPr>
          <w:spacing w:val="-2"/>
        </w:rPr>
        <w:t>standard.</w:t>
      </w:r>
    </w:p>
    <w:p>
      <w:pPr>
        <w:pStyle w:val="ListParagraph"/>
        <w:numPr>
          <w:ilvl w:val="0"/>
          <w:numId w:val="1"/>
        </w:numPr>
        <w:tabs>
          <w:tab w:pos="780" w:val="left" w:leader="none"/>
          <w:tab w:pos="782" w:val="left" w:leader="none"/>
        </w:tabs>
        <w:spacing w:line="280" w:lineRule="auto" w:before="102" w:after="0"/>
        <w:ind w:left="782" w:right="141" w:hanging="358"/>
        <w:jc w:val="both"/>
        <w:rPr>
          <w:sz w:val="20"/>
        </w:rPr>
      </w:pPr>
      <w:r>
        <w:rPr>
          <w:w w:val="105"/>
          <w:sz w:val="20"/>
        </w:rPr>
        <w:t>prodotti e servizi rientranti nelle scelte tecnologiche o di business di Gruppo, valutate in ottica di beneficio</w:t>
      </w:r>
      <w:r>
        <w:rPr>
          <w:w w:val="105"/>
          <w:sz w:val="20"/>
        </w:rPr>
        <w:t> generale,</w:t>
      </w:r>
      <w:r>
        <w:rPr>
          <w:w w:val="105"/>
          <w:sz w:val="20"/>
        </w:rPr>
        <w:t> commercializzate</w:t>
      </w:r>
      <w:r>
        <w:rPr>
          <w:w w:val="105"/>
          <w:sz w:val="20"/>
        </w:rPr>
        <w:t> da</w:t>
      </w:r>
      <w:r>
        <w:rPr>
          <w:w w:val="105"/>
          <w:sz w:val="20"/>
        </w:rPr>
        <w:t> un</w:t>
      </w:r>
      <w:r>
        <w:rPr>
          <w:w w:val="105"/>
          <w:sz w:val="20"/>
        </w:rPr>
        <w:t> unico</w:t>
      </w:r>
      <w:r>
        <w:rPr>
          <w:w w:val="105"/>
          <w:sz w:val="20"/>
        </w:rPr>
        <w:t> fornitore</w:t>
      </w:r>
      <w:r>
        <w:rPr>
          <w:w w:val="105"/>
          <w:sz w:val="20"/>
        </w:rPr>
        <w:t> (a</w:t>
      </w:r>
      <w:r>
        <w:rPr>
          <w:w w:val="105"/>
          <w:sz w:val="20"/>
        </w:rPr>
        <w:t> titolo</w:t>
      </w:r>
      <w:r>
        <w:rPr>
          <w:w w:val="105"/>
          <w:sz w:val="20"/>
        </w:rPr>
        <w:t> esemplificativo,</w:t>
      </w:r>
      <w:r>
        <w:rPr>
          <w:w w:val="105"/>
          <w:sz w:val="20"/>
        </w:rPr>
        <w:t> acquisti</w:t>
      </w:r>
      <w:r>
        <w:rPr>
          <w:w w:val="105"/>
          <w:sz w:val="20"/>
        </w:rPr>
        <w:t> da: proprietario</w:t>
      </w:r>
      <w:r>
        <w:rPr>
          <w:spacing w:val="-6"/>
          <w:w w:val="105"/>
          <w:sz w:val="20"/>
        </w:rPr>
        <w:t> </w:t>
      </w:r>
      <w:r>
        <w:rPr>
          <w:w w:val="105"/>
          <w:sz w:val="20"/>
        </w:rPr>
        <w:t>del</w:t>
      </w:r>
      <w:r>
        <w:rPr>
          <w:spacing w:val="-7"/>
          <w:w w:val="105"/>
          <w:sz w:val="20"/>
        </w:rPr>
        <w:t> </w:t>
      </w:r>
      <w:r>
        <w:rPr>
          <w:w w:val="105"/>
          <w:sz w:val="20"/>
        </w:rPr>
        <w:t>software,</w:t>
      </w:r>
      <w:r>
        <w:rPr>
          <w:spacing w:val="-5"/>
          <w:w w:val="105"/>
          <w:sz w:val="20"/>
        </w:rPr>
        <w:t> </w:t>
      </w:r>
      <w:r>
        <w:rPr>
          <w:w w:val="105"/>
          <w:sz w:val="20"/>
        </w:rPr>
        <w:t>agenzie</w:t>
      </w:r>
      <w:r>
        <w:rPr>
          <w:spacing w:val="-7"/>
          <w:w w:val="105"/>
          <w:sz w:val="20"/>
        </w:rPr>
        <w:t> </w:t>
      </w:r>
      <w:r>
        <w:rPr>
          <w:w w:val="105"/>
          <w:sz w:val="20"/>
        </w:rPr>
        <w:t>di</w:t>
      </w:r>
      <w:r>
        <w:rPr>
          <w:spacing w:val="-7"/>
          <w:w w:val="105"/>
          <w:sz w:val="20"/>
        </w:rPr>
        <w:t> </w:t>
      </w:r>
      <w:r>
        <w:rPr>
          <w:w w:val="105"/>
          <w:sz w:val="20"/>
        </w:rPr>
        <w:t>stampa,</w:t>
      </w:r>
      <w:r>
        <w:rPr>
          <w:spacing w:val="-5"/>
          <w:w w:val="105"/>
          <w:sz w:val="20"/>
        </w:rPr>
        <w:t> </w:t>
      </w:r>
      <w:r>
        <w:rPr>
          <w:w w:val="105"/>
          <w:sz w:val="20"/>
        </w:rPr>
        <w:t>licenziatario</w:t>
      </w:r>
      <w:r>
        <w:rPr>
          <w:spacing w:val="-7"/>
          <w:w w:val="105"/>
          <w:sz w:val="20"/>
        </w:rPr>
        <w:t> </w:t>
      </w:r>
      <w:r>
        <w:rPr>
          <w:w w:val="105"/>
          <w:sz w:val="20"/>
        </w:rPr>
        <w:t>esclusivo</w:t>
      </w:r>
      <w:r>
        <w:rPr>
          <w:spacing w:val="-7"/>
          <w:w w:val="105"/>
          <w:sz w:val="20"/>
        </w:rPr>
        <w:t> </w:t>
      </w:r>
      <w:r>
        <w:rPr>
          <w:w w:val="105"/>
          <w:sz w:val="20"/>
        </w:rPr>
        <w:t>di</w:t>
      </w:r>
      <w:r>
        <w:rPr>
          <w:spacing w:val="-7"/>
          <w:w w:val="105"/>
          <w:sz w:val="20"/>
        </w:rPr>
        <w:t> </w:t>
      </w:r>
      <w:r>
        <w:rPr>
          <w:w w:val="105"/>
          <w:sz w:val="20"/>
        </w:rPr>
        <w:t>spazi</w:t>
      </w:r>
      <w:r>
        <w:rPr>
          <w:spacing w:val="-7"/>
          <w:w w:val="105"/>
          <w:sz w:val="20"/>
        </w:rPr>
        <w:t> </w:t>
      </w:r>
      <w:r>
        <w:rPr>
          <w:w w:val="105"/>
          <w:sz w:val="20"/>
        </w:rPr>
        <w:t>pubblicitari,</w:t>
      </w:r>
      <w:r>
        <w:rPr>
          <w:spacing w:val="-7"/>
          <w:w w:val="105"/>
          <w:sz w:val="20"/>
        </w:rPr>
        <w:t> </w:t>
      </w:r>
      <w:r>
        <w:rPr>
          <w:w w:val="105"/>
          <w:sz w:val="20"/>
        </w:rPr>
        <w:t>titolare</w:t>
      </w:r>
      <w:r>
        <w:rPr>
          <w:spacing w:val="-6"/>
          <w:w w:val="105"/>
          <w:sz w:val="20"/>
        </w:rPr>
        <w:t> </w:t>
      </w:r>
      <w:r>
        <w:rPr>
          <w:w w:val="105"/>
          <w:sz w:val="20"/>
        </w:rPr>
        <w:t>di autorizzazione</w:t>
      </w:r>
      <w:r>
        <w:rPr>
          <w:spacing w:val="-13"/>
          <w:w w:val="105"/>
          <w:sz w:val="20"/>
        </w:rPr>
        <w:t> </w:t>
      </w:r>
      <w:r>
        <w:rPr>
          <w:w w:val="105"/>
          <w:sz w:val="20"/>
        </w:rPr>
        <w:t>esclusiva</w:t>
      </w:r>
      <w:r>
        <w:rPr>
          <w:spacing w:val="-12"/>
          <w:w w:val="105"/>
          <w:sz w:val="20"/>
        </w:rPr>
        <w:t> </w:t>
      </w:r>
      <w:r>
        <w:rPr>
          <w:w w:val="105"/>
          <w:sz w:val="20"/>
        </w:rPr>
        <w:t>da</w:t>
      </w:r>
      <w:r>
        <w:rPr>
          <w:spacing w:val="-10"/>
          <w:w w:val="105"/>
          <w:sz w:val="20"/>
        </w:rPr>
        <w:t> </w:t>
      </w:r>
      <w:r>
        <w:rPr>
          <w:w w:val="105"/>
          <w:sz w:val="20"/>
        </w:rPr>
        <w:t>parte</w:t>
      </w:r>
      <w:r>
        <w:rPr>
          <w:spacing w:val="-13"/>
          <w:w w:val="105"/>
          <w:sz w:val="20"/>
        </w:rPr>
        <w:t> </w:t>
      </w:r>
      <w:r>
        <w:rPr>
          <w:w w:val="105"/>
          <w:sz w:val="20"/>
        </w:rPr>
        <w:t>della</w:t>
      </w:r>
      <w:r>
        <w:rPr>
          <w:spacing w:val="-12"/>
          <w:w w:val="105"/>
          <w:sz w:val="20"/>
        </w:rPr>
        <w:t> </w:t>
      </w:r>
      <w:r>
        <w:rPr>
          <w:w w:val="105"/>
          <w:sz w:val="20"/>
        </w:rPr>
        <w:t>PA</w:t>
      </w:r>
      <w:r>
        <w:rPr>
          <w:spacing w:val="-12"/>
          <w:w w:val="105"/>
          <w:sz w:val="20"/>
        </w:rPr>
        <w:t> </w:t>
      </w:r>
      <w:r>
        <w:rPr>
          <w:w w:val="105"/>
          <w:sz w:val="20"/>
        </w:rPr>
        <w:t>o</w:t>
      </w:r>
      <w:r>
        <w:rPr>
          <w:spacing w:val="-13"/>
          <w:w w:val="105"/>
          <w:sz w:val="20"/>
        </w:rPr>
        <w:t> </w:t>
      </w:r>
      <w:r>
        <w:rPr>
          <w:w w:val="105"/>
          <w:sz w:val="20"/>
        </w:rPr>
        <w:t>partecipante</w:t>
      </w:r>
      <w:r>
        <w:rPr>
          <w:spacing w:val="-13"/>
          <w:w w:val="105"/>
          <w:sz w:val="20"/>
        </w:rPr>
        <w:t> </w:t>
      </w:r>
      <w:r>
        <w:rPr>
          <w:w w:val="105"/>
          <w:sz w:val="20"/>
        </w:rPr>
        <w:t>esclusivo</w:t>
      </w:r>
      <w:r>
        <w:rPr>
          <w:spacing w:val="-13"/>
          <w:w w:val="105"/>
          <w:sz w:val="20"/>
        </w:rPr>
        <w:t> </w:t>
      </w:r>
      <w:r>
        <w:rPr>
          <w:w w:val="105"/>
          <w:sz w:val="20"/>
        </w:rPr>
        <w:t>ad</w:t>
      </w:r>
      <w:r>
        <w:rPr>
          <w:spacing w:val="-13"/>
          <w:w w:val="105"/>
          <w:sz w:val="20"/>
        </w:rPr>
        <w:t> </w:t>
      </w:r>
      <w:r>
        <w:rPr>
          <w:w w:val="105"/>
          <w:sz w:val="20"/>
        </w:rPr>
        <w:t>accordo</w:t>
      </w:r>
      <w:r>
        <w:rPr>
          <w:spacing w:val="-11"/>
          <w:w w:val="105"/>
          <w:sz w:val="20"/>
        </w:rPr>
        <w:t> </w:t>
      </w:r>
      <w:r>
        <w:rPr>
          <w:w w:val="105"/>
          <w:sz w:val="20"/>
        </w:rPr>
        <w:t>di</w:t>
      </w:r>
      <w:r>
        <w:rPr>
          <w:spacing w:val="-12"/>
          <w:w w:val="105"/>
          <w:sz w:val="20"/>
        </w:rPr>
        <w:t> </w:t>
      </w:r>
      <w:r>
        <w:rPr>
          <w:w w:val="105"/>
          <w:sz w:val="20"/>
        </w:rPr>
        <w:t>programma)</w:t>
      </w:r>
    </w:p>
    <w:p>
      <w:pPr>
        <w:pStyle w:val="ListParagraph"/>
        <w:numPr>
          <w:ilvl w:val="0"/>
          <w:numId w:val="1"/>
        </w:numPr>
        <w:tabs>
          <w:tab w:pos="782" w:val="left" w:leader="none"/>
        </w:tabs>
        <w:spacing w:line="280" w:lineRule="auto" w:before="3" w:after="0"/>
        <w:ind w:left="782" w:right="151" w:hanging="358"/>
        <w:jc w:val="both"/>
        <w:rPr>
          <w:sz w:val="20"/>
        </w:rPr>
      </w:pPr>
      <w:r>
        <w:rPr>
          <w:sz w:val="20"/>
        </w:rPr>
        <w:t>contenuti legati ad acquisti di diritti in senso stretto (ad es. non le produzioni), sponsorizzazioni, collaboratori artistici con carattere di unicità (ad es. conduttori) e “testimonial”</w:t>
      </w:r>
    </w:p>
    <w:p>
      <w:pPr>
        <w:pStyle w:val="ListParagraph"/>
        <w:numPr>
          <w:ilvl w:val="0"/>
          <w:numId w:val="1"/>
        </w:numPr>
        <w:tabs>
          <w:tab w:pos="780" w:val="left" w:leader="none"/>
          <w:tab w:pos="782" w:val="left" w:leader="none"/>
        </w:tabs>
        <w:spacing w:line="280" w:lineRule="auto" w:before="0" w:after="0"/>
        <w:ind w:left="782" w:right="151" w:hanging="358"/>
        <w:jc w:val="both"/>
        <w:rPr>
          <w:sz w:val="20"/>
        </w:rPr>
      </w:pPr>
      <w:r>
        <w:rPr>
          <w:sz w:val="20"/>
        </w:rPr>
        <w:t>manutenzione correttiva ed evolutiva di applicativi proprietari e/o di soluzioni di rete e servizio per i quali non sia applicabile il criterio TPM-Third Party Maintenance</w:t>
      </w:r>
    </w:p>
    <w:p>
      <w:pPr>
        <w:pStyle w:val="ListParagraph"/>
        <w:numPr>
          <w:ilvl w:val="0"/>
          <w:numId w:val="1"/>
        </w:numPr>
        <w:tabs>
          <w:tab w:pos="780" w:val="left" w:leader="none"/>
        </w:tabs>
        <w:spacing w:line="240" w:lineRule="auto" w:before="1" w:after="0"/>
        <w:ind w:left="780" w:right="0" w:hanging="356"/>
        <w:jc w:val="both"/>
        <w:rPr>
          <w:sz w:val="20"/>
        </w:rPr>
      </w:pPr>
      <w:r>
        <w:rPr>
          <w:sz w:val="20"/>
        </w:rPr>
        <w:t>partnership</w:t>
      </w:r>
      <w:r>
        <w:rPr>
          <w:spacing w:val="-2"/>
          <w:sz w:val="20"/>
        </w:rPr>
        <w:t> commerciali</w:t>
      </w:r>
    </w:p>
    <w:p>
      <w:pPr>
        <w:pStyle w:val="ListParagraph"/>
        <w:numPr>
          <w:ilvl w:val="0"/>
          <w:numId w:val="1"/>
        </w:numPr>
        <w:tabs>
          <w:tab w:pos="782" w:val="left" w:leader="none"/>
        </w:tabs>
        <w:spacing w:line="280" w:lineRule="auto" w:before="42" w:after="0"/>
        <w:ind w:left="782" w:right="141" w:hanging="358"/>
        <w:jc w:val="both"/>
        <w:rPr>
          <w:sz w:val="20"/>
        </w:rPr>
      </w:pPr>
      <w:r>
        <w:rPr>
          <w:sz w:val="20"/>
        </w:rPr>
        <w:t>acquisti aventi ad oggetto prodotti/sistemi/applicazioni/prestazioni professionali, forniti anche in</w:t>
      </w:r>
      <w:r>
        <w:rPr>
          <w:spacing w:val="40"/>
          <w:sz w:val="20"/>
        </w:rPr>
        <w:t> </w:t>
      </w:r>
      <w:r>
        <w:rPr>
          <w:sz w:val="20"/>
        </w:rPr>
        <w:t>opera da Canali del Costruttore che, essendo certificati dalle competenti funzioni di TIM nonché dai Costruttori stessi ed applicando i prezzi concordati da Procurement con questi ultimi, abbiano dimostrato adeguate capacità di progettazione e di delivery ed un elevato livello di performances. In tale</w:t>
      </w:r>
      <w:r>
        <w:rPr>
          <w:spacing w:val="-1"/>
          <w:sz w:val="20"/>
        </w:rPr>
        <w:t> </w:t>
      </w:r>
      <w:r>
        <w:rPr>
          <w:sz w:val="20"/>
        </w:rPr>
        <w:t>ambito</w:t>
      </w:r>
      <w:r>
        <w:rPr>
          <w:spacing w:val="-1"/>
          <w:sz w:val="20"/>
        </w:rPr>
        <w:t> </w:t>
      </w:r>
      <w:r>
        <w:rPr>
          <w:sz w:val="20"/>
        </w:rPr>
        <w:t>rientrano</w:t>
      </w:r>
      <w:r>
        <w:rPr>
          <w:spacing w:val="-2"/>
          <w:sz w:val="20"/>
        </w:rPr>
        <w:t> </w:t>
      </w:r>
      <w:r>
        <w:rPr>
          <w:sz w:val="20"/>
        </w:rPr>
        <w:t>anche</w:t>
      </w:r>
      <w:r>
        <w:rPr>
          <w:spacing w:val="-1"/>
          <w:sz w:val="20"/>
        </w:rPr>
        <w:t> </w:t>
      </w:r>
      <w:r>
        <w:rPr>
          <w:sz w:val="20"/>
        </w:rPr>
        <w:t>gli</w:t>
      </w:r>
      <w:r>
        <w:rPr>
          <w:spacing w:val="-2"/>
          <w:sz w:val="20"/>
        </w:rPr>
        <w:t> </w:t>
      </w:r>
      <w:r>
        <w:rPr>
          <w:sz w:val="20"/>
        </w:rPr>
        <w:t>acquisti</w:t>
      </w:r>
      <w:r>
        <w:rPr>
          <w:spacing w:val="-2"/>
          <w:sz w:val="20"/>
        </w:rPr>
        <w:t> </w:t>
      </w:r>
      <w:r>
        <w:rPr>
          <w:sz w:val="20"/>
        </w:rPr>
        <w:t>che fanno</w:t>
      </w:r>
      <w:r>
        <w:rPr>
          <w:spacing w:val="-2"/>
          <w:sz w:val="20"/>
        </w:rPr>
        <w:t> </w:t>
      </w:r>
      <w:r>
        <w:rPr>
          <w:sz w:val="20"/>
        </w:rPr>
        <w:t>riferimento</w:t>
      </w:r>
      <w:r>
        <w:rPr>
          <w:spacing w:val="-1"/>
          <w:sz w:val="20"/>
        </w:rPr>
        <w:t> </w:t>
      </w:r>
      <w:r>
        <w:rPr>
          <w:sz w:val="20"/>
        </w:rPr>
        <w:t>a</w:t>
      </w:r>
      <w:r>
        <w:rPr>
          <w:spacing w:val="-1"/>
          <w:sz w:val="20"/>
        </w:rPr>
        <w:t> </w:t>
      </w:r>
      <w:r>
        <w:rPr>
          <w:sz w:val="20"/>
        </w:rPr>
        <w:t>piani di</w:t>
      </w:r>
      <w:r>
        <w:rPr>
          <w:spacing w:val="-4"/>
          <w:sz w:val="20"/>
        </w:rPr>
        <w:t> </w:t>
      </w:r>
      <w:r>
        <w:rPr>
          <w:sz w:val="20"/>
        </w:rPr>
        <w:t>marketing/commerciali</w:t>
      </w:r>
      <w:r>
        <w:rPr>
          <w:spacing w:val="-2"/>
          <w:sz w:val="20"/>
        </w:rPr>
        <w:t> </w:t>
      </w:r>
      <w:r>
        <w:rPr>
          <w:sz w:val="20"/>
        </w:rPr>
        <w:t>ed</w:t>
      </w:r>
      <w:r>
        <w:rPr>
          <w:spacing w:val="-2"/>
          <w:sz w:val="20"/>
        </w:rPr>
        <w:t> </w:t>
      </w:r>
      <w:r>
        <w:rPr>
          <w:sz w:val="20"/>
        </w:rPr>
        <w:t>alle relative scelte tecnologiche, condivisi tra la competente Funzione Acquisti ed il Cliente Interno, comprese le scelte tecnologiche sottostanti i listini per le convenzioni Consip</w:t>
      </w:r>
    </w:p>
    <w:p>
      <w:pPr>
        <w:pStyle w:val="ListParagraph"/>
        <w:numPr>
          <w:ilvl w:val="0"/>
          <w:numId w:val="1"/>
        </w:numPr>
        <w:tabs>
          <w:tab w:pos="780" w:val="left" w:leader="none"/>
          <w:tab w:pos="782" w:val="left" w:leader="none"/>
        </w:tabs>
        <w:spacing w:line="280" w:lineRule="auto" w:before="3" w:after="0"/>
        <w:ind w:left="782" w:right="140" w:hanging="358"/>
        <w:jc w:val="both"/>
        <w:rPr>
          <w:sz w:val="20"/>
        </w:rPr>
      </w:pPr>
      <w:r>
        <w:rPr>
          <w:sz w:val="20"/>
        </w:rPr>
        <w:t>acquisti</w:t>
      </w:r>
      <w:r>
        <w:rPr>
          <w:spacing w:val="-4"/>
          <w:sz w:val="20"/>
        </w:rPr>
        <w:t> </w:t>
      </w:r>
      <w:r>
        <w:rPr>
          <w:sz w:val="20"/>
        </w:rPr>
        <w:t>diretti</w:t>
      </w:r>
      <w:r>
        <w:rPr>
          <w:spacing w:val="-1"/>
          <w:sz w:val="20"/>
        </w:rPr>
        <w:t> </w:t>
      </w:r>
      <w:r>
        <w:rPr>
          <w:sz w:val="20"/>
        </w:rPr>
        <w:t>dal</w:t>
      </w:r>
      <w:r>
        <w:rPr>
          <w:spacing w:val="-4"/>
          <w:sz w:val="20"/>
        </w:rPr>
        <w:t> </w:t>
      </w:r>
      <w:r>
        <w:rPr>
          <w:sz w:val="20"/>
        </w:rPr>
        <w:t>vendor tecnologico, o</w:t>
      </w:r>
      <w:r>
        <w:rPr>
          <w:spacing w:val="-3"/>
          <w:sz w:val="20"/>
        </w:rPr>
        <w:t> </w:t>
      </w:r>
      <w:r>
        <w:rPr>
          <w:sz w:val="20"/>
        </w:rPr>
        <w:t>tramite</w:t>
      </w:r>
      <w:r>
        <w:rPr>
          <w:spacing w:val="-3"/>
          <w:sz w:val="20"/>
        </w:rPr>
        <w:t> </w:t>
      </w:r>
      <w:r>
        <w:rPr>
          <w:sz w:val="20"/>
        </w:rPr>
        <w:t>suo</w:t>
      </w:r>
      <w:r>
        <w:rPr>
          <w:spacing w:val="-3"/>
          <w:sz w:val="20"/>
        </w:rPr>
        <w:t> </w:t>
      </w:r>
      <w:r>
        <w:rPr>
          <w:sz w:val="20"/>
        </w:rPr>
        <w:t>distributore,</w:t>
      </w:r>
      <w:r>
        <w:rPr>
          <w:spacing w:val="-3"/>
          <w:sz w:val="20"/>
        </w:rPr>
        <w:t> </w:t>
      </w:r>
      <w:r>
        <w:rPr>
          <w:sz w:val="20"/>
        </w:rPr>
        <w:t>di</w:t>
      </w:r>
      <w:r>
        <w:rPr>
          <w:spacing w:val="-4"/>
          <w:sz w:val="20"/>
        </w:rPr>
        <w:t> </w:t>
      </w:r>
      <w:r>
        <w:rPr>
          <w:sz w:val="20"/>
        </w:rPr>
        <w:t>prodotti/servizi</w:t>
      </w:r>
      <w:r>
        <w:rPr>
          <w:spacing w:val="-3"/>
          <w:sz w:val="20"/>
        </w:rPr>
        <w:t> </w:t>
      </w:r>
      <w:r>
        <w:rPr>
          <w:sz w:val="20"/>
        </w:rPr>
        <w:t>previsti</w:t>
      </w:r>
      <w:r>
        <w:rPr>
          <w:spacing w:val="-4"/>
          <w:sz w:val="20"/>
        </w:rPr>
        <w:t> </w:t>
      </w:r>
      <w:r>
        <w:rPr>
          <w:sz w:val="20"/>
        </w:rPr>
        <w:t>in</w:t>
      </w:r>
      <w:r>
        <w:rPr>
          <w:spacing w:val="-4"/>
          <w:sz w:val="20"/>
        </w:rPr>
        <w:t> </w:t>
      </w:r>
      <w:r>
        <w:rPr>
          <w:sz w:val="20"/>
        </w:rPr>
        <w:t>bandi</w:t>
      </w:r>
      <w:r>
        <w:rPr>
          <w:spacing w:val="-4"/>
          <w:sz w:val="20"/>
        </w:rPr>
        <w:t> </w:t>
      </w:r>
      <w:r>
        <w:rPr>
          <w:sz w:val="20"/>
        </w:rPr>
        <w:t>di gare pubbliche con esplicita indicazione della tecnologia (fermo restando il divieto di indicazione del fornitore da parte della PA) con carattere di “esclusività” da intendersi come mancanza per TIM di fornitori alternativi a cui potersi rivolgere.</w:t>
      </w:r>
    </w:p>
    <w:p>
      <w:pPr>
        <w:pStyle w:val="ListParagraph"/>
        <w:numPr>
          <w:ilvl w:val="0"/>
          <w:numId w:val="1"/>
        </w:numPr>
        <w:tabs>
          <w:tab w:pos="780" w:val="left" w:leader="none"/>
          <w:tab w:pos="782" w:val="left" w:leader="none"/>
        </w:tabs>
        <w:spacing w:line="280" w:lineRule="auto" w:before="3" w:after="0"/>
        <w:ind w:left="782" w:right="150" w:hanging="358"/>
        <w:jc w:val="both"/>
        <w:rPr>
          <w:sz w:val="20"/>
        </w:rPr>
      </w:pPr>
      <w:r>
        <w:rPr>
          <w:sz w:val="20"/>
        </w:rPr>
        <w:t>nuove tecnologie e soluzioni/prodotti tecnologici innovativi imposti dallo stato di disponibilità della tecnologia, in primo impiego o per sperimentazioni.</w:t>
      </w:r>
    </w:p>
    <w:p>
      <w:pPr>
        <w:pStyle w:val="ListParagraph"/>
        <w:numPr>
          <w:ilvl w:val="0"/>
          <w:numId w:val="1"/>
        </w:numPr>
        <w:tabs>
          <w:tab w:pos="780" w:val="left" w:leader="none"/>
          <w:tab w:pos="782" w:val="left" w:leader="none"/>
        </w:tabs>
        <w:spacing w:line="280" w:lineRule="auto" w:before="0" w:after="0"/>
        <w:ind w:left="782" w:right="141" w:hanging="358"/>
        <w:jc w:val="both"/>
        <w:rPr>
          <w:sz w:val="20"/>
        </w:rPr>
      </w:pPr>
      <w:r>
        <w:rPr>
          <w:w w:val="105"/>
          <w:sz w:val="20"/>
        </w:rPr>
        <w:t>affitto delle postazioni in “alta frequenza” per la trasmissione di segnale eventualmente inclusive </w:t>
      </w:r>
      <w:r>
        <w:rPr>
          <w:sz w:val="20"/>
        </w:rPr>
        <w:t>anche di manutenzione ordinaria e di fornitura di energia elettrica (data la presenza di vincoli</w:t>
      </w:r>
      <w:r>
        <w:rPr>
          <w:spacing w:val="20"/>
          <w:sz w:val="20"/>
        </w:rPr>
        <w:t> </w:t>
      </w:r>
      <w:r>
        <w:rPr>
          <w:sz w:val="20"/>
        </w:rPr>
        <w:t>tecnici </w:t>
      </w:r>
      <w:r>
        <w:rPr>
          <w:w w:val="105"/>
          <w:sz w:val="20"/>
        </w:rPr>
        <w:t>di</w:t>
      </w:r>
      <w:r>
        <w:rPr>
          <w:spacing w:val="-12"/>
          <w:w w:val="105"/>
          <w:sz w:val="20"/>
        </w:rPr>
        <w:t> </w:t>
      </w:r>
      <w:r>
        <w:rPr>
          <w:w w:val="105"/>
          <w:sz w:val="20"/>
        </w:rPr>
        <w:t>trasmissione</w:t>
      </w:r>
      <w:r>
        <w:rPr>
          <w:spacing w:val="-11"/>
          <w:w w:val="105"/>
          <w:sz w:val="20"/>
        </w:rPr>
        <w:t> </w:t>
      </w:r>
      <w:r>
        <w:rPr>
          <w:w w:val="105"/>
          <w:sz w:val="20"/>
        </w:rPr>
        <w:t>del</w:t>
      </w:r>
      <w:r>
        <w:rPr>
          <w:spacing w:val="-8"/>
          <w:w w:val="105"/>
          <w:sz w:val="20"/>
        </w:rPr>
        <w:t> </w:t>
      </w:r>
      <w:r>
        <w:rPr>
          <w:w w:val="105"/>
          <w:sz w:val="20"/>
        </w:rPr>
        <w:t>segnale</w:t>
      </w:r>
      <w:r>
        <w:rPr>
          <w:spacing w:val="-7"/>
          <w:w w:val="105"/>
          <w:sz w:val="20"/>
        </w:rPr>
        <w:t> </w:t>
      </w:r>
      <w:r>
        <w:rPr>
          <w:w w:val="105"/>
          <w:sz w:val="20"/>
        </w:rPr>
        <w:t>che</w:t>
      </w:r>
      <w:r>
        <w:rPr>
          <w:spacing w:val="-11"/>
          <w:w w:val="105"/>
          <w:sz w:val="20"/>
        </w:rPr>
        <w:t> </w:t>
      </w:r>
      <w:r>
        <w:rPr>
          <w:w w:val="105"/>
          <w:sz w:val="20"/>
        </w:rPr>
        <w:t>non</w:t>
      </w:r>
      <w:r>
        <w:rPr>
          <w:spacing w:val="-12"/>
          <w:w w:val="105"/>
          <w:sz w:val="20"/>
        </w:rPr>
        <w:t> </w:t>
      </w:r>
      <w:r>
        <w:rPr>
          <w:w w:val="105"/>
          <w:sz w:val="20"/>
        </w:rPr>
        <w:t>consentono</w:t>
      </w:r>
      <w:r>
        <w:rPr>
          <w:spacing w:val="-11"/>
          <w:w w:val="105"/>
          <w:sz w:val="20"/>
        </w:rPr>
        <w:t> </w:t>
      </w:r>
      <w:r>
        <w:rPr>
          <w:w w:val="105"/>
          <w:sz w:val="20"/>
        </w:rPr>
        <w:t>alternative</w:t>
      </w:r>
      <w:r>
        <w:rPr>
          <w:spacing w:val="-10"/>
          <w:w w:val="105"/>
          <w:sz w:val="20"/>
        </w:rPr>
        <w:t> </w:t>
      </w:r>
      <w:r>
        <w:rPr>
          <w:w w:val="105"/>
          <w:sz w:val="20"/>
        </w:rPr>
        <w:t>realizzative)</w:t>
      </w:r>
    </w:p>
    <w:p>
      <w:pPr>
        <w:pStyle w:val="ListParagraph"/>
        <w:numPr>
          <w:ilvl w:val="0"/>
          <w:numId w:val="1"/>
        </w:numPr>
        <w:tabs>
          <w:tab w:pos="780" w:val="left" w:leader="none"/>
          <w:tab w:pos="782" w:val="left" w:leader="none"/>
        </w:tabs>
        <w:spacing w:line="280" w:lineRule="auto" w:before="1" w:after="0"/>
        <w:ind w:left="782" w:right="149" w:hanging="358"/>
        <w:jc w:val="both"/>
        <w:rPr>
          <w:sz w:val="20"/>
        </w:rPr>
      </w:pPr>
      <w:r>
        <w:rPr>
          <w:sz w:val="20"/>
        </w:rPr>
        <w:t>prodotti di rete (accesso, trasporto, rete core, etc) con relativi sistemi di gestione e supervisione, e servizi di supporto e manutenzione, per ampliamento di reti esistenti</w:t>
      </w:r>
    </w:p>
    <w:p>
      <w:pPr>
        <w:pStyle w:val="ListParagraph"/>
        <w:numPr>
          <w:ilvl w:val="0"/>
          <w:numId w:val="1"/>
        </w:numPr>
        <w:tabs>
          <w:tab w:pos="780" w:val="left" w:leader="none"/>
        </w:tabs>
        <w:spacing w:line="240" w:lineRule="auto" w:before="2" w:after="0"/>
        <w:ind w:left="780" w:right="0" w:hanging="356"/>
        <w:jc w:val="both"/>
        <w:rPr>
          <w:sz w:val="20"/>
        </w:rPr>
      </w:pPr>
      <w:r>
        <w:rPr>
          <w:sz w:val="20"/>
        </w:rPr>
        <w:t>adesione</w:t>
      </w:r>
      <w:r>
        <w:rPr>
          <w:spacing w:val="1"/>
          <w:sz w:val="20"/>
        </w:rPr>
        <w:t> </w:t>
      </w:r>
      <w:r>
        <w:rPr>
          <w:sz w:val="20"/>
        </w:rPr>
        <w:t>da</w:t>
      </w:r>
      <w:r>
        <w:rPr>
          <w:spacing w:val="2"/>
          <w:sz w:val="20"/>
        </w:rPr>
        <w:t> </w:t>
      </w:r>
      <w:r>
        <w:rPr>
          <w:sz w:val="20"/>
        </w:rPr>
        <w:t>parte</w:t>
      </w:r>
      <w:r>
        <w:rPr>
          <w:spacing w:val="1"/>
          <w:sz w:val="20"/>
        </w:rPr>
        <w:t> </w:t>
      </w:r>
      <w:r>
        <w:rPr>
          <w:sz w:val="20"/>
        </w:rPr>
        <w:t>delle</w:t>
      </w:r>
      <w:r>
        <w:rPr>
          <w:spacing w:val="1"/>
          <w:sz w:val="20"/>
        </w:rPr>
        <w:t> </w:t>
      </w:r>
      <w:r>
        <w:rPr>
          <w:sz w:val="20"/>
        </w:rPr>
        <w:t>Società</w:t>
      </w:r>
      <w:r>
        <w:rPr>
          <w:spacing w:val="2"/>
          <w:sz w:val="20"/>
        </w:rPr>
        <w:t> </w:t>
      </w:r>
      <w:r>
        <w:rPr>
          <w:sz w:val="20"/>
        </w:rPr>
        <w:t>del Gruppo</w:t>
      </w:r>
      <w:r>
        <w:rPr>
          <w:spacing w:val="1"/>
          <w:sz w:val="20"/>
        </w:rPr>
        <w:t> </w:t>
      </w:r>
      <w:r>
        <w:rPr>
          <w:sz w:val="20"/>
        </w:rPr>
        <w:t>ad</w:t>
      </w:r>
      <w:r>
        <w:rPr>
          <w:spacing w:val="1"/>
          <w:sz w:val="20"/>
        </w:rPr>
        <w:t> </w:t>
      </w:r>
      <w:r>
        <w:rPr>
          <w:sz w:val="20"/>
        </w:rPr>
        <w:t>Accordi </w:t>
      </w:r>
      <w:r>
        <w:rPr>
          <w:spacing w:val="-2"/>
          <w:sz w:val="20"/>
        </w:rPr>
        <w:t>Quadro</w:t>
      </w:r>
    </w:p>
    <w:p>
      <w:pPr>
        <w:pStyle w:val="ListParagraph"/>
        <w:numPr>
          <w:ilvl w:val="0"/>
          <w:numId w:val="1"/>
        </w:numPr>
        <w:tabs>
          <w:tab w:pos="780" w:val="left" w:leader="none"/>
          <w:tab w:pos="782" w:val="left" w:leader="none"/>
        </w:tabs>
        <w:spacing w:line="280" w:lineRule="auto" w:before="42" w:after="0"/>
        <w:ind w:left="782" w:right="146" w:hanging="358"/>
        <w:jc w:val="both"/>
        <w:rPr>
          <w:sz w:val="20"/>
        </w:rPr>
      </w:pPr>
      <w:r>
        <w:rPr>
          <w:sz w:val="20"/>
        </w:rPr>
        <w:t>forniture</w:t>
      </w:r>
      <w:r>
        <w:rPr>
          <w:spacing w:val="-1"/>
          <w:sz w:val="20"/>
        </w:rPr>
        <w:t> </w:t>
      </w:r>
      <w:r>
        <w:rPr>
          <w:sz w:val="20"/>
        </w:rPr>
        <w:t>/prestazioni di</w:t>
      </w:r>
      <w:r>
        <w:rPr>
          <w:spacing w:val="-3"/>
          <w:sz w:val="20"/>
        </w:rPr>
        <w:t> </w:t>
      </w:r>
      <w:r>
        <w:rPr>
          <w:sz w:val="20"/>
        </w:rPr>
        <w:t>Networking</w:t>
      </w:r>
      <w:r>
        <w:rPr>
          <w:spacing w:val="-1"/>
          <w:sz w:val="20"/>
        </w:rPr>
        <w:t> </w:t>
      </w:r>
      <w:r>
        <w:rPr>
          <w:sz w:val="20"/>
        </w:rPr>
        <w:t>ICT</w:t>
      </w:r>
      <w:r>
        <w:rPr>
          <w:spacing w:val="-1"/>
          <w:sz w:val="20"/>
        </w:rPr>
        <w:t> </w:t>
      </w:r>
      <w:r>
        <w:rPr>
          <w:sz w:val="20"/>
        </w:rPr>
        <w:t>in</w:t>
      </w:r>
      <w:r>
        <w:rPr>
          <w:spacing w:val="-2"/>
          <w:sz w:val="20"/>
        </w:rPr>
        <w:t> </w:t>
      </w:r>
      <w:r>
        <w:rPr>
          <w:sz w:val="20"/>
        </w:rPr>
        <w:t>presenza</w:t>
      </w:r>
      <w:r>
        <w:rPr>
          <w:spacing w:val="-1"/>
          <w:sz w:val="20"/>
        </w:rPr>
        <w:t> </w:t>
      </w:r>
      <w:r>
        <w:rPr>
          <w:sz w:val="20"/>
        </w:rPr>
        <w:t>di “accordi</w:t>
      </w:r>
      <w:r>
        <w:rPr>
          <w:spacing w:val="-2"/>
          <w:sz w:val="20"/>
        </w:rPr>
        <w:t> </w:t>
      </w:r>
      <w:r>
        <w:rPr>
          <w:sz w:val="20"/>
        </w:rPr>
        <w:t>e</w:t>
      </w:r>
      <w:r>
        <w:rPr>
          <w:spacing w:val="-1"/>
          <w:sz w:val="20"/>
        </w:rPr>
        <w:t> </w:t>
      </w:r>
      <w:r>
        <w:rPr>
          <w:sz w:val="20"/>
        </w:rPr>
        <w:t>listini”</w:t>
      </w:r>
      <w:r>
        <w:rPr>
          <w:spacing w:val="-2"/>
          <w:sz w:val="20"/>
        </w:rPr>
        <w:t> </w:t>
      </w:r>
      <w:r>
        <w:rPr>
          <w:sz w:val="20"/>
        </w:rPr>
        <w:t>predisposti</w:t>
      </w:r>
      <w:r>
        <w:rPr>
          <w:spacing w:val="-2"/>
          <w:sz w:val="20"/>
        </w:rPr>
        <w:t> </w:t>
      </w:r>
      <w:r>
        <w:rPr>
          <w:sz w:val="20"/>
        </w:rPr>
        <w:t>dalla</w:t>
      </w:r>
      <w:r>
        <w:rPr>
          <w:spacing w:val="-1"/>
          <w:sz w:val="20"/>
        </w:rPr>
        <w:t> </w:t>
      </w:r>
      <w:r>
        <w:rPr>
          <w:sz w:val="20"/>
        </w:rPr>
        <w:t>Funzione</w:t>
      </w:r>
      <w:r>
        <w:rPr>
          <w:spacing w:val="-2"/>
          <w:sz w:val="20"/>
        </w:rPr>
        <w:t> </w:t>
      </w:r>
      <w:r>
        <w:rPr>
          <w:sz w:val="20"/>
        </w:rPr>
        <w:t>PR per almeno l’80% dell’importo della commessa.</w:t>
      </w:r>
    </w:p>
    <w:p>
      <w:pPr>
        <w:pStyle w:val="ListParagraph"/>
        <w:numPr>
          <w:ilvl w:val="0"/>
          <w:numId w:val="1"/>
        </w:numPr>
        <w:tabs>
          <w:tab w:pos="782" w:val="left" w:leader="none"/>
        </w:tabs>
        <w:spacing w:line="280" w:lineRule="auto" w:before="0" w:after="0"/>
        <w:ind w:left="782" w:right="141" w:hanging="358"/>
        <w:jc w:val="both"/>
        <w:rPr>
          <w:sz w:val="20"/>
        </w:rPr>
      </w:pPr>
      <w:r>
        <w:rPr>
          <w:sz w:val="20"/>
        </w:rPr>
        <w:t>forniture/acquisti in leasing individuati dalle Funzioni Enterprise e/o CF.F che definiscono, rispettivamente e ciascuna per propria competenza, il Fornitore dei beni (Enterprise) e il Partner Finanziario e le relative condizioni di fornitura/finanziamento. L’individuazione e l’ingaggio del Partner Finanziario dovrà avere in ogni caso l’avvallo della Funzione CF.F che verificherà la corretta applicazione delle condizioni economico-finanziarie concordate con il locatore.</w:t>
      </w: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69"/>
        <w:ind w:left="0" w:firstLine="0"/>
        <w:jc w:val="left"/>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05"/>
        <w:gridCol w:w="4813"/>
        <w:gridCol w:w="2408"/>
      </w:tblGrid>
      <w:tr>
        <w:trPr>
          <w:trHeight w:val="534" w:hRule="atLeast"/>
        </w:trPr>
        <w:tc>
          <w:tcPr>
            <w:tcW w:w="2405" w:type="dxa"/>
          </w:tcPr>
          <w:p>
            <w:pPr>
              <w:pStyle w:val="TableParagraph"/>
              <w:spacing w:before="0"/>
              <w:rPr>
                <w:rFonts w:ascii="Times New Roman"/>
                <w:sz w:val="18"/>
              </w:rPr>
            </w:pPr>
          </w:p>
        </w:tc>
        <w:tc>
          <w:tcPr>
            <w:tcW w:w="4813" w:type="dxa"/>
          </w:tcPr>
          <w:p>
            <w:pPr>
              <w:pStyle w:val="TableParagraph"/>
              <w:spacing w:before="38"/>
              <w:ind w:left="16"/>
              <w:jc w:val="center"/>
              <w:rPr>
                <w:rFonts w:ascii="Tahoma"/>
                <w:sz w:val="18"/>
              </w:rPr>
            </w:pPr>
            <w:r>
              <w:rPr>
                <w:rFonts w:ascii="Tahoma"/>
                <w:w w:val="90"/>
                <w:sz w:val="18"/>
              </w:rPr>
              <w:t>TIM</w:t>
            </w:r>
            <w:r>
              <w:rPr>
                <w:rFonts w:ascii="Tahoma"/>
                <w:spacing w:val="-3"/>
                <w:sz w:val="18"/>
              </w:rPr>
              <w:t> </w:t>
            </w:r>
            <w:r>
              <w:rPr>
                <w:rFonts w:ascii="Tahoma"/>
                <w:spacing w:val="-2"/>
                <w:sz w:val="18"/>
              </w:rPr>
              <w:t>S.p.A.</w:t>
            </w:r>
          </w:p>
          <w:p>
            <w:pPr>
              <w:pStyle w:val="TableParagraph"/>
              <w:spacing w:line="211" w:lineRule="exact" w:before="48"/>
              <w:ind w:left="16" w:right="2"/>
              <w:jc w:val="center"/>
              <w:rPr>
                <w:i/>
                <w:sz w:val="18"/>
              </w:rPr>
            </w:pPr>
            <w:r>
              <w:rPr>
                <w:i/>
                <w:w w:val="85"/>
                <w:sz w:val="18"/>
              </w:rPr>
              <w:t>USO</w:t>
            </w:r>
            <w:r>
              <w:rPr>
                <w:i/>
                <w:spacing w:val="-2"/>
                <w:w w:val="85"/>
                <w:sz w:val="18"/>
              </w:rPr>
              <w:t> </w:t>
            </w:r>
            <w:r>
              <w:rPr>
                <w:i/>
                <w:w w:val="85"/>
                <w:sz w:val="18"/>
              </w:rPr>
              <w:t>INTERNO</w:t>
            </w:r>
            <w:r>
              <w:rPr>
                <w:i/>
                <w:spacing w:val="-10"/>
                <w:sz w:val="18"/>
              </w:rPr>
              <w:t> </w:t>
            </w:r>
            <w:r>
              <w:rPr>
                <w:i/>
                <w:w w:val="85"/>
                <w:sz w:val="18"/>
              </w:rPr>
              <w:t>-</w:t>
            </w:r>
            <w:r>
              <w:rPr>
                <w:i/>
                <w:spacing w:val="-8"/>
                <w:sz w:val="18"/>
              </w:rPr>
              <w:t> </w:t>
            </w:r>
            <w:r>
              <w:rPr>
                <w:i/>
                <w:w w:val="85"/>
                <w:sz w:val="18"/>
              </w:rPr>
              <w:t>Tutti</w:t>
            </w:r>
            <w:r>
              <w:rPr>
                <w:i/>
                <w:spacing w:val="-9"/>
                <w:sz w:val="18"/>
              </w:rPr>
              <w:t> </w:t>
            </w:r>
            <w:r>
              <w:rPr>
                <w:i/>
                <w:w w:val="85"/>
                <w:sz w:val="18"/>
              </w:rPr>
              <w:t>i</w:t>
            </w:r>
            <w:r>
              <w:rPr>
                <w:i/>
                <w:spacing w:val="-1"/>
                <w:w w:val="85"/>
                <w:sz w:val="18"/>
              </w:rPr>
              <w:t> </w:t>
            </w:r>
            <w:r>
              <w:rPr>
                <w:i/>
                <w:w w:val="85"/>
                <w:sz w:val="18"/>
              </w:rPr>
              <w:t>diritti</w:t>
            </w:r>
            <w:r>
              <w:rPr>
                <w:i/>
                <w:spacing w:val="-1"/>
                <w:w w:val="85"/>
                <w:sz w:val="18"/>
              </w:rPr>
              <w:t> </w:t>
            </w:r>
            <w:r>
              <w:rPr>
                <w:i/>
                <w:spacing w:val="-2"/>
                <w:w w:val="85"/>
                <w:sz w:val="18"/>
              </w:rPr>
              <w:t>riservati</w:t>
            </w:r>
          </w:p>
        </w:tc>
        <w:tc>
          <w:tcPr>
            <w:tcW w:w="2408" w:type="dxa"/>
          </w:tcPr>
          <w:p>
            <w:pPr>
              <w:pStyle w:val="TableParagraph"/>
              <w:spacing w:before="37"/>
              <w:ind w:left="715"/>
              <w:rPr>
                <w:i/>
                <w:sz w:val="18"/>
              </w:rPr>
            </w:pPr>
            <w:r>
              <w:rPr>
                <w:i/>
                <w:w w:val="85"/>
                <w:sz w:val="18"/>
              </w:rPr>
              <w:t>Pagina</w:t>
            </w:r>
            <w:r>
              <w:rPr>
                <w:i/>
                <w:spacing w:val="-7"/>
                <w:w w:val="85"/>
                <w:sz w:val="18"/>
              </w:rPr>
              <w:t> </w:t>
            </w:r>
            <w:r>
              <w:rPr>
                <w:i/>
                <w:w w:val="85"/>
                <w:sz w:val="18"/>
              </w:rPr>
              <w:t>1</w:t>
            </w:r>
            <w:r>
              <w:rPr>
                <w:i/>
                <w:spacing w:val="-6"/>
                <w:w w:val="85"/>
                <w:sz w:val="18"/>
              </w:rPr>
              <w:t> </w:t>
            </w:r>
            <w:r>
              <w:rPr>
                <w:i/>
                <w:w w:val="85"/>
                <w:sz w:val="18"/>
              </w:rPr>
              <w:t>di</w:t>
            </w:r>
            <w:r>
              <w:rPr>
                <w:i/>
                <w:spacing w:val="-5"/>
                <w:w w:val="85"/>
                <w:sz w:val="18"/>
              </w:rPr>
              <w:t> </w:t>
            </w:r>
            <w:r>
              <w:rPr>
                <w:i/>
                <w:spacing w:val="-10"/>
                <w:w w:val="85"/>
                <w:sz w:val="18"/>
              </w:rPr>
              <w:t>1</w:t>
            </w:r>
          </w:p>
        </w:tc>
      </w:tr>
    </w:tbl>
    <w:sectPr>
      <w:type w:val="continuous"/>
      <w:pgSz w:w="11910" w:h="16840"/>
      <w:pgMar w:top="5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82" w:hanging="358"/>
        <w:jc w:val="left"/>
      </w:pPr>
      <w:rPr>
        <w:rFonts w:hint="default" w:ascii="Tahoma" w:hAnsi="Tahoma" w:eastAsia="Tahoma" w:cs="Tahoma"/>
        <w:b w:val="0"/>
        <w:bCs w:val="0"/>
        <w:i w:val="0"/>
        <w:iCs w:val="0"/>
        <w:spacing w:val="0"/>
        <w:w w:val="83"/>
        <w:sz w:val="20"/>
        <w:szCs w:val="20"/>
        <w:lang w:val="it-IT" w:eastAsia="en-US" w:bidi="ar-SA"/>
      </w:rPr>
    </w:lvl>
    <w:lvl w:ilvl="1">
      <w:start w:val="0"/>
      <w:numFmt w:val="bullet"/>
      <w:lvlText w:val="•"/>
      <w:lvlJc w:val="left"/>
      <w:pPr>
        <w:ind w:left="1694" w:hanging="358"/>
      </w:pPr>
      <w:rPr>
        <w:rFonts w:hint="default"/>
        <w:lang w:val="it-IT" w:eastAsia="en-US" w:bidi="ar-SA"/>
      </w:rPr>
    </w:lvl>
    <w:lvl w:ilvl="2">
      <w:start w:val="0"/>
      <w:numFmt w:val="bullet"/>
      <w:lvlText w:val="•"/>
      <w:lvlJc w:val="left"/>
      <w:pPr>
        <w:ind w:left="2608" w:hanging="358"/>
      </w:pPr>
      <w:rPr>
        <w:rFonts w:hint="default"/>
        <w:lang w:val="it-IT" w:eastAsia="en-US" w:bidi="ar-SA"/>
      </w:rPr>
    </w:lvl>
    <w:lvl w:ilvl="3">
      <w:start w:val="0"/>
      <w:numFmt w:val="bullet"/>
      <w:lvlText w:val="•"/>
      <w:lvlJc w:val="left"/>
      <w:pPr>
        <w:ind w:left="3522" w:hanging="358"/>
      </w:pPr>
      <w:rPr>
        <w:rFonts w:hint="default"/>
        <w:lang w:val="it-IT" w:eastAsia="en-US" w:bidi="ar-SA"/>
      </w:rPr>
    </w:lvl>
    <w:lvl w:ilvl="4">
      <w:start w:val="0"/>
      <w:numFmt w:val="bullet"/>
      <w:lvlText w:val="•"/>
      <w:lvlJc w:val="left"/>
      <w:pPr>
        <w:ind w:left="4436" w:hanging="358"/>
      </w:pPr>
      <w:rPr>
        <w:rFonts w:hint="default"/>
        <w:lang w:val="it-IT" w:eastAsia="en-US" w:bidi="ar-SA"/>
      </w:rPr>
    </w:lvl>
    <w:lvl w:ilvl="5">
      <w:start w:val="0"/>
      <w:numFmt w:val="bullet"/>
      <w:lvlText w:val="•"/>
      <w:lvlJc w:val="left"/>
      <w:pPr>
        <w:ind w:left="5351" w:hanging="358"/>
      </w:pPr>
      <w:rPr>
        <w:rFonts w:hint="default"/>
        <w:lang w:val="it-IT" w:eastAsia="en-US" w:bidi="ar-SA"/>
      </w:rPr>
    </w:lvl>
    <w:lvl w:ilvl="6">
      <w:start w:val="0"/>
      <w:numFmt w:val="bullet"/>
      <w:lvlText w:val="•"/>
      <w:lvlJc w:val="left"/>
      <w:pPr>
        <w:ind w:left="6265" w:hanging="358"/>
      </w:pPr>
      <w:rPr>
        <w:rFonts w:hint="default"/>
        <w:lang w:val="it-IT" w:eastAsia="en-US" w:bidi="ar-SA"/>
      </w:rPr>
    </w:lvl>
    <w:lvl w:ilvl="7">
      <w:start w:val="0"/>
      <w:numFmt w:val="bullet"/>
      <w:lvlText w:val="•"/>
      <w:lvlJc w:val="left"/>
      <w:pPr>
        <w:ind w:left="7179" w:hanging="358"/>
      </w:pPr>
      <w:rPr>
        <w:rFonts w:hint="default"/>
        <w:lang w:val="it-IT" w:eastAsia="en-US" w:bidi="ar-SA"/>
      </w:rPr>
    </w:lvl>
    <w:lvl w:ilvl="8">
      <w:start w:val="0"/>
      <w:numFmt w:val="bullet"/>
      <w:lvlText w:val="•"/>
      <w:lvlJc w:val="left"/>
      <w:pPr>
        <w:ind w:left="8093" w:hanging="358"/>
      </w:pPr>
      <w:rPr>
        <w:rFonts w:hint="default"/>
        <w:lang w:val="it-IT"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it-IT" w:eastAsia="en-US" w:bidi="ar-SA"/>
    </w:rPr>
  </w:style>
  <w:style w:styleId="BodyText" w:type="paragraph">
    <w:name w:val="Body Text"/>
    <w:basedOn w:val="Normal"/>
    <w:uiPriority w:val="1"/>
    <w:qFormat/>
    <w:pPr>
      <w:ind w:left="782" w:hanging="358"/>
      <w:jc w:val="both"/>
    </w:pPr>
    <w:rPr>
      <w:rFonts w:ascii="Tahoma" w:hAnsi="Tahoma" w:eastAsia="Tahoma" w:cs="Tahoma"/>
      <w:sz w:val="20"/>
      <w:szCs w:val="20"/>
      <w:lang w:val="it-IT" w:eastAsia="en-US" w:bidi="ar-SA"/>
    </w:rPr>
  </w:style>
  <w:style w:styleId="Heading1" w:type="paragraph">
    <w:name w:val="Heading 1"/>
    <w:basedOn w:val="Normal"/>
    <w:uiPriority w:val="1"/>
    <w:qFormat/>
    <w:pPr>
      <w:spacing w:before="242"/>
      <w:ind w:left="141"/>
      <w:jc w:val="both"/>
      <w:outlineLvl w:val="1"/>
    </w:pPr>
    <w:rPr>
      <w:rFonts w:ascii="Tahoma" w:hAnsi="Tahoma" w:eastAsia="Tahoma" w:cs="Tahoma"/>
      <w:b/>
      <w:bCs/>
      <w:sz w:val="28"/>
      <w:szCs w:val="28"/>
      <w:lang w:val="it-IT" w:eastAsia="en-US" w:bidi="ar-SA"/>
    </w:rPr>
  </w:style>
  <w:style w:styleId="ListParagraph" w:type="paragraph">
    <w:name w:val="List Paragraph"/>
    <w:basedOn w:val="Normal"/>
    <w:uiPriority w:val="1"/>
    <w:qFormat/>
    <w:pPr>
      <w:ind w:left="782" w:right="141" w:hanging="358"/>
      <w:jc w:val="both"/>
    </w:pPr>
    <w:rPr>
      <w:rFonts w:ascii="Tahoma" w:hAnsi="Tahoma" w:eastAsia="Tahoma" w:cs="Tahoma"/>
      <w:lang w:val="it-IT" w:eastAsia="en-US" w:bidi="ar-SA"/>
    </w:rPr>
  </w:style>
  <w:style w:styleId="TableParagraph" w:type="paragraph">
    <w:name w:val="Table Paragraph"/>
    <w:basedOn w:val="Normal"/>
    <w:uiPriority w:val="1"/>
    <w:qFormat/>
    <w:pPr>
      <w:spacing w:before="172"/>
    </w:pPr>
    <w:rPr>
      <w:rFonts w:ascii="Verdana" w:hAnsi="Verdana" w:eastAsia="Verdana" w:cs="Verdana"/>
      <w:lang w:val="it-I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Jacovacci Nicoletta</dc:creator>
  <dcterms:created xsi:type="dcterms:W3CDTF">2026-09-21T07:47:06Z</dcterms:created>
  <dcterms:modified xsi:type="dcterms:W3CDTF">2026-09-21T07:47:06Z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2025-11-10T00:00:00Z</vt:filetime>
  </property>
  <property fmtid="{D5CDD505-2E9C-101B-9397-08002B2CF9AE}" pid="4" name="Creator">
    <vt:lpwstr>Microsoft® Word per Microsoft 365</vt:lpwstr>
  </property>
  <property fmtid="{D5CDD505-2E9C-101B-9397-08002B2CF9AE}" pid="5" name="LastSaved">
    <vt:filetime>2026-09-21T00:00:00Z</vt:filetime>
  </property>
  <property fmtid="{D5CDD505-2E9C-101B-9397-08002B2CF9AE}" pid="6" name="MSIP_Label_d6986fb0-3baa-42d2-89d5-89f9b25e6ac9_Enabled">
    <vt:lpwstr>True</vt:lpwstr>
  </property>
  <property fmtid="{D5CDD505-2E9C-101B-9397-08002B2CF9AE}" pid="7" name="MSIP_Label_d6986fb0-3baa-42d2-89d5-89f9b25e6ac9_Method">
    <vt:lpwstr>Standard</vt:lpwstr>
  </property>
  <property fmtid="{D5CDD505-2E9C-101B-9397-08002B2CF9AE}" pid="8" name="MSIP_Label_d6986fb0-3baa-42d2-89d5-89f9b25e6ac9_SiteId">
    <vt:lpwstr>6815f468-021c-48f2-a6b2-d65c8e979dfb</vt:lpwstr>
  </property>
  <property fmtid="{D5CDD505-2E9C-101B-9397-08002B2CF9AE}" pid="9" name="Producer">
    <vt:lpwstr>Microsoft® Word per Microsoft 365</vt:lpwstr>
  </property>
</Properties>
</file>