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82252" w14:textId="66D7CB91" w:rsidR="006138F3" w:rsidRPr="0051617C" w:rsidRDefault="00485AEF" w:rsidP="00485AEF">
      <w:pPr>
        <w:autoSpaceDE w:val="0"/>
        <w:autoSpaceDN w:val="0"/>
        <w:adjustRightInd w:val="0"/>
        <w:contextualSpacing/>
        <w:jc w:val="both"/>
        <w:rPr>
          <w:color w:val="000000" w:themeColor="text1"/>
        </w:rPr>
      </w:pPr>
      <w:r w:rsidRPr="0051617C">
        <w:rPr>
          <w:color w:val="000000" w:themeColor="text1"/>
        </w:rPr>
        <w:t xml:space="preserve">Methicillin-Resistant </w:t>
      </w:r>
      <w:r w:rsidRPr="00C27D5C">
        <w:rPr>
          <w:i/>
          <w:color w:val="000000" w:themeColor="text1"/>
        </w:rPr>
        <w:t xml:space="preserve">Staphylococcus </w:t>
      </w:r>
      <w:r w:rsidR="00C27D5C">
        <w:rPr>
          <w:i/>
          <w:color w:val="000000" w:themeColor="text1"/>
        </w:rPr>
        <w:t>a</w:t>
      </w:r>
      <w:r w:rsidR="00754114" w:rsidRPr="00C27D5C">
        <w:rPr>
          <w:i/>
          <w:color w:val="000000" w:themeColor="text1"/>
        </w:rPr>
        <w:t>ureus</w:t>
      </w:r>
      <w:r w:rsidR="00C27D5C">
        <w:rPr>
          <w:color w:val="000000" w:themeColor="text1"/>
        </w:rPr>
        <w:t xml:space="preserve"> i</w:t>
      </w:r>
      <w:r w:rsidR="00906E08">
        <w:rPr>
          <w:color w:val="000000" w:themeColor="text1"/>
        </w:rPr>
        <w:t>nhibited by</w:t>
      </w:r>
      <w:r w:rsidR="00754114" w:rsidRPr="0051617C">
        <w:rPr>
          <w:color w:val="000000" w:themeColor="text1"/>
        </w:rPr>
        <w:t xml:space="preserve"> Photodynamic </w:t>
      </w:r>
      <w:r w:rsidR="00C27D5C">
        <w:rPr>
          <w:color w:val="000000" w:themeColor="text1"/>
        </w:rPr>
        <w:t xml:space="preserve">Antimicrobial </w:t>
      </w:r>
      <w:r w:rsidR="00754114" w:rsidRPr="0051617C">
        <w:rPr>
          <w:color w:val="000000" w:themeColor="text1"/>
        </w:rPr>
        <w:t>Therapy</w:t>
      </w:r>
    </w:p>
    <w:p w14:paraId="61E98139" w14:textId="1FB889A8" w:rsidR="005E5ED9" w:rsidRPr="001231FF" w:rsidRDefault="00485AEF" w:rsidP="008171D8">
      <w:pPr>
        <w:rPr>
          <w:color w:val="000000" w:themeColor="text1"/>
          <w:sz w:val="22"/>
          <w:szCs w:val="22"/>
          <w:u w:val="single"/>
        </w:rPr>
      </w:pPr>
      <w:r w:rsidRPr="001231FF">
        <w:rPr>
          <w:color w:val="000000" w:themeColor="text1"/>
          <w:sz w:val="22"/>
          <w:szCs w:val="22"/>
          <w:u w:val="single"/>
        </w:rPr>
        <w:t>Anna Martinez</w:t>
      </w:r>
      <w:r w:rsidR="00C27D5C" w:rsidRPr="001231FF">
        <w:rPr>
          <w:color w:val="000000" w:themeColor="text1"/>
          <w:sz w:val="22"/>
          <w:szCs w:val="22"/>
          <w:vertAlign w:val="superscript"/>
        </w:rPr>
        <w:t>1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,2</w:t>
      </w:r>
      <w:r w:rsidR="00C27D5C" w:rsidRPr="001231FF">
        <w:rPr>
          <w:color w:val="000000" w:themeColor="text1"/>
          <w:sz w:val="22"/>
          <w:szCs w:val="22"/>
          <w:vertAlign w:val="superscript"/>
        </w:rPr>
        <w:t>A</w:t>
      </w:r>
      <w:r w:rsidRPr="001231FF">
        <w:rPr>
          <w:color w:val="000000" w:themeColor="text1"/>
          <w:sz w:val="22"/>
          <w:szCs w:val="22"/>
        </w:rPr>
        <w:t>.</w:t>
      </w:r>
      <w:r w:rsidR="00DD0AA9" w:rsidRPr="001231FF">
        <w:rPr>
          <w:color w:val="000000" w:themeColor="text1"/>
          <w:sz w:val="22"/>
          <w:szCs w:val="22"/>
        </w:rPr>
        <w:t xml:space="preserve"> </w:t>
      </w:r>
      <w:r w:rsidR="00E347C7" w:rsidRPr="001231FF">
        <w:rPr>
          <w:color w:val="000000" w:themeColor="text1"/>
          <w:sz w:val="22"/>
          <w:szCs w:val="22"/>
        </w:rPr>
        <w:t xml:space="preserve">Nicholas </w:t>
      </w:r>
      <w:r w:rsidR="00517B94" w:rsidRPr="001231FF">
        <w:rPr>
          <w:color w:val="000000" w:themeColor="text1"/>
          <w:sz w:val="22"/>
          <w:szCs w:val="22"/>
        </w:rPr>
        <w:t>Nolan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C27D5C" w:rsidRPr="001231FF">
        <w:rPr>
          <w:color w:val="000000" w:themeColor="text1"/>
          <w:sz w:val="22"/>
          <w:szCs w:val="22"/>
          <w:vertAlign w:val="superscript"/>
        </w:rPr>
        <w:t>A</w:t>
      </w:r>
      <w:r w:rsidR="00517B94" w:rsidRPr="001231FF">
        <w:rPr>
          <w:color w:val="000000" w:themeColor="text1"/>
          <w:sz w:val="22"/>
          <w:szCs w:val="22"/>
        </w:rPr>
        <w:t xml:space="preserve">, </w:t>
      </w:r>
      <w:r w:rsidR="00754114" w:rsidRPr="001231FF">
        <w:rPr>
          <w:color w:val="000000" w:themeColor="text1"/>
          <w:sz w:val="22"/>
          <w:szCs w:val="22"/>
        </w:rPr>
        <w:t>Heather Durkee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13831" w:rsidRPr="001231FF">
        <w:rPr>
          <w:color w:val="000000" w:themeColor="text1"/>
          <w:sz w:val="22"/>
          <w:szCs w:val="22"/>
          <w:vertAlign w:val="superscript"/>
        </w:rPr>
        <w:t>A</w:t>
      </w:r>
      <w:r w:rsidR="00754114" w:rsidRPr="001231FF">
        <w:rPr>
          <w:color w:val="000000" w:themeColor="text1"/>
          <w:sz w:val="22"/>
          <w:szCs w:val="22"/>
        </w:rPr>
        <w:t xml:space="preserve">, </w:t>
      </w:r>
      <w:r w:rsidRPr="001231FF">
        <w:rPr>
          <w:color w:val="000000" w:themeColor="text1"/>
          <w:sz w:val="22"/>
          <w:szCs w:val="22"/>
        </w:rPr>
        <w:t>Alejandro Arboleda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13831" w:rsidRPr="001231FF">
        <w:rPr>
          <w:color w:val="000000" w:themeColor="text1"/>
          <w:sz w:val="22"/>
          <w:szCs w:val="22"/>
          <w:vertAlign w:val="superscript"/>
        </w:rPr>
        <w:t>A</w:t>
      </w:r>
      <w:r w:rsidRPr="001231FF">
        <w:rPr>
          <w:color w:val="000000" w:themeColor="text1"/>
          <w:sz w:val="22"/>
          <w:szCs w:val="22"/>
        </w:rPr>
        <w:t xml:space="preserve">, </w:t>
      </w:r>
      <w:proofErr w:type="spellStart"/>
      <w:r w:rsidRPr="001231FF">
        <w:rPr>
          <w:color w:val="000000" w:themeColor="text1"/>
          <w:sz w:val="22"/>
          <w:szCs w:val="22"/>
        </w:rPr>
        <w:t>Nidhi</w:t>
      </w:r>
      <w:proofErr w:type="spellEnd"/>
      <w:r w:rsidRPr="001231FF">
        <w:rPr>
          <w:color w:val="000000" w:themeColor="text1"/>
          <w:sz w:val="22"/>
          <w:szCs w:val="22"/>
        </w:rPr>
        <w:t xml:space="preserve"> </w:t>
      </w:r>
      <w:proofErr w:type="spellStart"/>
      <w:r w:rsidRPr="001231FF">
        <w:rPr>
          <w:color w:val="000000" w:themeColor="text1"/>
          <w:sz w:val="22"/>
          <w:szCs w:val="22"/>
        </w:rPr>
        <w:t>Relhan</w:t>
      </w:r>
      <w:proofErr w:type="spellEnd"/>
      <w:r w:rsidR="00855897" w:rsidRPr="001231FF">
        <w:rPr>
          <w:color w:val="000000" w:themeColor="text1"/>
          <w:sz w:val="22"/>
          <w:szCs w:val="22"/>
        </w:rPr>
        <w:t xml:space="preserve"> Batra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13831" w:rsidRPr="001231FF">
        <w:rPr>
          <w:color w:val="000000" w:themeColor="text1"/>
          <w:sz w:val="22"/>
          <w:szCs w:val="22"/>
          <w:vertAlign w:val="superscript"/>
        </w:rPr>
        <w:t>A</w:t>
      </w:r>
      <w:r w:rsidRPr="001231FF">
        <w:rPr>
          <w:color w:val="000000" w:themeColor="text1"/>
          <w:sz w:val="22"/>
          <w:szCs w:val="22"/>
        </w:rPr>
        <w:t>, Mariela C. Aguilar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13831" w:rsidRPr="001231FF">
        <w:rPr>
          <w:color w:val="000000" w:themeColor="text1"/>
          <w:sz w:val="22"/>
          <w:szCs w:val="22"/>
          <w:vertAlign w:val="superscript"/>
        </w:rPr>
        <w:t>A</w:t>
      </w:r>
      <w:r w:rsidRPr="001231FF">
        <w:rPr>
          <w:color w:val="000000" w:themeColor="text1"/>
          <w:sz w:val="22"/>
          <w:szCs w:val="22"/>
        </w:rPr>
        <w:t xml:space="preserve">, </w:t>
      </w:r>
      <w:proofErr w:type="spellStart"/>
      <w:r w:rsidRPr="001231FF">
        <w:rPr>
          <w:color w:val="000000" w:themeColor="text1"/>
          <w:sz w:val="22"/>
          <w:szCs w:val="22"/>
        </w:rPr>
        <w:t>Cornelis</w:t>
      </w:r>
      <w:proofErr w:type="spellEnd"/>
      <w:r w:rsidRPr="001231FF">
        <w:rPr>
          <w:color w:val="000000" w:themeColor="text1"/>
          <w:sz w:val="22"/>
          <w:szCs w:val="22"/>
        </w:rPr>
        <w:t xml:space="preserve"> Rowaan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13831" w:rsidRPr="001231FF">
        <w:rPr>
          <w:color w:val="000000" w:themeColor="text1"/>
          <w:sz w:val="22"/>
          <w:szCs w:val="22"/>
          <w:vertAlign w:val="superscript"/>
        </w:rPr>
        <w:t>A</w:t>
      </w:r>
      <w:r w:rsidRPr="001231FF">
        <w:rPr>
          <w:color w:val="000000" w:themeColor="text1"/>
          <w:sz w:val="22"/>
          <w:szCs w:val="22"/>
        </w:rPr>
        <w:t xml:space="preserve">, </w:t>
      </w:r>
      <w:r w:rsidR="004904AF" w:rsidRPr="001231FF">
        <w:rPr>
          <w:iCs/>
          <w:color w:val="000000" w:themeColor="text1"/>
          <w:sz w:val="22"/>
          <w:szCs w:val="22"/>
        </w:rPr>
        <w:t>Alex Gonzalez</w:t>
      </w:r>
      <w:r w:rsidR="004904AF" w:rsidRPr="001231FF">
        <w:rPr>
          <w:iCs/>
          <w:color w:val="000000" w:themeColor="text1"/>
          <w:sz w:val="22"/>
          <w:szCs w:val="22"/>
          <w:vertAlign w:val="superscript"/>
        </w:rPr>
        <w:t>2A</w:t>
      </w:r>
      <w:r w:rsidR="004904AF" w:rsidRPr="001231FF">
        <w:rPr>
          <w:iCs/>
          <w:color w:val="000000" w:themeColor="text1"/>
          <w:sz w:val="22"/>
          <w:szCs w:val="22"/>
        </w:rPr>
        <w:t>,</w:t>
      </w:r>
      <w:r w:rsidR="004904AF" w:rsidRPr="001231FF">
        <w:rPr>
          <w:color w:val="000000" w:themeColor="text1"/>
          <w:sz w:val="22"/>
          <w:szCs w:val="22"/>
        </w:rPr>
        <w:t xml:space="preserve"> </w:t>
      </w:r>
      <w:r w:rsidRPr="001231FF">
        <w:rPr>
          <w:color w:val="000000" w:themeColor="text1"/>
          <w:sz w:val="22"/>
          <w:szCs w:val="22"/>
        </w:rPr>
        <w:t>Guillermo Amescua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13831" w:rsidRPr="001231FF">
        <w:rPr>
          <w:color w:val="000000" w:themeColor="text1"/>
          <w:sz w:val="22"/>
          <w:szCs w:val="22"/>
          <w:vertAlign w:val="superscript"/>
        </w:rPr>
        <w:t>B</w:t>
      </w:r>
      <w:r w:rsidR="00906E08" w:rsidRPr="001231FF">
        <w:rPr>
          <w:iCs/>
          <w:color w:val="000000" w:themeColor="text1"/>
          <w:sz w:val="22"/>
          <w:szCs w:val="22"/>
        </w:rPr>
        <w:t>,</w:t>
      </w:r>
      <w:r w:rsidR="00906E08" w:rsidRPr="001231FF">
        <w:rPr>
          <w:color w:val="000000" w:themeColor="text1"/>
          <w:sz w:val="22"/>
          <w:szCs w:val="22"/>
        </w:rPr>
        <w:t xml:space="preserve"> </w:t>
      </w:r>
      <w:r w:rsidRPr="001231FF">
        <w:rPr>
          <w:color w:val="000000" w:themeColor="text1"/>
          <w:sz w:val="22"/>
          <w:szCs w:val="22"/>
        </w:rPr>
        <w:t>Harry W. Flynn Jr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6714DC" w:rsidRPr="001231FF">
        <w:rPr>
          <w:color w:val="000000" w:themeColor="text1"/>
          <w:sz w:val="22"/>
          <w:szCs w:val="22"/>
          <w:vertAlign w:val="superscript"/>
        </w:rPr>
        <w:t>B</w:t>
      </w:r>
      <w:r w:rsidRPr="001231FF">
        <w:rPr>
          <w:color w:val="000000" w:themeColor="text1"/>
          <w:sz w:val="22"/>
          <w:szCs w:val="22"/>
        </w:rPr>
        <w:t>, Darlene Miller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2B,2</w:t>
      </w:r>
      <w:r w:rsidR="009F50E3" w:rsidRPr="001231FF">
        <w:rPr>
          <w:color w:val="000000" w:themeColor="text1"/>
          <w:sz w:val="22"/>
          <w:szCs w:val="22"/>
          <w:vertAlign w:val="superscript"/>
        </w:rPr>
        <w:t>C</w:t>
      </w:r>
      <w:r w:rsidRPr="001231FF">
        <w:rPr>
          <w:color w:val="000000" w:themeColor="text1"/>
          <w:sz w:val="22"/>
          <w:szCs w:val="22"/>
        </w:rPr>
        <w:t>, Jean-Marie Parel</w:t>
      </w:r>
      <w:r w:rsidR="00906E08" w:rsidRPr="001231FF">
        <w:rPr>
          <w:color w:val="000000" w:themeColor="text1"/>
          <w:sz w:val="22"/>
          <w:szCs w:val="22"/>
          <w:vertAlign w:val="superscript"/>
        </w:rPr>
        <w:t>2</w:t>
      </w:r>
      <w:r w:rsidR="009F50E3" w:rsidRPr="001231FF">
        <w:rPr>
          <w:color w:val="000000" w:themeColor="text1"/>
          <w:sz w:val="22"/>
          <w:szCs w:val="22"/>
          <w:vertAlign w:val="superscript"/>
        </w:rPr>
        <w:t>A</w:t>
      </w:r>
    </w:p>
    <w:p w14:paraId="330FF2E5" w14:textId="5915EFAD" w:rsidR="004904AF" w:rsidRPr="001231FF" w:rsidRDefault="00485AEF" w:rsidP="000326D7">
      <w:pPr>
        <w:jc w:val="both"/>
        <w:rPr>
          <w:color w:val="000000" w:themeColor="text1"/>
          <w:sz w:val="22"/>
          <w:szCs w:val="22"/>
        </w:rPr>
      </w:pPr>
      <w:r w:rsidRPr="001231FF">
        <w:rPr>
          <w:color w:val="000000" w:themeColor="text1"/>
          <w:sz w:val="22"/>
          <w:szCs w:val="22"/>
          <w:vertAlign w:val="superscript"/>
        </w:rPr>
        <w:t>1</w:t>
      </w:r>
      <w:r w:rsidR="00906E08" w:rsidRPr="001231FF">
        <w:rPr>
          <w:color w:val="000000" w:themeColor="text1"/>
          <w:sz w:val="22"/>
          <w:szCs w:val="22"/>
        </w:rPr>
        <w:t>Massachusetts Institute of Technology</w:t>
      </w:r>
      <w:r w:rsidR="004904AF" w:rsidRPr="001231FF">
        <w:rPr>
          <w:color w:val="000000" w:themeColor="text1"/>
          <w:sz w:val="22"/>
          <w:szCs w:val="22"/>
        </w:rPr>
        <w:t>, Cambridge, MA.</w:t>
      </w:r>
    </w:p>
    <w:p w14:paraId="560F54F4" w14:textId="0F559FEF" w:rsidR="00450FFF" w:rsidRPr="001231FF" w:rsidRDefault="00906E08" w:rsidP="000326D7">
      <w:pPr>
        <w:jc w:val="both"/>
        <w:rPr>
          <w:color w:val="000000" w:themeColor="text1"/>
          <w:sz w:val="22"/>
          <w:szCs w:val="22"/>
        </w:rPr>
        <w:sectPr w:rsidR="00450FFF" w:rsidRPr="001231FF" w:rsidSect="00667822"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  <w:r w:rsidRPr="001231FF">
        <w:rPr>
          <w:color w:val="000000" w:themeColor="text1"/>
          <w:sz w:val="22"/>
          <w:szCs w:val="22"/>
          <w:vertAlign w:val="superscript"/>
        </w:rPr>
        <w:t>2A</w:t>
      </w:r>
      <w:r w:rsidRPr="001231FF">
        <w:rPr>
          <w:color w:val="000000" w:themeColor="text1"/>
          <w:sz w:val="22"/>
          <w:szCs w:val="22"/>
        </w:rPr>
        <w:t>O</w:t>
      </w:r>
      <w:r w:rsidR="006714DC" w:rsidRPr="001231FF">
        <w:rPr>
          <w:color w:val="000000" w:themeColor="text1"/>
          <w:sz w:val="22"/>
          <w:szCs w:val="22"/>
        </w:rPr>
        <w:t>phthalmic Biophysics Center</w:t>
      </w:r>
      <w:r w:rsidR="004904AF" w:rsidRPr="001231FF">
        <w:rPr>
          <w:color w:val="000000" w:themeColor="text1"/>
          <w:sz w:val="22"/>
          <w:szCs w:val="22"/>
        </w:rPr>
        <w:t>,</w:t>
      </w:r>
      <w:r w:rsidR="00485AEF" w:rsidRPr="001231FF">
        <w:rPr>
          <w:color w:val="000000" w:themeColor="text1"/>
          <w:sz w:val="22"/>
          <w:szCs w:val="22"/>
        </w:rPr>
        <w:t xml:space="preserve"> </w:t>
      </w:r>
      <w:r w:rsidRPr="001231FF">
        <w:rPr>
          <w:color w:val="000000" w:themeColor="text1"/>
          <w:sz w:val="22"/>
          <w:szCs w:val="22"/>
          <w:vertAlign w:val="superscript"/>
        </w:rPr>
        <w:t>2</w:t>
      </w:r>
      <w:r w:rsidR="00485AEF" w:rsidRPr="001231FF">
        <w:rPr>
          <w:color w:val="000000" w:themeColor="text1"/>
          <w:sz w:val="22"/>
          <w:szCs w:val="22"/>
          <w:vertAlign w:val="superscript"/>
        </w:rPr>
        <w:t>B</w:t>
      </w:r>
      <w:r w:rsidR="006714DC" w:rsidRPr="001231FF">
        <w:rPr>
          <w:color w:val="000000" w:themeColor="text1"/>
          <w:sz w:val="22"/>
          <w:szCs w:val="22"/>
        </w:rPr>
        <w:t>Anne Bates Leach Eye Hospital</w:t>
      </w:r>
      <w:r w:rsidR="004904AF" w:rsidRPr="001231FF">
        <w:rPr>
          <w:color w:val="000000" w:themeColor="text1"/>
          <w:sz w:val="22"/>
          <w:szCs w:val="22"/>
        </w:rPr>
        <w:t>,</w:t>
      </w:r>
      <w:r w:rsidR="00485AEF" w:rsidRPr="001231FF">
        <w:rPr>
          <w:color w:val="000000" w:themeColor="text1"/>
          <w:sz w:val="22"/>
          <w:szCs w:val="22"/>
        </w:rPr>
        <w:t xml:space="preserve"> </w:t>
      </w:r>
      <w:r w:rsidRPr="001231FF">
        <w:rPr>
          <w:color w:val="000000" w:themeColor="text1"/>
          <w:sz w:val="22"/>
          <w:szCs w:val="22"/>
          <w:vertAlign w:val="superscript"/>
        </w:rPr>
        <w:t>2</w:t>
      </w:r>
      <w:r w:rsidR="00485AEF" w:rsidRPr="001231FF">
        <w:rPr>
          <w:color w:val="000000" w:themeColor="text1"/>
          <w:sz w:val="22"/>
          <w:szCs w:val="22"/>
          <w:vertAlign w:val="superscript"/>
        </w:rPr>
        <w:t>C</w:t>
      </w:r>
      <w:r w:rsidR="00485AEF" w:rsidRPr="001231FF">
        <w:rPr>
          <w:color w:val="000000" w:themeColor="text1"/>
          <w:sz w:val="22"/>
          <w:szCs w:val="22"/>
        </w:rPr>
        <w:t>Ocular Microbiology Laboratory</w:t>
      </w:r>
      <w:r w:rsidR="006714DC" w:rsidRPr="001231FF">
        <w:rPr>
          <w:color w:val="000000" w:themeColor="text1"/>
          <w:sz w:val="22"/>
          <w:szCs w:val="22"/>
        </w:rPr>
        <w:t>,</w:t>
      </w:r>
      <w:r w:rsidR="00485AEF" w:rsidRPr="001231FF">
        <w:rPr>
          <w:color w:val="000000" w:themeColor="text1"/>
          <w:sz w:val="22"/>
          <w:szCs w:val="22"/>
        </w:rPr>
        <w:t xml:space="preserve"> Department of Ophthalmology, Bascom Palmer Eye Institute, University of Miami Mille</w:t>
      </w:r>
      <w:r w:rsidR="00754114" w:rsidRPr="001231FF">
        <w:rPr>
          <w:color w:val="000000" w:themeColor="text1"/>
          <w:sz w:val="22"/>
          <w:szCs w:val="22"/>
        </w:rPr>
        <w:t>r</w:t>
      </w:r>
      <w:r w:rsidR="004904AF" w:rsidRPr="001231FF">
        <w:rPr>
          <w:color w:val="000000" w:themeColor="text1"/>
          <w:sz w:val="22"/>
          <w:szCs w:val="22"/>
        </w:rPr>
        <w:t xml:space="preserve"> School of Medicine, Miami, FL.</w:t>
      </w:r>
    </w:p>
    <w:p w14:paraId="4918BD06" w14:textId="1D956744" w:rsidR="00D47BBE" w:rsidRPr="00906E08" w:rsidRDefault="001A2365" w:rsidP="00906E08">
      <w:pPr>
        <w:autoSpaceDE w:val="0"/>
        <w:autoSpaceDN w:val="0"/>
        <w:adjustRightInd w:val="0"/>
        <w:contextualSpacing/>
        <w:jc w:val="both"/>
        <w:rPr>
          <w:color w:val="000000" w:themeColor="text1"/>
          <w:sz w:val="22"/>
          <w:szCs w:val="22"/>
        </w:rPr>
      </w:pPr>
      <w:r w:rsidRPr="006714DC">
        <w:rPr>
          <w:b/>
          <w:bCs/>
          <w:color w:val="000000" w:themeColor="text1"/>
          <w:sz w:val="22"/>
          <w:szCs w:val="22"/>
        </w:rPr>
        <w:lastRenderedPageBreak/>
        <w:t>Introduction</w:t>
      </w:r>
      <w:r w:rsidR="0034221C" w:rsidRPr="006714DC">
        <w:rPr>
          <w:b/>
          <w:bCs/>
          <w:color w:val="000000" w:themeColor="text1"/>
          <w:sz w:val="22"/>
          <w:szCs w:val="22"/>
        </w:rPr>
        <w:t xml:space="preserve">: </w:t>
      </w:r>
      <w:r w:rsidR="0051617C" w:rsidRPr="00417C0E">
        <w:rPr>
          <w:bCs/>
          <w:color w:val="000000" w:themeColor="text1"/>
          <w:sz w:val="22"/>
          <w:szCs w:val="22"/>
        </w:rPr>
        <w:t>Methic</w:t>
      </w:r>
      <w:r w:rsidR="00DD0AA9" w:rsidRPr="00417C0E">
        <w:rPr>
          <w:bCs/>
          <w:color w:val="000000" w:themeColor="text1"/>
          <w:sz w:val="22"/>
          <w:szCs w:val="22"/>
        </w:rPr>
        <w:t xml:space="preserve">illin-Resistant </w:t>
      </w:r>
      <w:r w:rsidR="00DD0AA9" w:rsidRPr="00417C0E">
        <w:rPr>
          <w:bCs/>
          <w:i/>
          <w:color w:val="000000" w:themeColor="text1"/>
          <w:sz w:val="22"/>
          <w:szCs w:val="22"/>
        </w:rPr>
        <w:t>Staphylococcus a</w:t>
      </w:r>
      <w:r w:rsidR="0051617C" w:rsidRPr="00417C0E">
        <w:rPr>
          <w:bCs/>
          <w:i/>
          <w:color w:val="000000" w:themeColor="text1"/>
          <w:sz w:val="22"/>
          <w:szCs w:val="22"/>
        </w:rPr>
        <w:t>ureus</w:t>
      </w:r>
      <w:r w:rsidR="0051617C" w:rsidRPr="00417C0E">
        <w:rPr>
          <w:bCs/>
          <w:color w:val="000000" w:themeColor="text1"/>
          <w:sz w:val="22"/>
          <w:szCs w:val="22"/>
        </w:rPr>
        <w:t xml:space="preserve"> (MRSA) keratitis</w:t>
      </w:r>
      <w:r w:rsidR="000B7528">
        <w:rPr>
          <w:bCs/>
          <w:color w:val="000000" w:themeColor="text1"/>
          <w:sz w:val="22"/>
          <w:szCs w:val="22"/>
        </w:rPr>
        <w:t xml:space="preserve"> </w:t>
      </w:r>
      <w:r w:rsidR="00485AEF" w:rsidRPr="006714DC">
        <w:rPr>
          <w:bCs/>
          <w:color w:val="000000" w:themeColor="text1"/>
          <w:sz w:val="22"/>
          <w:szCs w:val="22"/>
        </w:rPr>
        <w:t>is a serious corneal infection which may result in vision</w:t>
      </w:r>
      <w:r w:rsidR="006714DC" w:rsidRPr="006714DC">
        <w:rPr>
          <w:bCs/>
          <w:color w:val="000000" w:themeColor="text1"/>
          <w:sz w:val="22"/>
          <w:szCs w:val="22"/>
        </w:rPr>
        <w:t xml:space="preserve"> loss</w:t>
      </w:r>
      <w:r w:rsidR="00485AEF" w:rsidRPr="006714DC">
        <w:rPr>
          <w:bCs/>
          <w:color w:val="000000" w:themeColor="text1"/>
          <w:sz w:val="22"/>
          <w:szCs w:val="22"/>
        </w:rPr>
        <w:t xml:space="preserve">. </w:t>
      </w:r>
      <w:r w:rsidR="000B7528">
        <w:rPr>
          <w:bCs/>
          <w:color w:val="000000" w:themeColor="text1"/>
          <w:sz w:val="22"/>
          <w:szCs w:val="22"/>
        </w:rPr>
        <w:t>C</w:t>
      </w:r>
      <w:r w:rsidR="000B7528" w:rsidRPr="006714DC">
        <w:rPr>
          <w:bCs/>
          <w:color w:val="000000" w:themeColor="text1"/>
          <w:sz w:val="22"/>
          <w:szCs w:val="22"/>
        </w:rPr>
        <w:t>urrent</w:t>
      </w:r>
      <w:r w:rsidR="000B7528">
        <w:rPr>
          <w:bCs/>
          <w:color w:val="000000" w:themeColor="text1"/>
          <w:sz w:val="22"/>
          <w:szCs w:val="22"/>
        </w:rPr>
        <w:t>ly available topical</w:t>
      </w:r>
      <w:r w:rsidR="000B7528" w:rsidRPr="006714DC">
        <w:rPr>
          <w:bCs/>
          <w:color w:val="000000" w:themeColor="text1"/>
          <w:sz w:val="22"/>
          <w:szCs w:val="22"/>
        </w:rPr>
        <w:t xml:space="preserve"> antibiotic</w:t>
      </w:r>
      <w:r w:rsidR="000B7528">
        <w:rPr>
          <w:bCs/>
          <w:color w:val="000000" w:themeColor="text1"/>
          <w:sz w:val="22"/>
          <w:szCs w:val="22"/>
        </w:rPr>
        <w:t>s are increasingly resistant to both healthcare (SCCmec II, USA 100) and community (SCCmec IV, US300) associated corneal isolates.</w:t>
      </w:r>
      <w:r w:rsidR="000B7528">
        <w:rPr>
          <w:color w:val="000000" w:themeColor="text1"/>
          <w:sz w:val="22"/>
          <w:szCs w:val="22"/>
        </w:rPr>
        <w:t xml:space="preserve"> </w:t>
      </w:r>
      <w:r w:rsidR="004904AF">
        <w:rPr>
          <w:color w:val="000000" w:themeColor="text1"/>
          <w:sz w:val="22"/>
          <w:szCs w:val="22"/>
        </w:rPr>
        <w:t>An</w:t>
      </w:r>
      <w:r w:rsidR="00485AEF" w:rsidRPr="006714DC">
        <w:rPr>
          <w:color w:val="000000" w:themeColor="text1"/>
          <w:sz w:val="22"/>
          <w:szCs w:val="22"/>
        </w:rPr>
        <w:t xml:space="preserve"> emerging alternate treatment is photodynamic antimicrobial therapy (PDAT). In this </w:t>
      </w:r>
      <w:r w:rsidR="00485AEF" w:rsidRPr="006714DC">
        <w:rPr>
          <w:i/>
          <w:color w:val="000000" w:themeColor="text1"/>
          <w:sz w:val="22"/>
          <w:szCs w:val="22"/>
        </w:rPr>
        <w:t xml:space="preserve">in vitro </w:t>
      </w:r>
      <w:r w:rsidR="00906E08">
        <w:rPr>
          <w:color w:val="000000" w:themeColor="text1"/>
          <w:sz w:val="22"/>
          <w:szCs w:val="22"/>
        </w:rPr>
        <w:t xml:space="preserve">study, the </w:t>
      </w:r>
      <w:r w:rsidR="00485AEF" w:rsidRPr="006714DC">
        <w:rPr>
          <w:color w:val="000000" w:themeColor="text1"/>
          <w:sz w:val="22"/>
          <w:szCs w:val="22"/>
        </w:rPr>
        <w:t>efficacy of rose bengal (RB) and riboflavin (Ribo) mediated PDAT for the inhibition of healthcare and community-acquired MRSA strains is assessed.</w:t>
      </w:r>
    </w:p>
    <w:p w14:paraId="55186C3D" w14:textId="1E2ED8DF" w:rsidR="00D47BBE" w:rsidRPr="00906E08" w:rsidRDefault="001A2365" w:rsidP="00906E08">
      <w:pPr>
        <w:autoSpaceDE w:val="0"/>
        <w:autoSpaceDN w:val="0"/>
        <w:adjustRightInd w:val="0"/>
        <w:contextualSpacing/>
        <w:rPr>
          <w:color w:val="000000" w:themeColor="text1"/>
          <w:sz w:val="22"/>
          <w:szCs w:val="22"/>
        </w:rPr>
      </w:pPr>
      <w:r w:rsidRPr="006714DC">
        <w:rPr>
          <w:b/>
          <w:bCs/>
          <w:color w:val="000000" w:themeColor="text1"/>
          <w:sz w:val="22"/>
          <w:szCs w:val="22"/>
        </w:rPr>
        <w:t xml:space="preserve">Materials and </w:t>
      </w:r>
      <w:r w:rsidR="0034221C" w:rsidRPr="006714DC">
        <w:rPr>
          <w:b/>
          <w:bCs/>
          <w:color w:val="000000" w:themeColor="text1"/>
          <w:sz w:val="22"/>
          <w:szCs w:val="22"/>
        </w:rPr>
        <w:t>Methods:</w:t>
      </w:r>
      <w:r w:rsidR="0034221C" w:rsidRPr="006714DC">
        <w:rPr>
          <w:color w:val="000000" w:themeColor="text1"/>
          <w:sz w:val="22"/>
          <w:szCs w:val="22"/>
        </w:rPr>
        <w:t xml:space="preserve"> </w:t>
      </w:r>
      <w:r w:rsidR="001C7042">
        <w:rPr>
          <w:color w:val="000000" w:themeColor="text1"/>
          <w:sz w:val="22"/>
          <w:szCs w:val="22"/>
          <w:shd w:val="clear" w:color="auto" w:fill="FFFFFF"/>
        </w:rPr>
        <w:t>MRSA SCCmec II and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IV strains were isolated from the corneal scraping of patients with confirmed bacterial keratitis. Twenty-four hours prior to experimentation, parent cultures were</w:t>
      </w:r>
      <w:r w:rsidR="00754114" w:rsidRPr="006714DC">
        <w:rPr>
          <w:color w:val="000000" w:themeColor="text1"/>
          <w:sz w:val="22"/>
          <w:szCs w:val="22"/>
          <w:shd w:val="clear" w:color="auto" w:fill="FFFFFF"/>
        </w:rPr>
        <w:t xml:space="preserve"> plated on blood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agar. Next, a culture of MRSA was transferred into tryptic soy broth and adjusted to a concentration of 1.5x10</w:t>
      </w:r>
      <w:r w:rsidR="00485AEF" w:rsidRPr="006714DC">
        <w:rPr>
          <w:color w:val="000000" w:themeColor="text1"/>
          <w:sz w:val="22"/>
          <w:szCs w:val="22"/>
          <w:vertAlign w:val="superscript"/>
        </w:rPr>
        <w:t>8</w:t>
      </w:r>
      <w:r w:rsidR="00485AEF" w:rsidRPr="006714DC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colony forming units per mL (cfu/mL). </w:t>
      </w:r>
      <w:r w:rsidR="005A48F9" w:rsidRPr="006714DC">
        <w:rPr>
          <w:color w:val="000000" w:themeColor="text1"/>
          <w:sz w:val="22"/>
          <w:szCs w:val="22"/>
          <w:shd w:val="clear" w:color="auto" w:fill="FFFFFF"/>
        </w:rPr>
        <w:t>Serial dilutions were p</w:t>
      </w:r>
      <w:r w:rsidR="004904AF">
        <w:rPr>
          <w:color w:val="000000" w:themeColor="text1"/>
          <w:sz w:val="22"/>
          <w:szCs w:val="22"/>
          <w:shd w:val="clear" w:color="auto" w:fill="FFFFFF"/>
        </w:rPr>
        <w:t>repare</w:t>
      </w:r>
      <w:r w:rsidR="005A48F9" w:rsidRPr="006714DC">
        <w:rPr>
          <w:color w:val="000000" w:themeColor="text1"/>
          <w:sz w:val="22"/>
          <w:szCs w:val="22"/>
          <w:shd w:val="clear" w:color="auto" w:fill="FFFFFF"/>
        </w:rPr>
        <w:t xml:space="preserve">d for both rose </w:t>
      </w:r>
      <w:r w:rsidR="0051617C" w:rsidRPr="006714DC">
        <w:rPr>
          <w:color w:val="000000" w:themeColor="text1"/>
          <w:sz w:val="22"/>
          <w:szCs w:val="22"/>
          <w:shd w:val="clear" w:color="auto" w:fill="FFFFFF"/>
        </w:rPr>
        <w:t>b</w:t>
      </w:r>
      <w:r w:rsidR="005A48F9" w:rsidRPr="006714DC">
        <w:rPr>
          <w:color w:val="000000" w:themeColor="text1"/>
          <w:sz w:val="22"/>
          <w:szCs w:val="22"/>
          <w:shd w:val="clear" w:color="auto" w:fill="FFFFFF"/>
        </w:rPr>
        <w:t xml:space="preserve">engal (0.2%, 0.1%, 0.05%, 0.025%, 0.0125%) and riboflavin (0.2%, 0.1%, 0.05%) solutions.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>The MRSA suspension was diluted to a concentration of 1.5x10</w:t>
      </w:r>
      <w:r w:rsidR="0051617C" w:rsidRPr="006714DC">
        <w:rPr>
          <w:color w:val="000000" w:themeColor="text1"/>
          <w:sz w:val="22"/>
          <w:szCs w:val="22"/>
          <w:vertAlign w:val="superscript"/>
        </w:rPr>
        <w:t>6</w:t>
      </w:r>
      <w:r w:rsidR="00855897" w:rsidRPr="006714DC">
        <w:rPr>
          <w:color w:val="000000" w:themeColor="text1"/>
          <w:sz w:val="22"/>
          <w:szCs w:val="22"/>
          <w:vertAlign w:val="superscript"/>
        </w:rPr>
        <w:t xml:space="preserve">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cfu/mL with the </w:t>
      </w:r>
      <w:r w:rsidR="004904AF">
        <w:rPr>
          <w:color w:val="000000" w:themeColor="text1"/>
          <w:sz w:val="22"/>
          <w:szCs w:val="22"/>
          <w:shd w:val="clear" w:color="auto" w:fill="FFFFFF"/>
        </w:rPr>
        <w:t>respective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5A48F9" w:rsidRPr="006714DC">
        <w:rPr>
          <w:color w:val="000000" w:themeColor="text1"/>
          <w:sz w:val="22"/>
          <w:szCs w:val="22"/>
          <w:shd w:val="clear" w:color="auto" w:fill="FFFFFF"/>
        </w:rPr>
        <w:t xml:space="preserve">photosensitizing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>solution</w:t>
      </w:r>
      <w:r w:rsidR="00855897" w:rsidRPr="006714DC">
        <w:rPr>
          <w:color w:val="000000" w:themeColor="text1"/>
          <w:sz w:val="22"/>
          <w:szCs w:val="22"/>
          <w:shd w:val="clear" w:color="auto" w:fill="FFFFFF"/>
        </w:rPr>
        <w:t>s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and 1mL aliquots were inoculated in triplicate onto blood agar plates. The eight groups </w:t>
      </w:r>
      <w:r w:rsidR="00E44158" w:rsidRPr="006714DC">
        <w:rPr>
          <w:color w:val="000000" w:themeColor="text1"/>
          <w:sz w:val="22"/>
          <w:szCs w:val="22"/>
          <w:shd w:val="clear" w:color="auto" w:fill="FFFFFF"/>
        </w:rPr>
        <w:t xml:space="preserve">for each </w:t>
      </w:r>
      <w:r w:rsidR="005A48F9" w:rsidRPr="006714DC">
        <w:rPr>
          <w:color w:val="000000" w:themeColor="text1"/>
          <w:sz w:val="22"/>
          <w:szCs w:val="22"/>
          <w:shd w:val="clear" w:color="auto" w:fill="FFFFFF"/>
        </w:rPr>
        <w:t>concentration</w:t>
      </w:r>
      <w:r w:rsidR="00E44158" w:rsidRPr="006714DC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were: (1) Control (high purity </w:t>
      </w:r>
      <w:r w:rsidR="00906E08">
        <w:rPr>
          <w:color w:val="000000" w:themeColor="text1"/>
          <w:sz w:val="22"/>
          <w:szCs w:val="22"/>
          <w:shd w:val="clear" w:color="auto" w:fill="FFFFFF"/>
        </w:rPr>
        <w:t xml:space="preserve">sterile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water) (2) UV-A irradiation </w:t>
      </w:r>
      <w:r w:rsidR="00C27D5C" w:rsidRPr="006714DC">
        <w:rPr>
          <w:color w:val="000000" w:themeColor="text1"/>
          <w:sz w:val="22"/>
          <w:szCs w:val="22"/>
          <w:shd w:val="clear" w:color="auto" w:fill="FFFFFF"/>
        </w:rPr>
        <w:t xml:space="preserve">(375 nm)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(3) Ribo </w:t>
      </w:r>
      <w:r w:rsidR="00754114" w:rsidRPr="006714DC">
        <w:rPr>
          <w:color w:val="000000" w:themeColor="text1"/>
          <w:sz w:val="22"/>
          <w:szCs w:val="22"/>
          <w:shd w:val="clear" w:color="auto" w:fill="FFFFFF"/>
        </w:rPr>
        <w:t xml:space="preserve">only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>(4) Ribo + UV-A (5) RB</w:t>
      </w:r>
      <w:r w:rsidR="00754114" w:rsidRPr="006714DC">
        <w:rPr>
          <w:color w:val="000000" w:themeColor="text1"/>
          <w:sz w:val="22"/>
          <w:szCs w:val="22"/>
          <w:shd w:val="clear" w:color="auto" w:fill="FFFFFF"/>
        </w:rPr>
        <w:t xml:space="preserve"> only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(6) RB + </w:t>
      </w:r>
      <w:r w:rsidR="00C27D5C" w:rsidRPr="006714DC">
        <w:rPr>
          <w:color w:val="000000" w:themeColor="text1"/>
          <w:sz w:val="22"/>
          <w:szCs w:val="22"/>
          <w:shd w:val="clear" w:color="auto" w:fill="FFFFFF"/>
        </w:rPr>
        <w:t>Green LED (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>518</w:t>
      </w:r>
      <w:r w:rsidR="00C27D5C" w:rsidRPr="006714DC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>nm</w:t>
      </w:r>
      <w:r w:rsidR="00C27D5C" w:rsidRPr="006714DC">
        <w:rPr>
          <w:color w:val="000000" w:themeColor="text1"/>
          <w:sz w:val="22"/>
          <w:szCs w:val="22"/>
          <w:shd w:val="clear" w:color="auto" w:fill="FFFFFF"/>
        </w:rPr>
        <w:t>)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(7) RB </w:t>
      </w:r>
      <w:r w:rsidR="00E44158" w:rsidRPr="006714DC">
        <w:rPr>
          <w:color w:val="000000" w:themeColor="text1"/>
          <w:sz w:val="22"/>
          <w:szCs w:val="22"/>
          <w:shd w:val="clear" w:color="auto" w:fill="FFFFFF"/>
        </w:rPr>
        <w:t xml:space="preserve">+ 15 min ambient light 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(8) RB + </w:t>
      </w:r>
      <w:r w:rsidR="00E44158" w:rsidRPr="006714DC">
        <w:rPr>
          <w:color w:val="000000" w:themeColor="text1"/>
          <w:sz w:val="22"/>
          <w:szCs w:val="22"/>
          <w:shd w:val="clear" w:color="auto" w:fill="FFFFFF"/>
        </w:rPr>
        <w:t>30 min ambient</w:t>
      </w:r>
      <w:r w:rsidR="006714DC" w:rsidRPr="006714DC">
        <w:rPr>
          <w:color w:val="000000" w:themeColor="text1"/>
          <w:sz w:val="22"/>
          <w:szCs w:val="22"/>
          <w:shd w:val="clear" w:color="auto" w:fill="FFFFFF"/>
        </w:rPr>
        <w:t xml:space="preserve"> light. The UV-A and G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>reen lights are custom built</w:t>
      </w:r>
      <w:r w:rsidR="004904AF">
        <w:rPr>
          <w:color w:val="000000" w:themeColor="text1"/>
          <w:sz w:val="22"/>
          <w:szCs w:val="22"/>
          <w:shd w:val="clear" w:color="auto" w:fill="FFFFFF"/>
        </w:rPr>
        <w:t xml:space="preserve"> 6 </w:t>
      </w:r>
      <w:proofErr w:type="spellStart"/>
      <w:r w:rsidR="004904AF">
        <w:rPr>
          <w:color w:val="000000" w:themeColor="text1"/>
          <w:sz w:val="22"/>
          <w:szCs w:val="22"/>
          <w:shd w:val="clear" w:color="auto" w:fill="FFFFFF"/>
        </w:rPr>
        <w:t>mW</w:t>
      </w:r>
      <w:proofErr w:type="spellEnd"/>
      <w:r w:rsidR="004904AF">
        <w:rPr>
          <w:color w:val="000000" w:themeColor="text1"/>
          <w:sz w:val="22"/>
          <w:szCs w:val="22"/>
          <w:shd w:val="clear" w:color="auto" w:fill="FFFFFF"/>
        </w:rPr>
        <w:t>/cm</w:t>
      </w:r>
      <w:r w:rsidR="004904AF" w:rsidRPr="004904AF">
        <w:rPr>
          <w:color w:val="000000" w:themeColor="text1"/>
          <w:sz w:val="22"/>
          <w:szCs w:val="22"/>
          <w:shd w:val="clear" w:color="auto" w:fill="FFFFFF"/>
          <w:vertAlign w:val="superscript"/>
        </w:rPr>
        <w:t>2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LED sources. Plates were either</w:t>
      </w:r>
      <w:r w:rsidR="00C27D5C" w:rsidRPr="006714DC">
        <w:rPr>
          <w:color w:val="000000" w:themeColor="text1"/>
          <w:sz w:val="22"/>
          <w:szCs w:val="22"/>
          <w:shd w:val="clear" w:color="auto" w:fill="FFFFFF"/>
        </w:rPr>
        <w:t xml:space="preserve"> exposed to UV-A (Ribo) or Green LED</w:t>
      </w:r>
      <w:r w:rsidR="00485AEF" w:rsidRPr="006714DC">
        <w:rPr>
          <w:color w:val="000000" w:themeColor="text1"/>
          <w:sz w:val="22"/>
          <w:szCs w:val="22"/>
          <w:shd w:val="clear" w:color="auto" w:fill="FFFFFF"/>
        </w:rPr>
        <w:t xml:space="preserve"> (RB) irradiation for 15 minutes. All plates were immediately placed upside down, wrapped in foil, and placed in an incubator at 30°C. Plates were photographed after 48 hours and 7 days.</w:t>
      </w:r>
      <w:r w:rsidR="00485AEF" w:rsidRPr="006714DC" w:rsidDel="006F36D6">
        <w:rPr>
          <w:color w:val="000000" w:themeColor="text1"/>
          <w:sz w:val="22"/>
          <w:szCs w:val="22"/>
        </w:rPr>
        <w:t xml:space="preserve"> </w:t>
      </w:r>
    </w:p>
    <w:p w14:paraId="2BE847AD" w14:textId="1E5148D4" w:rsidR="00FE150E" w:rsidRDefault="00C1607B" w:rsidP="001C7042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6714DC">
        <w:rPr>
          <w:b/>
          <w:bCs/>
          <w:color w:val="000000" w:themeColor="text1"/>
          <w:sz w:val="22"/>
          <w:szCs w:val="22"/>
        </w:rPr>
        <w:t>Results</w:t>
      </w:r>
      <w:r w:rsidR="00903009" w:rsidRPr="006714DC">
        <w:rPr>
          <w:b/>
          <w:bCs/>
          <w:color w:val="000000" w:themeColor="text1"/>
          <w:sz w:val="22"/>
          <w:szCs w:val="22"/>
        </w:rPr>
        <w:t xml:space="preserve"> and Discussion</w:t>
      </w:r>
      <w:r w:rsidR="0034221C" w:rsidRPr="006714DC">
        <w:rPr>
          <w:b/>
          <w:bCs/>
          <w:color w:val="000000" w:themeColor="text1"/>
          <w:sz w:val="22"/>
          <w:szCs w:val="22"/>
        </w:rPr>
        <w:t>:</w:t>
      </w:r>
      <w:r w:rsidR="0034221C" w:rsidRPr="006714DC">
        <w:rPr>
          <w:color w:val="000000" w:themeColor="text1"/>
          <w:sz w:val="22"/>
          <w:szCs w:val="22"/>
        </w:rPr>
        <w:t xml:space="preserve"> </w:t>
      </w:r>
      <w:r w:rsidR="004904AF">
        <w:rPr>
          <w:color w:val="000000" w:themeColor="text1"/>
          <w:sz w:val="22"/>
          <w:szCs w:val="22"/>
        </w:rPr>
        <w:t xml:space="preserve">Both strains of </w:t>
      </w:r>
      <w:r w:rsidR="00E44158" w:rsidRPr="006714DC">
        <w:rPr>
          <w:color w:val="000000" w:themeColor="text1"/>
          <w:sz w:val="22"/>
          <w:szCs w:val="22"/>
        </w:rPr>
        <w:t xml:space="preserve">MRSA </w:t>
      </w:r>
      <w:r w:rsidR="004904AF">
        <w:rPr>
          <w:color w:val="000000" w:themeColor="text1"/>
          <w:sz w:val="22"/>
          <w:szCs w:val="22"/>
        </w:rPr>
        <w:t>were</w:t>
      </w:r>
      <w:r w:rsidR="00E44158" w:rsidRPr="006714DC">
        <w:rPr>
          <w:color w:val="000000" w:themeColor="text1"/>
          <w:sz w:val="22"/>
          <w:szCs w:val="22"/>
        </w:rPr>
        <w:t xml:space="preserve"> inhibited by 0.2%</w:t>
      </w:r>
      <w:r w:rsidR="004904AF">
        <w:rPr>
          <w:color w:val="000000" w:themeColor="text1"/>
          <w:sz w:val="22"/>
          <w:szCs w:val="22"/>
        </w:rPr>
        <w:t xml:space="preserve"> Ribo with UV-A irradiation in a small central zone</w:t>
      </w:r>
      <w:r w:rsidR="00417C0E">
        <w:rPr>
          <w:color w:val="000000" w:themeColor="text1"/>
          <w:sz w:val="22"/>
          <w:szCs w:val="22"/>
        </w:rPr>
        <w:t>;</w:t>
      </w:r>
      <w:r w:rsidR="004904AF">
        <w:rPr>
          <w:color w:val="000000" w:themeColor="text1"/>
          <w:sz w:val="22"/>
          <w:szCs w:val="22"/>
        </w:rPr>
        <w:t xml:space="preserve"> however not within the entire area of the irradiation source. Rose bengal of all concentrations (0.2%</w:t>
      </w:r>
      <w:r w:rsidR="00E44158" w:rsidRPr="006714DC">
        <w:rPr>
          <w:color w:val="000000" w:themeColor="text1"/>
          <w:sz w:val="22"/>
          <w:szCs w:val="22"/>
        </w:rPr>
        <w:t>, 0.1%, 0.05%, 0.025%, and 0.0125%</w:t>
      </w:r>
      <w:r w:rsidR="004904AF">
        <w:rPr>
          <w:color w:val="000000" w:themeColor="text1"/>
          <w:sz w:val="22"/>
          <w:szCs w:val="22"/>
        </w:rPr>
        <w:t>) with ambient and green light light conditions demonstrated nearly 100% inhibition. Rose bengal was more effective than riboflavin at inhibiting MRSA growth.</w:t>
      </w:r>
      <w:r w:rsidR="00E44158" w:rsidRPr="006714DC">
        <w:rPr>
          <w:color w:val="000000" w:themeColor="text1"/>
          <w:sz w:val="22"/>
          <w:szCs w:val="22"/>
        </w:rPr>
        <w:t xml:space="preserve"> </w:t>
      </w:r>
      <w:r w:rsidR="00906E08">
        <w:rPr>
          <w:color w:val="000000" w:themeColor="text1"/>
          <w:sz w:val="22"/>
          <w:szCs w:val="22"/>
        </w:rPr>
        <w:t>The</w:t>
      </w:r>
      <w:r w:rsidR="00E44158" w:rsidRPr="006714DC">
        <w:rPr>
          <w:color w:val="000000" w:themeColor="text1"/>
          <w:sz w:val="22"/>
          <w:szCs w:val="22"/>
        </w:rPr>
        <w:t xml:space="preserve"> healthcare-acquired </w:t>
      </w:r>
      <w:r w:rsidR="004904AF">
        <w:rPr>
          <w:color w:val="000000" w:themeColor="text1"/>
          <w:sz w:val="22"/>
          <w:szCs w:val="22"/>
        </w:rPr>
        <w:t xml:space="preserve">and community-acquired </w:t>
      </w:r>
      <w:r w:rsidR="00E44158" w:rsidRPr="006714DC">
        <w:rPr>
          <w:color w:val="000000" w:themeColor="text1"/>
          <w:sz w:val="22"/>
          <w:szCs w:val="22"/>
        </w:rPr>
        <w:t>MRSA strain</w:t>
      </w:r>
      <w:r w:rsidR="004904AF">
        <w:rPr>
          <w:color w:val="000000" w:themeColor="text1"/>
          <w:sz w:val="22"/>
          <w:szCs w:val="22"/>
        </w:rPr>
        <w:t>s demonstrated different inhibitory efficacy to the RB PDAT.</w:t>
      </w:r>
      <w:r w:rsidR="001C7042">
        <w:rPr>
          <w:b/>
          <w:noProof/>
          <w:color w:val="000000" w:themeColor="text1"/>
          <w:sz w:val="20"/>
          <w:szCs w:val="20"/>
        </w:rPr>
        <w:t xml:space="preserve"> </w:t>
      </w:r>
    </w:p>
    <w:p w14:paraId="1EB60CE0" w14:textId="2F63B253" w:rsidR="00D47BBE" w:rsidRDefault="001C7042" w:rsidP="00FE150E">
      <w:pPr>
        <w:pStyle w:val="NormalWeb"/>
        <w:spacing w:before="0" w:beforeAutospacing="0" w:after="0" w:afterAutospacing="0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011F0FE" wp14:editId="0B047701">
            <wp:simplePos x="0" y="0"/>
            <wp:positionH relativeFrom="column">
              <wp:posOffset>165735</wp:posOffset>
            </wp:positionH>
            <wp:positionV relativeFrom="paragraph">
              <wp:posOffset>83185</wp:posOffset>
            </wp:positionV>
            <wp:extent cx="4937125" cy="2288540"/>
            <wp:effectExtent l="0" t="0" r="0" b="0"/>
            <wp:wrapSquare wrapText="bothSides"/>
            <wp:docPr id="1" name="Picture 1" descr="../../Desktop/Screen%20Shot%202016-07-29%20at%2011.15.35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7-29%20at%2011.15.35%20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203A" w14:textId="77777777" w:rsidR="001C7042" w:rsidRDefault="001C7042" w:rsidP="00FE150E">
      <w:pPr>
        <w:pStyle w:val="NormalWeb"/>
        <w:spacing w:before="0" w:beforeAutospacing="0" w:after="0" w:afterAutospacing="0"/>
        <w:rPr>
          <w:b/>
          <w:color w:val="000000" w:themeColor="text1"/>
          <w:sz w:val="20"/>
          <w:szCs w:val="20"/>
        </w:rPr>
      </w:pPr>
    </w:p>
    <w:p w14:paraId="79EDED5F" w14:textId="0D058411" w:rsidR="00F161E6" w:rsidRDefault="00FE150E" w:rsidP="00FE150E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51617C">
        <w:rPr>
          <w:b/>
          <w:color w:val="000000" w:themeColor="text1"/>
          <w:sz w:val="20"/>
          <w:szCs w:val="20"/>
        </w:rPr>
        <w:t>Figure 1.</w:t>
      </w:r>
      <w:r w:rsidRPr="0051617C">
        <w:rPr>
          <w:color w:val="000000" w:themeColor="text1"/>
          <w:sz w:val="20"/>
          <w:szCs w:val="20"/>
        </w:rPr>
        <w:t xml:space="preserve"> Results from 0.2% </w:t>
      </w:r>
      <w:r w:rsidR="00944FD5">
        <w:rPr>
          <w:color w:val="000000" w:themeColor="text1"/>
          <w:sz w:val="20"/>
          <w:szCs w:val="20"/>
        </w:rPr>
        <w:t xml:space="preserve">Ribo </w:t>
      </w:r>
      <w:r w:rsidRPr="0051617C">
        <w:rPr>
          <w:color w:val="000000" w:themeColor="text1"/>
          <w:sz w:val="20"/>
          <w:szCs w:val="20"/>
        </w:rPr>
        <w:t xml:space="preserve">and 0.1% </w:t>
      </w:r>
      <w:r w:rsidR="00944FD5">
        <w:rPr>
          <w:color w:val="000000" w:themeColor="text1"/>
          <w:sz w:val="20"/>
          <w:szCs w:val="20"/>
        </w:rPr>
        <w:t>RB</w:t>
      </w:r>
      <w:r w:rsidRPr="0051617C">
        <w:rPr>
          <w:color w:val="000000" w:themeColor="text1"/>
          <w:sz w:val="20"/>
          <w:szCs w:val="20"/>
        </w:rPr>
        <w:t xml:space="preserve"> mediated PD</w:t>
      </w:r>
      <w:r>
        <w:rPr>
          <w:color w:val="000000" w:themeColor="text1"/>
          <w:sz w:val="20"/>
          <w:szCs w:val="20"/>
        </w:rPr>
        <w:t>A</w:t>
      </w:r>
      <w:r w:rsidRPr="0051617C">
        <w:rPr>
          <w:color w:val="000000" w:themeColor="text1"/>
          <w:sz w:val="20"/>
          <w:szCs w:val="20"/>
        </w:rPr>
        <w:t xml:space="preserve">T for </w:t>
      </w:r>
      <w:r w:rsidR="001C7042">
        <w:rPr>
          <w:color w:val="000000" w:themeColor="text1"/>
          <w:sz w:val="20"/>
          <w:szCs w:val="20"/>
        </w:rPr>
        <w:t>SCCmec</w:t>
      </w:r>
      <w:r>
        <w:rPr>
          <w:color w:val="000000" w:themeColor="text1"/>
          <w:sz w:val="20"/>
          <w:szCs w:val="20"/>
        </w:rPr>
        <w:t xml:space="preserve"> II and IV</w:t>
      </w:r>
      <w:r w:rsidRPr="0051617C">
        <w:rPr>
          <w:color w:val="000000" w:themeColor="text1"/>
          <w:sz w:val="20"/>
          <w:szCs w:val="20"/>
        </w:rPr>
        <w:t xml:space="preserve"> MRSA</w:t>
      </w:r>
      <w:r>
        <w:rPr>
          <w:color w:val="000000" w:themeColor="text1"/>
          <w:sz w:val="20"/>
          <w:szCs w:val="20"/>
        </w:rPr>
        <w:t xml:space="preserve"> strains </w:t>
      </w:r>
      <w:r w:rsidRPr="0051617C">
        <w:rPr>
          <w:color w:val="000000" w:themeColor="text1"/>
          <w:sz w:val="20"/>
          <w:szCs w:val="20"/>
        </w:rPr>
        <w:t>at 48 hours.</w:t>
      </w:r>
    </w:p>
    <w:p w14:paraId="4C301DD9" w14:textId="47D14D8D" w:rsidR="00D63023" w:rsidRPr="00F161E6" w:rsidRDefault="00D63023" w:rsidP="00434409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14:paraId="6CF5F5C1" w14:textId="5DC48579" w:rsidR="000326D7" w:rsidRPr="0051617C" w:rsidRDefault="00FE150E" w:rsidP="00FE150E">
      <w:pPr>
        <w:pStyle w:val="NormalWeb"/>
        <w:tabs>
          <w:tab w:val="left" w:pos="3300"/>
        </w:tabs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</w:p>
    <w:p w14:paraId="2FE05B85" w14:textId="3D1EDD87" w:rsidR="00FE150E" w:rsidRDefault="00FE150E" w:rsidP="00434409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1861FD94" w14:textId="77777777" w:rsidR="00FE150E" w:rsidRDefault="00FE150E" w:rsidP="00434409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1051972B" w14:textId="77777777" w:rsidR="00944FD5" w:rsidRDefault="00944FD5" w:rsidP="004555DD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25210053" w14:textId="77777777" w:rsidR="00944FD5" w:rsidRDefault="00944FD5" w:rsidP="004555DD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0BC68E83" w14:textId="77777777" w:rsidR="004904AF" w:rsidRDefault="004904AF" w:rsidP="004555DD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030F9FF0" w14:textId="77777777" w:rsidR="001C7042" w:rsidRDefault="001C7042" w:rsidP="004555DD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BC27AB5" w14:textId="58047419" w:rsidR="001D07EC" w:rsidRPr="00906E08" w:rsidRDefault="0034221C" w:rsidP="004555DD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51617C">
        <w:rPr>
          <w:b/>
          <w:bCs/>
          <w:color w:val="000000" w:themeColor="text1"/>
          <w:sz w:val="22"/>
          <w:szCs w:val="22"/>
        </w:rPr>
        <w:t xml:space="preserve">Conclusions: </w:t>
      </w:r>
      <w:r w:rsidR="00754114" w:rsidRPr="0051617C">
        <w:rPr>
          <w:color w:val="000000" w:themeColor="text1"/>
          <w:sz w:val="22"/>
          <w:szCs w:val="22"/>
        </w:rPr>
        <w:t>Rose b</w:t>
      </w:r>
      <w:r w:rsidR="008765B2" w:rsidRPr="0051617C">
        <w:rPr>
          <w:color w:val="000000" w:themeColor="text1"/>
          <w:sz w:val="22"/>
          <w:szCs w:val="22"/>
        </w:rPr>
        <w:t xml:space="preserve">engal strips of 1.0% concentration are clinically used to detect </w:t>
      </w:r>
      <w:r w:rsidR="00906E08">
        <w:rPr>
          <w:color w:val="000000" w:themeColor="text1"/>
          <w:sz w:val="22"/>
          <w:szCs w:val="22"/>
        </w:rPr>
        <w:t xml:space="preserve">conjunctival </w:t>
      </w:r>
      <w:r w:rsidR="008765B2" w:rsidRPr="0051617C">
        <w:rPr>
          <w:color w:val="000000" w:themeColor="text1"/>
          <w:sz w:val="22"/>
          <w:szCs w:val="22"/>
        </w:rPr>
        <w:t xml:space="preserve">epithelial defects. This study demonstrates MRSA can be inhibited even with </w:t>
      </w:r>
      <w:r w:rsidR="0023076A">
        <w:rPr>
          <w:color w:val="000000" w:themeColor="text1"/>
          <w:sz w:val="22"/>
          <w:szCs w:val="22"/>
        </w:rPr>
        <w:t>a lower concentration of RB</w:t>
      </w:r>
      <w:r w:rsidR="008765B2" w:rsidRPr="0051617C">
        <w:rPr>
          <w:color w:val="000000" w:themeColor="text1"/>
          <w:sz w:val="22"/>
          <w:szCs w:val="22"/>
        </w:rPr>
        <w:t xml:space="preserve">. </w:t>
      </w:r>
      <w:r w:rsidR="004904AF">
        <w:rPr>
          <w:color w:val="000000" w:themeColor="text1"/>
          <w:sz w:val="22"/>
          <w:szCs w:val="22"/>
        </w:rPr>
        <w:t xml:space="preserve">RB </w:t>
      </w:r>
      <w:r w:rsidR="004904AF" w:rsidRPr="0051617C">
        <w:rPr>
          <w:color w:val="000000" w:themeColor="text1"/>
          <w:sz w:val="22"/>
          <w:szCs w:val="22"/>
        </w:rPr>
        <w:t>PD</w:t>
      </w:r>
      <w:r w:rsidR="004904AF">
        <w:rPr>
          <w:color w:val="000000" w:themeColor="text1"/>
          <w:sz w:val="22"/>
          <w:szCs w:val="22"/>
        </w:rPr>
        <w:t>A</w:t>
      </w:r>
      <w:r w:rsidR="004904AF" w:rsidRPr="0051617C">
        <w:rPr>
          <w:color w:val="000000" w:themeColor="text1"/>
          <w:sz w:val="22"/>
          <w:szCs w:val="22"/>
        </w:rPr>
        <w:t>T could be an excellent adjun</w:t>
      </w:r>
      <w:r w:rsidR="004904AF">
        <w:rPr>
          <w:color w:val="000000" w:themeColor="text1"/>
          <w:sz w:val="22"/>
          <w:szCs w:val="22"/>
        </w:rPr>
        <w:t xml:space="preserve">ct treatment for MRSA keratitis. </w:t>
      </w:r>
      <w:r w:rsidR="00E501B3">
        <w:rPr>
          <w:color w:val="000000" w:themeColor="text1"/>
          <w:sz w:val="22"/>
          <w:szCs w:val="22"/>
        </w:rPr>
        <w:t>Studies</w:t>
      </w:r>
      <w:r w:rsidR="001D07EC">
        <w:rPr>
          <w:color w:val="000000" w:themeColor="text1"/>
          <w:sz w:val="22"/>
          <w:szCs w:val="22"/>
        </w:rPr>
        <w:t xml:space="preserve"> are </w:t>
      </w:r>
      <w:r w:rsidR="00E501B3">
        <w:rPr>
          <w:color w:val="000000" w:themeColor="text1"/>
          <w:sz w:val="22"/>
          <w:szCs w:val="22"/>
        </w:rPr>
        <w:t xml:space="preserve">currently </w:t>
      </w:r>
      <w:bookmarkStart w:id="0" w:name="_GoBack"/>
      <w:bookmarkEnd w:id="0"/>
      <w:r w:rsidR="001D07EC">
        <w:rPr>
          <w:color w:val="000000" w:themeColor="text1"/>
          <w:sz w:val="22"/>
          <w:szCs w:val="22"/>
        </w:rPr>
        <w:t xml:space="preserve">being </w:t>
      </w:r>
      <w:r w:rsidR="005A48F9" w:rsidRPr="0051617C">
        <w:rPr>
          <w:color w:val="000000" w:themeColor="text1"/>
          <w:sz w:val="22"/>
          <w:szCs w:val="22"/>
        </w:rPr>
        <w:t xml:space="preserve">performed to </w:t>
      </w:r>
      <w:r w:rsidR="001D07EC">
        <w:rPr>
          <w:color w:val="000000" w:themeColor="text1"/>
          <w:sz w:val="22"/>
          <w:szCs w:val="22"/>
        </w:rPr>
        <w:t>determine the different responses</w:t>
      </w:r>
      <w:r w:rsidR="00906E08">
        <w:rPr>
          <w:color w:val="000000" w:themeColor="text1"/>
          <w:sz w:val="22"/>
          <w:szCs w:val="22"/>
        </w:rPr>
        <w:t xml:space="preserve"> to the treatment</w:t>
      </w:r>
      <w:r w:rsidR="005A48F9" w:rsidRPr="0051617C">
        <w:rPr>
          <w:color w:val="000000" w:themeColor="text1"/>
          <w:sz w:val="22"/>
          <w:szCs w:val="22"/>
        </w:rPr>
        <w:t xml:space="preserve">. </w:t>
      </w:r>
    </w:p>
    <w:p w14:paraId="7497B1E8" w14:textId="5AB4C681" w:rsidR="00FE150E" w:rsidRPr="00FE150E" w:rsidRDefault="00FE150E" w:rsidP="00434409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Acknowledgments: </w:t>
      </w:r>
      <w:r w:rsidR="006714DC" w:rsidRPr="00D47BBE">
        <w:rPr>
          <w:color w:val="000000" w:themeColor="text1"/>
          <w:sz w:val="22"/>
          <w:szCs w:val="22"/>
        </w:rPr>
        <w:t>The authors are grateful for the scientific and technical support provided by:</w:t>
      </w:r>
      <w:r w:rsidR="00906E08">
        <w:rPr>
          <w:iCs/>
          <w:color w:val="000000" w:themeColor="text1"/>
          <w:sz w:val="22"/>
          <w:szCs w:val="22"/>
        </w:rPr>
        <w:t xml:space="preserve"> </w:t>
      </w:r>
      <w:r w:rsidR="00D47BBE">
        <w:rPr>
          <w:iCs/>
          <w:color w:val="000000" w:themeColor="text1"/>
          <w:sz w:val="22"/>
          <w:szCs w:val="22"/>
        </w:rPr>
        <w:t xml:space="preserve">Carolina de </w:t>
      </w:r>
      <w:proofErr w:type="spellStart"/>
      <w:r w:rsidR="00D47BBE">
        <w:rPr>
          <w:iCs/>
          <w:color w:val="000000" w:themeColor="text1"/>
          <w:sz w:val="22"/>
          <w:szCs w:val="22"/>
        </w:rPr>
        <w:t>Freitas</w:t>
      </w:r>
      <w:proofErr w:type="spellEnd"/>
      <w:r w:rsidR="00D47BBE">
        <w:rPr>
          <w:iCs/>
          <w:color w:val="000000" w:themeColor="text1"/>
          <w:sz w:val="22"/>
          <w:szCs w:val="22"/>
        </w:rPr>
        <w:t xml:space="preserve">, Juan </w:t>
      </w:r>
      <w:proofErr w:type="spellStart"/>
      <w:r w:rsidR="00D47BBE">
        <w:rPr>
          <w:iCs/>
          <w:color w:val="000000" w:themeColor="text1"/>
          <w:sz w:val="22"/>
          <w:szCs w:val="22"/>
        </w:rPr>
        <w:t>Silgado</w:t>
      </w:r>
      <w:proofErr w:type="spellEnd"/>
      <w:r w:rsidR="00D47BBE">
        <w:rPr>
          <w:iCs/>
          <w:color w:val="000000" w:themeColor="text1"/>
          <w:sz w:val="22"/>
          <w:szCs w:val="22"/>
        </w:rPr>
        <w:t xml:space="preserve">, Kelly Mote, </w:t>
      </w:r>
      <w:proofErr w:type="spellStart"/>
      <w:r w:rsidR="00D47BBE">
        <w:rPr>
          <w:iCs/>
          <w:color w:val="000000" w:themeColor="text1"/>
          <w:sz w:val="22"/>
          <w:szCs w:val="22"/>
        </w:rPr>
        <w:t>Karam</w:t>
      </w:r>
      <w:proofErr w:type="spellEnd"/>
      <w:r w:rsidR="00D47BBE">
        <w:rPr>
          <w:iCs/>
          <w:color w:val="000000" w:themeColor="text1"/>
          <w:sz w:val="22"/>
          <w:szCs w:val="22"/>
        </w:rPr>
        <w:t xml:space="preserve"> </w:t>
      </w:r>
      <w:proofErr w:type="spellStart"/>
      <w:r w:rsidR="00D47BBE">
        <w:rPr>
          <w:iCs/>
          <w:color w:val="000000" w:themeColor="text1"/>
          <w:sz w:val="22"/>
          <w:szCs w:val="22"/>
        </w:rPr>
        <w:t>Alawa</w:t>
      </w:r>
      <w:proofErr w:type="spellEnd"/>
      <w:r w:rsidR="00D47BBE">
        <w:rPr>
          <w:iCs/>
          <w:color w:val="000000" w:themeColor="text1"/>
          <w:sz w:val="22"/>
          <w:szCs w:val="22"/>
        </w:rPr>
        <w:t xml:space="preserve">, Francisco </w:t>
      </w:r>
      <w:proofErr w:type="spellStart"/>
      <w:r w:rsidR="00D47BBE">
        <w:rPr>
          <w:iCs/>
          <w:color w:val="000000" w:themeColor="text1"/>
          <w:sz w:val="22"/>
          <w:szCs w:val="22"/>
        </w:rPr>
        <w:t>Halili</w:t>
      </w:r>
      <w:proofErr w:type="spellEnd"/>
      <w:r w:rsidR="00D47BBE">
        <w:rPr>
          <w:iCs/>
          <w:color w:val="000000" w:themeColor="text1"/>
          <w:sz w:val="22"/>
          <w:szCs w:val="22"/>
        </w:rPr>
        <w:t xml:space="preserve">, </w:t>
      </w:r>
      <w:r w:rsidR="00906E08">
        <w:rPr>
          <w:iCs/>
          <w:color w:val="000000" w:themeColor="text1"/>
          <w:sz w:val="22"/>
          <w:szCs w:val="22"/>
        </w:rPr>
        <w:t xml:space="preserve">and </w:t>
      </w:r>
      <w:r w:rsidR="004555DD" w:rsidRPr="00D47BBE">
        <w:rPr>
          <w:iCs/>
          <w:color w:val="000000" w:themeColor="text1"/>
          <w:sz w:val="22"/>
          <w:szCs w:val="22"/>
        </w:rPr>
        <w:t>Victor</w:t>
      </w:r>
      <w:r w:rsidR="00906E08">
        <w:rPr>
          <w:iCs/>
          <w:color w:val="000000" w:themeColor="text1"/>
          <w:sz w:val="22"/>
          <w:szCs w:val="22"/>
        </w:rPr>
        <w:t xml:space="preserve"> Hernandez</w:t>
      </w:r>
      <w:r w:rsidR="00D47BBE">
        <w:rPr>
          <w:color w:val="000000" w:themeColor="text1"/>
          <w:sz w:val="22"/>
          <w:szCs w:val="22"/>
        </w:rPr>
        <w:t xml:space="preserve">. </w:t>
      </w:r>
      <w:r w:rsidR="00906E08">
        <w:rPr>
          <w:color w:val="000000" w:themeColor="text1"/>
          <w:sz w:val="22"/>
          <w:szCs w:val="22"/>
        </w:rPr>
        <w:t>S</w:t>
      </w:r>
      <w:r w:rsidR="006714DC" w:rsidRPr="00D47BBE">
        <w:rPr>
          <w:color w:val="000000" w:themeColor="text1"/>
          <w:sz w:val="22"/>
          <w:szCs w:val="22"/>
        </w:rPr>
        <w:t xml:space="preserve">upport: </w:t>
      </w:r>
      <w:r w:rsidR="00906E08">
        <w:rPr>
          <w:iCs/>
          <w:color w:val="000000" w:themeColor="text1"/>
          <w:sz w:val="22"/>
          <w:szCs w:val="22"/>
        </w:rPr>
        <w:t>The</w:t>
      </w:r>
      <w:r w:rsidR="004555DD" w:rsidRPr="00D47BBE">
        <w:rPr>
          <w:iCs/>
          <w:color w:val="000000" w:themeColor="text1"/>
          <w:sz w:val="22"/>
          <w:szCs w:val="22"/>
        </w:rPr>
        <w:t xml:space="preserve"> Robson Foundation, Florida Li</w:t>
      </w:r>
      <w:r w:rsidR="006714DC">
        <w:rPr>
          <w:iCs/>
          <w:color w:val="000000" w:themeColor="text1"/>
          <w:sz w:val="22"/>
          <w:szCs w:val="22"/>
        </w:rPr>
        <w:t xml:space="preserve">ons Eye Bank, </w:t>
      </w:r>
      <w:r w:rsidR="004555DD" w:rsidRPr="00D47BBE">
        <w:rPr>
          <w:iCs/>
          <w:color w:val="000000" w:themeColor="text1"/>
          <w:sz w:val="22"/>
          <w:szCs w:val="22"/>
        </w:rPr>
        <w:t xml:space="preserve">Drs. KR Olsen and ME Hildebrandt, </w:t>
      </w:r>
      <w:r w:rsidR="00D47BBE" w:rsidRPr="00D47BBE">
        <w:rPr>
          <w:iCs/>
          <w:color w:val="000000" w:themeColor="text1"/>
          <w:sz w:val="22"/>
          <w:szCs w:val="22"/>
        </w:rPr>
        <w:t xml:space="preserve">Dr. </w:t>
      </w:r>
      <w:proofErr w:type="spellStart"/>
      <w:r w:rsidR="00D47BBE" w:rsidRPr="00D47BBE">
        <w:rPr>
          <w:iCs/>
          <w:color w:val="000000" w:themeColor="text1"/>
          <w:sz w:val="22"/>
          <w:szCs w:val="22"/>
        </w:rPr>
        <w:t>Raksha</w:t>
      </w:r>
      <w:proofErr w:type="spellEnd"/>
      <w:r w:rsidR="00D47BBE" w:rsidRPr="00D47BBE">
        <w:rPr>
          <w:iCs/>
          <w:color w:val="000000" w:themeColor="text1"/>
          <w:sz w:val="22"/>
          <w:szCs w:val="22"/>
        </w:rPr>
        <w:t xml:space="preserve"> </w:t>
      </w:r>
      <w:proofErr w:type="spellStart"/>
      <w:r w:rsidR="00D47BBE" w:rsidRPr="00D47BBE">
        <w:rPr>
          <w:iCs/>
          <w:color w:val="000000" w:themeColor="text1"/>
          <w:sz w:val="22"/>
          <w:szCs w:val="22"/>
        </w:rPr>
        <w:t>Urs</w:t>
      </w:r>
      <w:proofErr w:type="spellEnd"/>
      <w:r w:rsidR="00D47BBE" w:rsidRPr="00D47BBE">
        <w:rPr>
          <w:iCs/>
          <w:color w:val="000000" w:themeColor="text1"/>
          <w:sz w:val="22"/>
          <w:szCs w:val="22"/>
        </w:rPr>
        <w:t xml:space="preserve"> and Aaron Furtado</w:t>
      </w:r>
      <w:r w:rsidR="00D47BBE">
        <w:rPr>
          <w:color w:val="000000" w:themeColor="text1"/>
          <w:sz w:val="22"/>
          <w:szCs w:val="22"/>
        </w:rPr>
        <w:t xml:space="preserve">, </w:t>
      </w:r>
      <w:r w:rsidR="00906E08">
        <w:rPr>
          <w:color w:val="000000" w:themeColor="text1"/>
          <w:sz w:val="22"/>
          <w:szCs w:val="22"/>
        </w:rPr>
        <w:t xml:space="preserve">Center Grant P30EY14801, Research to Prevent Blindness, </w:t>
      </w:r>
      <w:r w:rsidR="00D47BBE">
        <w:rPr>
          <w:color w:val="000000" w:themeColor="text1"/>
          <w:sz w:val="22"/>
          <w:szCs w:val="22"/>
        </w:rPr>
        <w:t xml:space="preserve">and </w:t>
      </w:r>
      <w:r w:rsidR="004555DD" w:rsidRPr="00D47BBE">
        <w:rPr>
          <w:iCs/>
          <w:color w:val="000000" w:themeColor="text1"/>
          <w:sz w:val="22"/>
          <w:szCs w:val="22"/>
        </w:rPr>
        <w:t>Henri and</w:t>
      </w:r>
      <w:r w:rsidR="00D47BBE">
        <w:rPr>
          <w:iCs/>
          <w:color w:val="000000" w:themeColor="text1"/>
          <w:sz w:val="22"/>
          <w:szCs w:val="22"/>
        </w:rPr>
        <w:t xml:space="preserve"> Flore </w:t>
      </w:r>
      <w:proofErr w:type="spellStart"/>
      <w:r w:rsidR="00D47BBE">
        <w:rPr>
          <w:iCs/>
          <w:color w:val="000000" w:themeColor="text1"/>
          <w:sz w:val="22"/>
          <w:szCs w:val="22"/>
        </w:rPr>
        <w:t>Lesieur</w:t>
      </w:r>
      <w:proofErr w:type="spellEnd"/>
      <w:r w:rsidR="00D47BBE">
        <w:rPr>
          <w:iCs/>
          <w:color w:val="000000" w:themeColor="text1"/>
          <w:sz w:val="22"/>
          <w:szCs w:val="22"/>
        </w:rPr>
        <w:t xml:space="preserve"> Foundation (JMP).</w:t>
      </w:r>
    </w:p>
    <w:sectPr w:rsidR="00FE150E" w:rsidRPr="00FE150E" w:rsidSect="00450FFF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43B0"/>
    <w:multiLevelType w:val="hybridMultilevel"/>
    <w:tmpl w:val="E286BC3A"/>
    <w:lvl w:ilvl="0" w:tplc="85CEB7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9ACEAA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7FE17E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C8C792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A8CF0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D0EE8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0E264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21260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AA256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38357539"/>
    <w:multiLevelType w:val="hybridMultilevel"/>
    <w:tmpl w:val="A79225F8"/>
    <w:lvl w:ilvl="0" w:tplc="F34EA67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12FBA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1CB28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83C88D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E4009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03A4B5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37A31E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0F8FDA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66AFE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6F"/>
    <w:rsid w:val="000326D7"/>
    <w:rsid w:val="000A1E3A"/>
    <w:rsid w:val="000B7528"/>
    <w:rsid w:val="000F53A3"/>
    <w:rsid w:val="0011496B"/>
    <w:rsid w:val="001231FF"/>
    <w:rsid w:val="001A2365"/>
    <w:rsid w:val="001A7929"/>
    <w:rsid w:val="001C7042"/>
    <w:rsid w:val="001D07EC"/>
    <w:rsid w:val="001F40A3"/>
    <w:rsid w:val="0023076A"/>
    <w:rsid w:val="00281113"/>
    <w:rsid w:val="002E260F"/>
    <w:rsid w:val="002E271E"/>
    <w:rsid w:val="002F2A2C"/>
    <w:rsid w:val="002F473A"/>
    <w:rsid w:val="00303105"/>
    <w:rsid w:val="00342145"/>
    <w:rsid w:val="0034221C"/>
    <w:rsid w:val="00372E9C"/>
    <w:rsid w:val="003B11CC"/>
    <w:rsid w:val="003B5C74"/>
    <w:rsid w:val="00417C0E"/>
    <w:rsid w:val="00434409"/>
    <w:rsid w:val="00450FFF"/>
    <w:rsid w:val="004555DD"/>
    <w:rsid w:val="00485AEF"/>
    <w:rsid w:val="004904AF"/>
    <w:rsid w:val="004F57F1"/>
    <w:rsid w:val="0051617C"/>
    <w:rsid w:val="00517B94"/>
    <w:rsid w:val="0052645F"/>
    <w:rsid w:val="00556ABF"/>
    <w:rsid w:val="00577729"/>
    <w:rsid w:val="005A48F9"/>
    <w:rsid w:val="005B64AC"/>
    <w:rsid w:val="005C28AA"/>
    <w:rsid w:val="005D7161"/>
    <w:rsid w:val="005E5ED9"/>
    <w:rsid w:val="006028C5"/>
    <w:rsid w:val="00604880"/>
    <w:rsid w:val="00613831"/>
    <w:rsid w:val="006138F3"/>
    <w:rsid w:val="00631E0D"/>
    <w:rsid w:val="0065471A"/>
    <w:rsid w:val="00667822"/>
    <w:rsid w:val="006714DC"/>
    <w:rsid w:val="006754F8"/>
    <w:rsid w:val="006C05F7"/>
    <w:rsid w:val="006C4629"/>
    <w:rsid w:val="006D447B"/>
    <w:rsid w:val="007504B8"/>
    <w:rsid w:val="00754114"/>
    <w:rsid w:val="0076396F"/>
    <w:rsid w:val="008171D8"/>
    <w:rsid w:val="0082531C"/>
    <w:rsid w:val="00833E7E"/>
    <w:rsid w:val="00855897"/>
    <w:rsid w:val="008765B2"/>
    <w:rsid w:val="008D2E3A"/>
    <w:rsid w:val="008D5339"/>
    <w:rsid w:val="00903009"/>
    <w:rsid w:val="00906E08"/>
    <w:rsid w:val="00944FD5"/>
    <w:rsid w:val="009470DB"/>
    <w:rsid w:val="009F50E3"/>
    <w:rsid w:val="00A119CC"/>
    <w:rsid w:val="00AB0A12"/>
    <w:rsid w:val="00AD63DC"/>
    <w:rsid w:val="00B710DB"/>
    <w:rsid w:val="00B978ED"/>
    <w:rsid w:val="00BA7E48"/>
    <w:rsid w:val="00BF5E17"/>
    <w:rsid w:val="00C041B2"/>
    <w:rsid w:val="00C05C1C"/>
    <w:rsid w:val="00C1607B"/>
    <w:rsid w:val="00C22BAB"/>
    <w:rsid w:val="00C22FB2"/>
    <w:rsid w:val="00C27D5C"/>
    <w:rsid w:val="00CE384C"/>
    <w:rsid w:val="00CF0D8B"/>
    <w:rsid w:val="00D06ECB"/>
    <w:rsid w:val="00D47BBE"/>
    <w:rsid w:val="00D63023"/>
    <w:rsid w:val="00DB2606"/>
    <w:rsid w:val="00DD0AA9"/>
    <w:rsid w:val="00E0689D"/>
    <w:rsid w:val="00E347C7"/>
    <w:rsid w:val="00E44158"/>
    <w:rsid w:val="00E501B3"/>
    <w:rsid w:val="00F161E6"/>
    <w:rsid w:val="00F330B3"/>
    <w:rsid w:val="00F33818"/>
    <w:rsid w:val="00F50753"/>
    <w:rsid w:val="00FE150E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E95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E5ED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0689D"/>
    <w:rPr>
      <w:rFonts w:ascii="Tahoma" w:hAnsi="Tahoma" w:cs="Tahoma"/>
      <w:sz w:val="16"/>
      <w:szCs w:val="16"/>
    </w:rPr>
  </w:style>
  <w:style w:type="character" w:styleId="Strong">
    <w:name w:val="Strong"/>
    <w:qFormat/>
    <w:rsid w:val="00B710DB"/>
    <w:rPr>
      <w:b/>
      <w:bCs/>
    </w:rPr>
  </w:style>
  <w:style w:type="character" w:styleId="CommentReference">
    <w:name w:val="annotation reference"/>
    <w:rsid w:val="003B11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11CC"/>
  </w:style>
  <w:style w:type="paragraph" w:styleId="CommentSubject">
    <w:name w:val="annotation subject"/>
    <w:basedOn w:val="CommentText"/>
    <w:next w:val="CommentText"/>
    <w:link w:val="CommentSubjectChar"/>
    <w:rsid w:val="003B11C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B11CC"/>
    <w:rPr>
      <w:b/>
      <w:bCs/>
    </w:rPr>
  </w:style>
  <w:style w:type="character" w:customStyle="1" w:styleId="apple-converted-space">
    <w:name w:val="apple-converted-space"/>
    <w:rsid w:val="00485AEF"/>
  </w:style>
  <w:style w:type="table" w:styleId="TableGrid">
    <w:name w:val="Table Grid"/>
    <w:basedOn w:val="TableNormal"/>
    <w:rsid w:val="00876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B65EBC-E0E0-FA45-98E0-73B8BB35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574</Words>
  <Characters>3274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Abstract</vt:lpstr>
    </vt:vector>
  </TitlesOfParts>
  <Company>Brown University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Abstract</dc:title>
  <dc:subject/>
  <dc:creator>Dan Lemyre</dc:creator>
  <cp:keywords/>
  <cp:lastModifiedBy>Anna M Martinez</cp:lastModifiedBy>
  <cp:revision>21</cp:revision>
  <cp:lastPrinted>2015-04-21T19:54:00Z</cp:lastPrinted>
  <dcterms:created xsi:type="dcterms:W3CDTF">2016-07-25T04:48:00Z</dcterms:created>
  <dcterms:modified xsi:type="dcterms:W3CDTF">2016-07-29T16:51:00Z</dcterms:modified>
</cp:coreProperties>
</file>