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56" w:rsidRDefault="00C76456">
      <w:r>
        <w:t>ATT Mobility Movement</w:t>
      </w:r>
    </w:p>
    <w:p w:rsidR="00032050" w:rsidRDefault="00C76456">
      <w:r>
        <w:t xml:space="preserve">Assessment May 2017 – April </w:t>
      </w:r>
      <w:r w:rsidR="00032050">
        <w:t>2018</w:t>
      </w:r>
    </w:p>
    <w:p w:rsidR="00C76456" w:rsidRDefault="00C76456" w:rsidP="00C76456">
      <w:pPr>
        <w:pStyle w:val="ListParagraph"/>
        <w:numPr>
          <w:ilvl w:val="0"/>
          <w:numId w:val="1"/>
        </w:numPr>
      </w:pPr>
      <w:r>
        <w:t>Transfers into Non-Represented Titles</w:t>
      </w:r>
    </w:p>
    <w:p w:rsidR="00C76456" w:rsidRDefault="00880770" w:rsidP="00813893">
      <w:pPr>
        <w:ind w:left="360"/>
      </w:pPr>
      <w:r>
        <w:rPr>
          <w:noProof/>
        </w:rPr>
        <w:drawing>
          <wp:anchor distT="0" distB="0" distL="114300" distR="114300" simplePos="0" relativeHeight="251656192" behindDoc="0" locked="0" layoutInCell="1" allowOverlap="1">
            <wp:simplePos x="0" y="0"/>
            <wp:positionH relativeFrom="margin">
              <wp:align>left</wp:align>
            </wp:positionH>
            <wp:positionV relativeFrom="paragraph">
              <wp:posOffset>2108200</wp:posOffset>
            </wp:positionV>
            <wp:extent cx="6162675" cy="4800600"/>
            <wp:effectExtent l="0" t="0" r="9525"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E65999" w:rsidRPr="00E65999">
        <w:rPr>
          <w:b/>
        </w:rPr>
        <w:t>AT</w:t>
      </w:r>
      <w:r w:rsidR="00813893">
        <w:rPr>
          <w:b/>
        </w:rPr>
        <w:t>&amp;</w:t>
      </w:r>
      <w:r w:rsidR="00E65999" w:rsidRPr="00E65999">
        <w:rPr>
          <w:b/>
        </w:rPr>
        <w:t>T is consistently transferring more people into non-represented titles than out</w:t>
      </w:r>
      <w:r w:rsidR="00A165DF">
        <w:t xml:space="preserve">.  The </w:t>
      </w:r>
      <w:r w:rsidR="00E65999">
        <w:t xml:space="preserve">net </w:t>
      </w:r>
      <w:r w:rsidR="00A165DF">
        <w:t>percentage</w:t>
      </w:r>
      <w:r w:rsidR="00E65999">
        <w:t xml:space="preserve"> of those transfers is consistently above zero.</w:t>
      </w:r>
      <w:r w:rsidR="00E65999">
        <w:t xml:space="preserve">  Whether this </w:t>
      </w:r>
      <w:r w:rsidR="00A165DF">
        <w:t>will continue to trend</w:t>
      </w:r>
      <w:r w:rsidR="00E65999">
        <w:t xml:space="preserve"> upward is uncertain.</w:t>
      </w:r>
      <w:r w:rsidR="00E65999">
        <w:t xml:space="preserve">  </w:t>
      </w:r>
      <w:r w:rsidR="00C76456">
        <w:t>After a spike in spring of 2017 when 40.5% of all transfers were into non-union-represented positions (Integrated Sales Support Specialist and Integrated Solutions Consultant) and no employees were transferred out of those positions, transfers into non-represented positions have started to level.</w:t>
      </w:r>
      <w:r w:rsidR="00E65999">
        <w:t xml:space="preserve">  As of April 2018, 17.0% of all transfers were into these non-represented positions, 1.0% down from the previous month.  Whe</w:t>
      </w:r>
      <w:bookmarkStart w:id="0" w:name="_GoBack"/>
      <w:bookmarkEnd w:id="0"/>
      <w:r w:rsidR="00E65999">
        <w:t>n accounting for transfers out of those non-represented positions into represented roles, 12.4% of transfers were into non-represented positions, also down from the previous month (by 1.7%).</w:t>
      </w:r>
      <w:r w:rsidR="00C76456">
        <w:t xml:space="preserve">  </w:t>
      </w:r>
      <w:r w:rsidR="00E65999">
        <w:t xml:space="preserve">Monitoring </w:t>
      </w:r>
      <w:r w:rsidR="00C76456">
        <w:t xml:space="preserve">over an entire year cycle </w:t>
      </w:r>
      <w:r w:rsidR="00E65999">
        <w:t xml:space="preserve">will help determine any seasonal effects.   </w:t>
      </w:r>
    </w:p>
    <w:p w:rsidR="00880770" w:rsidRDefault="00880770" w:rsidP="00880770">
      <w:pPr>
        <w:pStyle w:val="ListParagraph"/>
      </w:pPr>
    </w:p>
    <w:p w:rsidR="00E65999" w:rsidRDefault="00813893" w:rsidP="00813893">
      <w:pPr>
        <w:pStyle w:val="ListParagraph"/>
        <w:numPr>
          <w:ilvl w:val="0"/>
          <w:numId w:val="1"/>
        </w:numPr>
      </w:pPr>
      <w:r>
        <w:lastRenderedPageBreak/>
        <w:t>Movement of work out of retail stores</w:t>
      </w:r>
    </w:p>
    <w:p w:rsidR="00813893" w:rsidRDefault="00032050" w:rsidP="005367C3">
      <w:pPr>
        <w:ind w:left="720"/>
        <w:rPr>
          <w:noProof/>
        </w:rPr>
      </w:pPr>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1543685</wp:posOffset>
            </wp:positionV>
            <wp:extent cx="6076950" cy="4905375"/>
            <wp:effectExtent l="0" t="0" r="0"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813893">
        <w:rPr>
          <w:b/>
          <w:noProof/>
        </w:rPr>
        <w:t xml:space="preserve">Terminations of retail store positions could be increasing.  </w:t>
      </w:r>
      <w:r w:rsidR="00813893">
        <w:rPr>
          <w:noProof/>
        </w:rPr>
        <w:t>While terminations of retail store positions</w:t>
      </w:r>
      <w:r w:rsidR="005367C3">
        <w:rPr>
          <w:noProof/>
        </w:rPr>
        <w:t xml:space="preserve"> (COS Sales Advocate (Cricket Stores), Retail Sales Consultant, Sales Support Representative)</w:t>
      </w:r>
      <w:r w:rsidR="00813893">
        <w:rPr>
          <w:noProof/>
        </w:rPr>
        <w:t xml:space="preserve"> have consistently comprised around one third of AT&amp;T’s total monthly terminations, they often hire enough people into retail store positions to make up for that loss.  However, the most recent months of data (February, March, and April of 2018) have shown an increase in net terminations, more people in retail store positions have been terminated than hired.</w:t>
      </w:r>
      <w:r w:rsidR="00A165DF">
        <w:rPr>
          <w:noProof/>
        </w:rPr>
        <w:t xml:space="preserve">  The data suggest this could continue.</w:t>
      </w:r>
    </w:p>
    <w:p w:rsidR="005367C3" w:rsidRDefault="005367C3" w:rsidP="005367C3">
      <w:pPr>
        <w:ind w:left="720"/>
        <w:rPr>
          <w:noProof/>
        </w:rPr>
      </w:pPr>
    </w:p>
    <w:p w:rsidR="005367C3" w:rsidRDefault="005367C3" w:rsidP="005367C3">
      <w:pPr>
        <w:ind w:left="720"/>
        <w:rPr>
          <w:noProof/>
        </w:rPr>
      </w:pPr>
    </w:p>
    <w:p w:rsidR="00032050" w:rsidRDefault="00032050" w:rsidP="005367C3">
      <w:pPr>
        <w:rPr>
          <w:noProof/>
        </w:rPr>
      </w:pPr>
    </w:p>
    <w:p w:rsidR="00032050" w:rsidRDefault="00032050" w:rsidP="005367C3">
      <w:pPr>
        <w:rPr>
          <w:noProof/>
        </w:rPr>
      </w:pPr>
    </w:p>
    <w:p w:rsidR="00813893" w:rsidRDefault="005367C3" w:rsidP="00813893">
      <w:pPr>
        <w:pStyle w:val="ListParagraph"/>
        <w:numPr>
          <w:ilvl w:val="0"/>
          <w:numId w:val="1"/>
        </w:numPr>
      </w:pPr>
      <w:r>
        <w:lastRenderedPageBreak/>
        <w:t>Movement of call center work</w:t>
      </w:r>
    </w:p>
    <w:p w:rsidR="005367C3" w:rsidRDefault="005367C3" w:rsidP="005367C3">
      <w:pPr>
        <w:pStyle w:val="ListParagraph"/>
      </w:pPr>
    </w:p>
    <w:p w:rsidR="005367C3" w:rsidRDefault="005367C3" w:rsidP="005367C3">
      <w:pPr>
        <w:pStyle w:val="ListParagraph"/>
      </w:pPr>
      <w:r>
        <w:rPr>
          <w:b/>
        </w:rPr>
        <w:t xml:space="preserve">AT&amp;T </w:t>
      </w:r>
      <w:r w:rsidR="00032050">
        <w:rPr>
          <w:b/>
        </w:rPr>
        <w:t>has been consistently terminating</w:t>
      </w:r>
      <w:r>
        <w:rPr>
          <w:b/>
        </w:rPr>
        <w:t xml:space="preserve"> more call center workers than they hire.</w:t>
      </w:r>
      <w:r>
        <w:t xml:space="preserve">  The net percentage of call center termination</w:t>
      </w:r>
      <w:r w:rsidR="00032050">
        <w:t>s is consistently above zero.  The trend has remained steady though slightly upward around 12%, but the percentage varies wildly</w:t>
      </w:r>
      <w:r>
        <w:t xml:space="preserve"> month.  </w:t>
      </w:r>
      <w:r w:rsidR="00032050">
        <w:t>With such variant data, more is needed to confirm whether the amount of these terminations is increasing.</w:t>
      </w:r>
    </w:p>
    <w:p w:rsidR="00032050" w:rsidRDefault="00032050" w:rsidP="005367C3">
      <w:pPr>
        <w:pStyle w:val="ListParagraph"/>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222885</wp:posOffset>
            </wp:positionV>
            <wp:extent cx="6238875" cy="4295775"/>
            <wp:effectExtent l="0" t="0" r="9525" b="952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032050" w:rsidRDefault="00032050" w:rsidP="005367C3">
      <w:pPr>
        <w:pStyle w:val="ListParagraph"/>
      </w:pPr>
    </w:p>
    <w:p w:rsidR="00032050" w:rsidRDefault="00032050" w:rsidP="005367C3">
      <w:pPr>
        <w:pStyle w:val="ListParagraph"/>
      </w:pPr>
    </w:p>
    <w:p w:rsidR="00032050" w:rsidRDefault="00032050" w:rsidP="005367C3">
      <w:pPr>
        <w:pStyle w:val="ListParagraph"/>
      </w:pPr>
    </w:p>
    <w:p w:rsidR="00032050" w:rsidRDefault="00032050" w:rsidP="005367C3">
      <w:pPr>
        <w:pStyle w:val="ListParagraph"/>
      </w:pPr>
    </w:p>
    <w:p w:rsidR="00032050" w:rsidRDefault="00032050" w:rsidP="005367C3">
      <w:pPr>
        <w:pStyle w:val="ListParagraph"/>
      </w:pPr>
    </w:p>
    <w:p w:rsidR="00032050" w:rsidRDefault="00032050" w:rsidP="005367C3">
      <w:pPr>
        <w:pStyle w:val="ListParagraph"/>
      </w:pPr>
    </w:p>
    <w:p w:rsidR="00032050" w:rsidRDefault="00032050" w:rsidP="005367C3">
      <w:pPr>
        <w:pStyle w:val="ListParagraph"/>
      </w:pPr>
    </w:p>
    <w:p w:rsidR="00032050" w:rsidRDefault="00032050" w:rsidP="005367C3">
      <w:pPr>
        <w:pStyle w:val="ListParagraph"/>
      </w:pPr>
    </w:p>
    <w:p w:rsidR="00032050" w:rsidRDefault="00032050" w:rsidP="005367C3">
      <w:pPr>
        <w:pStyle w:val="ListParagraph"/>
      </w:pPr>
    </w:p>
    <w:p w:rsidR="00032050" w:rsidRDefault="00032050" w:rsidP="005367C3">
      <w:pPr>
        <w:pStyle w:val="ListParagraph"/>
      </w:pPr>
    </w:p>
    <w:p w:rsidR="00032050" w:rsidRDefault="00032050" w:rsidP="005367C3">
      <w:pPr>
        <w:pStyle w:val="ListParagraph"/>
      </w:pPr>
    </w:p>
    <w:p w:rsidR="00032050" w:rsidRPr="005367C3" w:rsidRDefault="00032050" w:rsidP="00032050">
      <w:r>
        <w:t>Anna Cooper</w:t>
      </w:r>
    </w:p>
    <w:sectPr w:rsidR="00032050" w:rsidRPr="005367C3" w:rsidSect="00F3233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431" w:rsidRDefault="00D20431" w:rsidP="00032050">
      <w:pPr>
        <w:spacing w:after="0" w:line="240" w:lineRule="auto"/>
      </w:pPr>
      <w:r>
        <w:separator/>
      </w:r>
    </w:p>
  </w:endnote>
  <w:endnote w:type="continuationSeparator" w:id="0">
    <w:p w:rsidR="00D20431" w:rsidRDefault="00D20431" w:rsidP="00032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431" w:rsidRDefault="00D20431" w:rsidP="00032050">
      <w:pPr>
        <w:spacing w:after="0" w:line="240" w:lineRule="auto"/>
      </w:pPr>
      <w:r>
        <w:separator/>
      </w:r>
    </w:p>
  </w:footnote>
  <w:footnote w:type="continuationSeparator" w:id="0">
    <w:p w:rsidR="00D20431" w:rsidRDefault="00D20431" w:rsidP="00032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050" w:rsidRDefault="00F3233A">
    <w:pPr>
      <w:pStyle w:val="Header"/>
      <w:rPr>
        <w:color w:val="000000" w:themeColor="text1"/>
        <w:sz w:val="20"/>
        <w:szCs w:val="20"/>
      </w:rPr>
    </w:pPr>
    <w:r w:rsidRPr="00F3233A">
      <w:rPr>
        <w:color w:val="000000" w:themeColor="text1"/>
        <w:sz w:val="20"/>
        <w:szCs w:val="20"/>
      </w:rPr>
      <w:ptab w:relativeTo="margin" w:alignment="center" w:leader="none"/>
    </w:r>
    <w:r w:rsidRPr="00F3233A">
      <w:rPr>
        <w:color w:val="000000" w:themeColor="text1"/>
        <w:sz w:val="20"/>
        <w:szCs w:val="20"/>
      </w:rPr>
      <w:ptab w:relativeTo="margin" w:alignment="right" w:leader="none"/>
    </w:r>
    <w:r>
      <w:rPr>
        <w:color w:val="000000" w:themeColor="text1"/>
        <w:sz w:val="20"/>
        <w:szCs w:val="20"/>
      </w:rPr>
      <w:t>June 14, 2018</w:t>
    </w:r>
  </w:p>
  <w:p w:rsidR="00F3233A" w:rsidRDefault="00F323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2D0E5C"/>
    <w:multiLevelType w:val="hybridMultilevel"/>
    <w:tmpl w:val="F2F061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4E2BE4"/>
    <w:multiLevelType w:val="hybridMultilevel"/>
    <w:tmpl w:val="EBBC53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56"/>
    <w:rsid w:val="00032050"/>
    <w:rsid w:val="00042684"/>
    <w:rsid w:val="00107329"/>
    <w:rsid w:val="005367C3"/>
    <w:rsid w:val="00813893"/>
    <w:rsid w:val="00880770"/>
    <w:rsid w:val="00A165DF"/>
    <w:rsid w:val="00C76456"/>
    <w:rsid w:val="00D20431"/>
    <w:rsid w:val="00E65999"/>
    <w:rsid w:val="00F3233A"/>
    <w:rsid w:val="00FD7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32AC"/>
  <w15:chartTrackingRefBased/>
  <w15:docId w15:val="{409D6832-F490-40B4-8010-F52E73C5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456"/>
    <w:pPr>
      <w:ind w:left="720"/>
      <w:contextualSpacing/>
    </w:pPr>
  </w:style>
  <w:style w:type="paragraph" w:styleId="Header">
    <w:name w:val="header"/>
    <w:basedOn w:val="Normal"/>
    <w:link w:val="HeaderChar"/>
    <w:uiPriority w:val="99"/>
    <w:unhideWhenUsed/>
    <w:rsid w:val="00032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050"/>
  </w:style>
  <w:style w:type="paragraph" w:styleId="Footer">
    <w:name w:val="footer"/>
    <w:basedOn w:val="Normal"/>
    <w:link w:val="FooterChar"/>
    <w:uiPriority w:val="99"/>
    <w:unhideWhenUsed/>
    <w:rsid w:val="00032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785287">
      <w:bodyDiv w:val="1"/>
      <w:marLeft w:val="0"/>
      <w:marRight w:val="0"/>
      <w:marTop w:val="0"/>
      <w:marBottom w:val="0"/>
      <w:divBdr>
        <w:top w:val="none" w:sz="0" w:space="0" w:color="auto"/>
        <w:left w:val="none" w:sz="0" w:space="0" w:color="auto"/>
        <w:bottom w:val="none" w:sz="0" w:space="0" w:color="auto"/>
        <w:right w:val="none" w:sz="0" w:space="0" w:color="auto"/>
      </w:divBdr>
      <w:divsChild>
        <w:div w:id="516698001">
          <w:marLeft w:val="0"/>
          <w:marRight w:val="0"/>
          <w:marTop w:val="0"/>
          <w:marBottom w:val="0"/>
          <w:divBdr>
            <w:top w:val="none" w:sz="0" w:space="0" w:color="auto"/>
            <w:left w:val="none" w:sz="0" w:space="0" w:color="auto"/>
            <w:bottom w:val="none" w:sz="0" w:space="0" w:color="auto"/>
            <w:right w:val="none" w:sz="0" w:space="0" w:color="auto"/>
          </w:divBdr>
        </w:div>
        <w:div w:id="1689327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ooper.CWA-UNION\Documents\Organizing\ATT%20FMC\ATT%20Mobility%20Transfers%20into%20Non%20Represented%20Posi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ooper.CWA-UNION\Documents\Organizing\ATT%20FMC\ATT%20Mobility%20Transfers%20into%20Non%20Represented%20Posi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ooper.CWA-UNION\Documents\Organizing\ATT%20FMC\ATT%20Mobility%20Transfers%20into%20Non%20Represented%20Positi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aseline="0"/>
              <a:t>Transfers into AT&amp;T Mobility Non-Represented Positions</a:t>
            </a:r>
            <a:endParaRPr lang="en-US" sz="1400"/>
          </a:p>
        </c:rich>
      </c:tx>
      <c:layout>
        <c:manualLayout>
          <c:xMode val="edge"/>
          <c:yMode val="edge"/>
          <c:x val="0.16940060781875949"/>
          <c:y val="2.5305357540366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09470794823633"/>
          <c:y val="0.13800724637681164"/>
          <c:w val="0.86426150020721082"/>
          <c:h val="0.58503574627136101"/>
        </c:manualLayout>
      </c:layout>
      <c:lineChart>
        <c:grouping val="standard"/>
        <c:varyColors val="0"/>
        <c:ser>
          <c:idx val="0"/>
          <c:order val="0"/>
          <c:tx>
            <c:strRef>
              <c:f>Sheet1!$A$2</c:f>
              <c:strCache>
                <c:ptCount val="1"/>
                <c:pt idx="0">
                  <c:v>% of Total Transfers</c:v>
                </c:pt>
              </c:strCache>
            </c:strRef>
          </c:tx>
          <c:spPr>
            <a:ln w="28575" cap="rnd">
              <a:solidFill>
                <a:schemeClr val="accent1"/>
              </a:solidFill>
              <a:round/>
            </a:ln>
            <a:effectLst/>
          </c:spPr>
          <c:marker>
            <c:symbol val="none"/>
          </c:marker>
          <c:dLbls>
            <c:dLbl>
              <c:idx val="0"/>
              <c:layout>
                <c:manualLayout>
                  <c:x val="-2.7006657397048786E-2"/>
                  <c:y val="-2.04295390925795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91C-4819-846D-5CFFAA5F6517}"/>
                </c:ext>
              </c:extLst>
            </c:dLbl>
            <c:dLbl>
              <c:idx val="1"/>
              <c:layout>
                <c:manualLayout>
                  <c:x val="-4.5553286671019572E-2"/>
                  <c:y val="-2.09960797551678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91C-4819-846D-5CFFAA5F6517}"/>
                </c:ext>
              </c:extLst>
            </c:dLbl>
            <c:dLbl>
              <c:idx val="3"/>
              <c:layout>
                <c:manualLayout>
                  <c:x val="-1.5186623839738195E-2"/>
                  <c:y val="-2.50405240580744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91C-4819-846D-5CFFAA5F651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Sheet1!$B$1:$M$1</c:f>
              <c:numCache>
                <c:formatCode>mmm\-yy</c:formatCode>
                <c:ptCount val="12"/>
                <c:pt idx="0">
                  <c:v>42856</c:v>
                </c:pt>
                <c:pt idx="1">
                  <c:v>42887</c:v>
                </c:pt>
                <c:pt idx="2">
                  <c:v>42917</c:v>
                </c:pt>
                <c:pt idx="3">
                  <c:v>42948</c:v>
                </c:pt>
                <c:pt idx="4">
                  <c:v>42979</c:v>
                </c:pt>
                <c:pt idx="5">
                  <c:v>43009</c:v>
                </c:pt>
                <c:pt idx="6">
                  <c:v>43040</c:v>
                </c:pt>
                <c:pt idx="7">
                  <c:v>43070</c:v>
                </c:pt>
                <c:pt idx="8">
                  <c:v>43101</c:v>
                </c:pt>
                <c:pt idx="9">
                  <c:v>43132</c:v>
                </c:pt>
                <c:pt idx="10">
                  <c:v>43160</c:v>
                </c:pt>
                <c:pt idx="11">
                  <c:v>43191</c:v>
                </c:pt>
              </c:numCache>
            </c:numRef>
          </c:cat>
          <c:val>
            <c:numRef>
              <c:f>Sheet1!$B$2:$M$2</c:f>
              <c:numCache>
                <c:formatCode>0.0%</c:formatCode>
                <c:ptCount val="12"/>
                <c:pt idx="0">
                  <c:v>1.13207547E-2</c:v>
                </c:pt>
                <c:pt idx="1">
                  <c:v>1.7886178900000001E-2</c:v>
                </c:pt>
                <c:pt idx="2">
                  <c:v>0.40502092049999999</c:v>
                </c:pt>
                <c:pt idx="3">
                  <c:v>0.1361361361</c:v>
                </c:pt>
                <c:pt idx="4">
                  <c:v>0.17549668869999999</c:v>
                </c:pt>
                <c:pt idx="5">
                  <c:v>0.1514851485</c:v>
                </c:pt>
                <c:pt idx="6">
                  <c:v>0.1499250375</c:v>
                </c:pt>
                <c:pt idx="7">
                  <c:v>7.9505300400000006E-2</c:v>
                </c:pt>
                <c:pt idx="8">
                  <c:v>0.20826709060000001</c:v>
                </c:pt>
                <c:pt idx="9">
                  <c:v>0.23606557380000001</c:v>
                </c:pt>
                <c:pt idx="10">
                  <c:v>0.1801125704</c:v>
                </c:pt>
                <c:pt idx="11">
                  <c:v>0.16993464050000001</c:v>
                </c:pt>
              </c:numCache>
            </c:numRef>
          </c:val>
          <c:smooth val="0"/>
          <c:extLst>
            <c:ext xmlns:c16="http://schemas.microsoft.com/office/drawing/2014/chart" uri="{C3380CC4-5D6E-409C-BE32-E72D297353CC}">
              <c16:uniqueId val="{00000003-691C-4819-846D-5CFFAA5F6517}"/>
            </c:ext>
          </c:extLst>
        </c:ser>
        <c:ser>
          <c:idx val="1"/>
          <c:order val="1"/>
          <c:tx>
            <c:strRef>
              <c:f>Sheet1!$A$3</c:f>
              <c:strCache>
                <c:ptCount val="1"/>
                <c:pt idx="0">
                  <c:v>% Net Transfers (accounts for transfers out of non-represented positions)</c:v>
                </c:pt>
              </c:strCache>
            </c:strRef>
          </c:tx>
          <c:spPr>
            <a:ln w="28575" cap="rnd">
              <a:solidFill>
                <a:srgbClr val="FFC000"/>
              </a:solidFill>
              <a:round/>
            </a:ln>
            <a:effectLst/>
          </c:spPr>
          <c:marker>
            <c:symbol val="none"/>
          </c:marker>
          <c:dLbls>
            <c:dLbl>
              <c:idx val="0"/>
              <c:layout>
                <c:manualLayout>
                  <c:x val="-6.0240602633603431E-2"/>
                  <c:y val="-1.139804744342458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5.4360971493710115E-2"/>
                      <c:h val="2.9349039703370407E-2"/>
                    </c:manualLayout>
                  </c15:layout>
                </c:ext>
                <c:ext xmlns:c16="http://schemas.microsoft.com/office/drawing/2014/chart" uri="{C3380CC4-5D6E-409C-BE32-E72D297353CC}">
                  <c16:uniqueId val="{00000004-691C-4819-846D-5CFFAA5F6517}"/>
                </c:ext>
              </c:extLst>
            </c:dLbl>
            <c:dLbl>
              <c:idx val="1"/>
              <c:layout>
                <c:manualLayout>
                  <c:x val="-2.9752915956595088E-3"/>
                  <c:y val="1.27082620107269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91C-4819-846D-5CFFAA5F6517}"/>
                </c:ext>
              </c:extLst>
            </c:dLbl>
            <c:dLbl>
              <c:idx val="2"/>
              <c:layout>
                <c:manualLayout>
                  <c:x val="-2.4831809114262211E-3"/>
                  <c:y val="1.51817929945128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91C-4819-846D-5CFFAA5F6517}"/>
                </c:ext>
              </c:extLst>
            </c:dLbl>
            <c:dLbl>
              <c:idx val="3"/>
              <c:layout>
                <c:manualLayout>
                  <c:x val="-4.3586149915506002E-2"/>
                  <c:y val="2.071312788405501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91C-4819-846D-5CFFAA5F6517}"/>
                </c:ext>
              </c:extLst>
            </c:dLbl>
            <c:dLbl>
              <c:idx val="4"/>
              <c:layout>
                <c:manualLayout>
                  <c:x val="-3.2865554959453508E-2"/>
                  <c:y val="2.062905439618357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691C-4819-846D-5CFFAA5F6517}"/>
                </c:ext>
              </c:extLst>
            </c:dLbl>
            <c:dLbl>
              <c:idx val="5"/>
              <c:layout>
                <c:manualLayout>
                  <c:x val="-5.0733136203772636E-2"/>
                  <c:y val="1.784841932288996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91C-4819-846D-5CFFAA5F6517}"/>
                </c:ext>
              </c:extLst>
            </c:dLbl>
            <c:dLbl>
              <c:idx val="6"/>
              <c:layout>
                <c:manualLayout>
                  <c:x val="-5.3290021205521766E-2"/>
                  <c:y val="1.911206932241227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691C-4819-846D-5CFFAA5F6517}"/>
                </c:ext>
              </c:extLst>
            </c:dLbl>
            <c:dLbl>
              <c:idx val="7"/>
              <c:layout>
                <c:manualLayout>
                  <c:x val="-5.081663370277845E-3"/>
                  <c:y val="1.27082620107269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691C-4819-846D-5CFFAA5F6517}"/>
                </c:ext>
              </c:extLst>
            </c:dLbl>
            <c:dLbl>
              <c:idx val="8"/>
              <c:layout>
                <c:manualLayout>
                  <c:x val="-2.0604850977862698E-2"/>
                  <c:y val="2.25830104570262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691C-4819-846D-5CFFAA5F6517}"/>
                </c:ext>
              </c:extLst>
            </c:dLbl>
            <c:dLbl>
              <c:idx val="9"/>
              <c:layout>
                <c:manualLayout>
                  <c:x val="-4.7382346140271876E-2"/>
                  <c:y val="3.44129900429113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691C-4819-846D-5CFFAA5F6517}"/>
                </c:ext>
              </c:extLst>
            </c:dLbl>
            <c:dLbl>
              <c:idx val="10"/>
              <c:layout>
                <c:manualLayout>
                  <c:x val="-5.0544486079168824E-2"/>
                  <c:y val="1.86909057326016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691C-4819-846D-5CFFAA5F6517}"/>
                </c:ext>
              </c:extLst>
            </c:dLbl>
            <c:dLbl>
              <c:idx val="11"/>
              <c:layout>
                <c:manualLayout>
                  <c:x val="-3.8740279262256823E-2"/>
                  <c:y val="1.54048743515353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691C-4819-846D-5CFFAA5F651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FFC000"/>
                </a:solidFill>
                <a:prstDash val="sysDot"/>
              </a:ln>
              <a:effectLst/>
            </c:spPr>
            <c:trendlineType val="linear"/>
            <c:dispRSqr val="0"/>
            <c:dispEq val="0"/>
          </c:trendline>
          <c:cat>
            <c:numRef>
              <c:f>Sheet1!$B$1:$M$1</c:f>
              <c:numCache>
                <c:formatCode>mmm\-yy</c:formatCode>
                <c:ptCount val="12"/>
                <c:pt idx="0">
                  <c:v>42856</c:v>
                </c:pt>
                <c:pt idx="1">
                  <c:v>42887</c:v>
                </c:pt>
                <c:pt idx="2">
                  <c:v>42917</c:v>
                </c:pt>
                <c:pt idx="3">
                  <c:v>42948</c:v>
                </c:pt>
                <c:pt idx="4">
                  <c:v>42979</c:v>
                </c:pt>
                <c:pt idx="5">
                  <c:v>43009</c:v>
                </c:pt>
                <c:pt idx="6">
                  <c:v>43040</c:v>
                </c:pt>
                <c:pt idx="7">
                  <c:v>43070</c:v>
                </c:pt>
                <c:pt idx="8">
                  <c:v>43101</c:v>
                </c:pt>
                <c:pt idx="9">
                  <c:v>43132</c:v>
                </c:pt>
                <c:pt idx="10">
                  <c:v>43160</c:v>
                </c:pt>
                <c:pt idx="11">
                  <c:v>43191</c:v>
                </c:pt>
              </c:numCache>
            </c:numRef>
          </c:cat>
          <c:val>
            <c:numRef>
              <c:f>Sheet1!$B$3:$M$3</c:f>
              <c:numCache>
                <c:formatCode>0.0%</c:formatCode>
                <c:ptCount val="12"/>
                <c:pt idx="0">
                  <c:v>1.13207547169811E-2</c:v>
                </c:pt>
                <c:pt idx="1">
                  <c:v>1.7886178861788601E-2</c:v>
                </c:pt>
                <c:pt idx="2">
                  <c:v>0.40502092050209199</c:v>
                </c:pt>
                <c:pt idx="3">
                  <c:v>0.134134134134134</c:v>
                </c:pt>
                <c:pt idx="4">
                  <c:v>0.171081677704194</c:v>
                </c:pt>
                <c:pt idx="5">
                  <c:v>0.131683168316831</c:v>
                </c:pt>
                <c:pt idx="6">
                  <c:v>0.12143928035982</c:v>
                </c:pt>
                <c:pt idx="7">
                  <c:v>3.00353356890459E-2</c:v>
                </c:pt>
                <c:pt idx="8">
                  <c:v>0.163751987281399</c:v>
                </c:pt>
                <c:pt idx="9">
                  <c:v>0.20327868852459</c:v>
                </c:pt>
                <c:pt idx="10">
                  <c:v>0.14071294559099401</c:v>
                </c:pt>
                <c:pt idx="11">
                  <c:v>0.12418300653594699</c:v>
                </c:pt>
              </c:numCache>
            </c:numRef>
          </c:val>
          <c:smooth val="0"/>
          <c:extLst>
            <c:ext xmlns:c16="http://schemas.microsoft.com/office/drawing/2014/chart" uri="{C3380CC4-5D6E-409C-BE32-E72D297353CC}">
              <c16:uniqueId val="{00000010-691C-4819-846D-5CFFAA5F6517}"/>
            </c:ext>
          </c:extLst>
        </c:ser>
        <c:dLbls>
          <c:dLblPos val="t"/>
          <c:showLegendKey val="0"/>
          <c:showVal val="1"/>
          <c:showCatName val="0"/>
          <c:showSerName val="0"/>
          <c:showPercent val="0"/>
          <c:showBubbleSize val="0"/>
        </c:dLbls>
        <c:smooth val="0"/>
        <c:axId val="480423184"/>
        <c:axId val="480432368"/>
      </c:lineChart>
      <c:dateAx>
        <c:axId val="480423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32368"/>
        <c:crosses val="autoZero"/>
        <c:auto val="1"/>
        <c:lblOffset val="100"/>
        <c:baseTimeUnit val="months"/>
      </c:dateAx>
      <c:valAx>
        <c:axId val="480432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a:t>
                </a:r>
                <a:r>
                  <a:rPr lang="en-US"/>
                  <a:t>f Transfers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23184"/>
        <c:crosses val="autoZero"/>
        <c:crossBetween val="between"/>
      </c:valAx>
      <c:spPr>
        <a:noFill/>
        <a:ln>
          <a:noFill/>
        </a:ln>
        <a:effectLst/>
      </c:spPr>
    </c:plotArea>
    <c:legend>
      <c:legendPos val="b"/>
      <c:layout>
        <c:manualLayout>
          <c:xMode val="edge"/>
          <c:yMode val="edge"/>
          <c:x val="0.19965161232743897"/>
          <c:y val="0.82585761154855641"/>
          <c:w val="0.70030611706766932"/>
          <c:h val="0.173120078740157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Terminations of AT&amp;T Mobility Retail Store Positions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Sheet2!$A$2</c:f>
              <c:strCache>
                <c:ptCount val="1"/>
                <c:pt idx="0">
                  <c:v>% of Total Terminations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Sheet2!$B$1:$M$1</c:f>
              <c:numCache>
                <c:formatCode>mmm\-yy</c:formatCode>
                <c:ptCount val="12"/>
                <c:pt idx="0">
                  <c:v>42856</c:v>
                </c:pt>
                <c:pt idx="1">
                  <c:v>42887</c:v>
                </c:pt>
                <c:pt idx="2">
                  <c:v>42917</c:v>
                </c:pt>
                <c:pt idx="3">
                  <c:v>42948</c:v>
                </c:pt>
                <c:pt idx="4">
                  <c:v>42979</c:v>
                </c:pt>
                <c:pt idx="5">
                  <c:v>43009</c:v>
                </c:pt>
                <c:pt idx="6">
                  <c:v>43040</c:v>
                </c:pt>
                <c:pt idx="7">
                  <c:v>43070</c:v>
                </c:pt>
                <c:pt idx="8">
                  <c:v>43101</c:v>
                </c:pt>
                <c:pt idx="9">
                  <c:v>43132</c:v>
                </c:pt>
                <c:pt idx="10">
                  <c:v>43160</c:v>
                </c:pt>
                <c:pt idx="11">
                  <c:v>43191</c:v>
                </c:pt>
              </c:numCache>
            </c:numRef>
          </c:cat>
          <c:val>
            <c:numRef>
              <c:f>Sheet2!$B$2:$M$2</c:f>
              <c:numCache>
                <c:formatCode>0.0%</c:formatCode>
                <c:ptCount val="12"/>
                <c:pt idx="0">
                  <c:v>0.31801125699999999</c:v>
                </c:pt>
                <c:pt idx="1">
                  <c:v>0.35943396230000002</c:v>
                </c:pt>
                <c:pt idx="2">
                  <c:v>0.36984924619999998</c:v>
                </c:pt>
                <c:pt idx="3">
                  <c:v>0.38022426100000001</c:v>
                </c:pt>
                <c:pt idx="4">
                  <c:v>0.406285073</c:v>
                </c:pt>
                <c:pt idx="5">
                  <c:v>0.34385201310000002</c:v>
                </c:pt>
                <c:pt idx="6">
                  <c:v>0.37383177569999998</c:v>
                </c:pt>
                <c:pt idx="7">
                  <c:v>0.3762019231</c:v>
                </c:pt>
                <c:pt idx="8">
                  <c:v>0.35499398319999997</c:v>
                </c:pt>
                <c:pt idx="9">
                  <c:v>0.33662145500000001</c:v>
                </c:pt>
                <c:pt idx="10">
                  <c:v>0.34782608700000001</c:v>
                </c:pt>
                <c:pt idx="11">
                  <c:v>0.34705228030000002</c:v>
                </c:pt>
              </c:numCache>
            </c:numRef>
          </c:val>
          <c:smooth val="0"/>
          <c:extLst>
            <c:ext xmlns:c16="http://schemas.microsoft.com/office/drawing/2014/chart" uri="{C3380CC4-5D6E-409C-BE32-E72D297353CC}">
              <c16:uniqueId val="{00000000-D67C-44FD-B83C-39D52D7EA1ED}"/>
            </c:ext>
          </c:extLst>
        </c:ser>
        <c:ser>
          <c:idx val="1"/>
          <c:order val="1"/>
          <c:tx>
            <c:strRef>
              <c:f>Sheet2!$A$3</c:f>
              <c:strCache>
                <c:ptCount val="1"/>
                <c:pt idx="0">
                  <c:v>% of Net Terminations (accounts for hires into retail store positions)</c:v>
                </c:pt>
              </c:strCache>
            </c:strRef>
          </c:tx>
          <c:spPr>
            <a:ln w="28575" cap="rnd">
              <a:solidFill>
                <a:srgbClr val="FFC000"/>
              </a:solidFill>
              <a:round/>
            </a:ln>
            <a:effectLst/>
          </c:spPr>
          <c:marker>
            <c:symbol val="none"/>
          </c:marker>
          <c:dLbls>
            <c:dLbl>
              <c:idx val="3"/>
              <c:layout>
                <c:manualLayout>
                  <c:x val="-5.0730218283843047E-2"/>
                  <c:y val="2.82406543842213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67C-44FD-B83C-39D52D7EA1ED}"/>
                </c:ext>
              </c:extLst>
            </c:dLbl>
            <c:dLbl>
              <c:idx val="4"/>
              <c:layout>
                <c:manualLayout>
                  <c:x val="-6.159356256016587E-2"/>
                  <c:y val="1.78563310654129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67C-44FD-B83C-39D52D7EA1ED}"/>
                </c:ext>
              </c:extLst>
            </c:dLbl>
            <c:dLbl>
              <c:idx val="5"/>
              <c:layout>
                <c:manualLayout>
                  <c:x val="-3.2970565959615755E-2"/>
                  <c:y val="2.00149039364861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67C-44FD-B83C-39D52D7EA1E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FFC000"/>
                </a:solidFill>
                <a:prstDash val="sysDot"/>
              </a:ln>
              <a:effectLst/>
            </c:spPr>
            <c:trendlineType val="linear"/>
            <c:dispRSqr val="0"/>
            <c:dispEq val="0"/>
          </c:trendline>
          <c:cat>
            <c:numRef>
              <c:f>Sheet2!$B$1:$M$1</c:f>
              <c:numCache>
                <c:formatCode>mmm\-yy</c:formatCode>
                <c:ptCount val="12"/>
                <c:pt idx="0">
                  <c:v>42856</c:v>
                </c:pt>
                <c:pt idx="1">
                  <c:v>42887</c:v>
                </c:pt>
                <c:pt idx="2">
                  <c:v>42917</c:v>
                </c:pt>
                <c:pt idx="3">
                  <c:v>42948</c:v>
                </c:pt>
                <c:pt idx="4">
                  <c:v>42979</c:v>
                </c:pt>
                <c:pt idx="5">
                  <c:v>43009</c:v>
                </c:pt>
                <c:pt idx="6">
                  <c:v>43040</c:v>
                </c:pt>
                <c:pt idx="7">
                  <c:v>43070</c:v>
                </c:pt>
                <c:pt idx="8">
                  <c:v>43101</c:v>
                </c:pt>
                <c:pt idx="9">
                  <c:v>43132</c:v>
                </c:pt>
                <c:pt idx="10">
                  <c:v>43160</c:v>
                </c:pt>
                <c:pt idx="11">
                  <c:v>43191</c:v>
                </c:pt>
              </c:numCache>
            </c:numRef>
          </c:cat>
          <c:val>
            <c:numRef>
              <c:f>Sheet2!$B$3:$M$3</c:f>
              <c:numCache>
                <c:formatCode>0.0%</c:formatCode>
                <c:ptCount val="12"/>
                <c:pt idx="0">
                  <c:v>9.2870544090056198E-2</c:v>
                </c:pt>
                <c:pt idx="1">
                  <c:v>0.145283018867924</c:v>
                </c:pt>
                <c:pt idx="2">
                  <c:v>9.0452261306532597E-2</c:v>
                </c:pt>
                <c:pt idx="3">
                  <c:v>-7.4413863404689098E-2</c:v>
                </c:pt>
                <c:pt idx="4">
                  <c:v>-0.114478114478114</c:v>
                </c:pt>
                <c:pt idx="5">
                  <c:v>-0.23612622415669199</c:v>
                </c:pt>
                <c:pt idx="6">
                  <c:v>-8.1775700934579396E-3</c:v>
                </c:pt>
                <c:pt idx="7">
                  <c:v>1.2019230769230701E-3</c:v>
                </c:pt>
                <c:pt idx="8">
                  <c:v>-2.2864019253910899E-2</c:v>
                </c:pt>
                <c:pt idx="9">
                  <c:v>5.5487053020961699E-2</c:v>
                </c:pt>
                <c:pt idx="10">
                  <c:v>5.33596837944664E-2</c:v>
                </c:pt>
                <c:pt idx="11">
                  <c:v>0.105672969966629</c:v>
                </c:pt>
              </c:numCache>
            </c:numRef>
          </c:val>
          <c:smooth val="0"/>
          <c:extLst>
            <c:ext xmlns:c16="http://schemas.microsoft.com/office/drawing/2014/chart" uri="{C3380CC4-5D6E-409C-BE32-E72D297353CC}">
              <c16:uniqueId val="{00000003-D67C-44FD-B83C-39D52D7EA1ED}"/>
            </c:ext>
          </c:extLst>
        </c:ser>
        <c:dLbls>
          <c:dLblPos val="t"/>
          <c:showLegendKey val="0"/>
          <c:showVal val="1"/>
          <c:showCatName val="0"/>
          <c:showSerName val="0"/>
          <c:showPercent val="0"/>
          <c:showBubbleSize val="0"/>
        </c:dLbls>
        <c:smooth val="0"/>
        <c:axId val="510337064"/>
        <c:axId val="510333456"/>
      </c:lineChart>
      <c:dateAx>
        <c:axId val="510337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10333456"/>
        <c:crosses val="autoZero"/>
        <c:auto val="1"/>
        <c:lblOffset val="100"/>
        <c:baseTimeUnit val="months"/>
      </c:dateAx>
      <c:valAx>
        <c:axId val="51033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Terminations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337064"/>
        <c:crosses val="autoZero"/>
        <c:crossBetween val="between"/>
      </c:valAx>
      <c:spPr>
        <a:noFill/>
        <a:ln>
          <a:noFill/>
        </a:ln>
        <a:effectLst/>
      </c:spPr>
    </c:plotArea>
    <c:legend>
      <c:legendPos val="b"/>
      <c:layout>
        <c:manualLayout>
          <c:xMode val="edge"/>
          <c:yMode val="edge"/>
          <c:x val="0.14598902409926032"/>
          <c:y val="0.84024538976155383"/>
          <c:w val="0.76817498968373787"/>
          <c:h val="0.133902778828734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Terminations of AT&amp;T Mobility </a:t>
            </a:r>
            <a:r>
              <a:rPr lang="en-US" sz="1400" baseline="0"/>
              <a:t>Call Center Positions </a:t>
            </a:r>
            <a:endParaRPr lang="en-US" sz="1400"/>
          </a:p>
        </c:rich>
      </c:tx>
      <c:layout>
        <c:manualLayout>
          <c:xMode val="edge"/>
          <c:yMode val="edge"/>
          <c:x val="0.19889066538438421"/>
          <c:y val="1.81999755573790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Sheet3!$A$2</c:f>
              <c:strCache>
                <c:ptCount val="1"/>
                <c:pt idx="0">
                  <c:v>% of Total Terminations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Sheet3!$B$1:$M$1</c:f>
              <c:numCache>
                <c:formatCode>mmm\-yy</c:formatCode>
                <c:ptCount val="12"/>
                <c:pt idx="0">
                  <c:v>42856</c:v>
                </c:pt>
                <c:pt idx="1">
                  <c:v>42887</c:v>
                </c:pt>
                <c:pt idx="2">
                  <c:v>42917</c:v>
                </c:pt>
                <c:pt idx="3">
                  <c:v>42948</c:v>
                </c:pt>
                <c:pt idx="4">
                  <c:v>42979</c:v>
                </c:pt>
                <c:pt idx="5">
                  <c:v>43009</c:v>
                </c:pt>
                <c:pt idx="6">
                  <c:v>43040</c:v>
                </c:pt>
                <c:pt idx="7">
                  <c:v>43070</c:v>
                </c:pt>
                <c:pt idx="8">
                  <c:v>43101</c:v>
                </c:pt>
                <c:pt idx="9">
                  <c:v>43132</c:v>
                </c:pt>
                <c:pt idx="10">
                  <c:v>43160</c:v>
                </c:pt>
                <c:pt idx="11">
                  <c:v>43191</c:v>
                </c:pt>
              </c:numCache>
            </c:numRef>
          </c:cat>
          <c:val>
            <c:numRef>
              <c:f>Sheet3!$B$2:$M$2</c:f>
              <c:numCache>
                <c:formatCode>0.0%</c:formatCode>
                <c:ptCount val="12"/>
                <c:pt idx="0">
                  <c:v>0.37804878048780399</c:v>
                </c:pt>
                <c:pt idx="1">
                  <c:v>0.35849056603773499</c:v>
                </c:pt>
                <c:pt idx="2">
                  <c:v>0.34472361809045199</c:v>
                </c:pt>
                <c:pt idx="3">
                  <c:v>0.346585117227319</c:v>
                </c:pt>
                <c:pt idx="4">
                  <c:v>0.30976430976430902</c:v>
                </c:pt>
                <c:pt idx="5">
                  <c:v>0.38846572361262199</c:v>
                </c:pt>
                <c:pt idx="6">
                  <c:v>0.302570093457943</c:v>
                </c:pt>
                <c:pt idx="7">
                  <c:v>0.28004807692307598</c:v>
                </c:pt>
                <c:pt idx="8">
                  <c:v>0.32490974729241801</c:v>
                </c:pt>
                <c:pt idx="9">
                  <c:v>0.37361282367447501</c:v>
                </c:pt>
                <c:pt idx="10">
                  <c:v>0.377470355731225</c:v>
                </c:pt>
                <c:pt idx="11">
                  <c:v>0.37819799777530499</c:v>
                </c:pt>
              </c:numCache>
            </c:numRef>
          </c:val>
          <c:smooth val="0"/>
          <c:extLst>
            <c:ext xmlns:c16="http://schemas.microsoft.com/office/drawing/2014/chart" uri="{C3380CC4-5D6E-409C-BE32-E72D297353CC}">
              <c16:uniqueId val="{00000000-DAA1-421E-9AE2-1E85FF2BB26D}"/>
            </c:ext>
          </c:extLst>
        </c:ser>
        <c:ser>
          <c:idx val="1"/>
          <c:order val="1"/>
          <c:tx>
            <c:strRef>
              <c:f>Sheet3!$A$3</c:f>
              <c:strCache>
                <c:ptCount val="1"/>
                <c:pt idx="0">
                  <c:v>% of Net terminations (accounts for hires into call center positions)</c:v>
                </c:pt>
              </c:strCache>
            </c:strRef>
          </c:tx>
          <c:spPr>
            <a:ln w="28575" cap="rnd">
              <a:solidFill>
                <a:srgbClr val="FFC000"/>
              </a:solidFill>
              <a:round/>
            </a:ln>
            <a:effectLst/>
          </c:spPr>
          <c:marker>
            <c:symbol val="none"/>
          </c:marker>
          <c:dLbls>
            <c:dLbl>
              <c:idx val="1"/>
              <c:layout>
                <c:manualLayout>
                  <c:x val="-5.5791308529181981E-2"/>
                  <c:y val="3.22172367035051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AA1-421E-9AE2-1E85FF2BB26D}"/>
                </c:ext>
              </c:extLst>
            </c:dLbl>
            <c:dLbl>
              <c:idx val="3"/>
              <c:layout>
                <c:manualLayout>
                  <c:x val="-3.8694770140631982E-2"/>
                  <c:y val="2.36098066217058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AA1-421E-9AE2-1E85FF2BB26D}"/>
                </c:ext>
              </c:extLst>
            </c:dLbl>
            <c:dLbl>
              <c:idx val="8"/>
              <c:layout>
                <c:manualLayout>
                  <c:x val="-2.5547234076656447E-2"/>
                  <c:y val="2.2781221083506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AA1-421E-9AE2-1E85FF2BB26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FFC000"/>
                </a:solidFill>
                <a:prstDash val="sysDot"/>
              </a:ln>
              <a:effectLst/>
            </c:spPr>
            <c:trendlineType val="linear"/>
            <c:dispRSqr val="0"/>
            <c:dispEq val="0"/>
          </c:trendline>
          <c:cat>
            <c:numRef>
              <c:f>Sheet3!$B$1:$M$1</c:f>
              <c:numCache>
                <c:formatCode>mmm\-yy</c:formatCode>
                <c:ptCount val="12"/>
                <c:pt idx="0">
                  <c:v>42856</c:v>
                </c:pt>
                <c:pt idx="1">
                  <c:v>42887</c:v>
                </c:pt>
                <c:pt idx="2">
                  <c:v>42917</c:v>
                </c:pt>
                <c:pt idx="3">
                  <c:v>42948</c:v>
                </c:pt>
                <c:pt idx="4">
                  <c:v>42979</c:v>
                </c:pt>
                <c:pt idx="5">
                  <c:v>43009</c:v>
                </c:pt>
                <c:pt idx="6">
                  <c:v>43040</c:v>
                </c:pt>
                <c:pt idx="7">
                  <c:v>43070</c:v>
                </c:pt>
                <c:pt idx="8">
                  <c:v>43101</c:v>
                </c:pt>
                <c:pt idx="9">
                  <c:v>43132</c:v>
                </c:pt>
                <c:pt idx="10">
                  <c:v>43160</c:v>
                </c:pt>
                <c:pt idx="11">
                  <c:v>43191</c:v>
                </c:pt>
              </c:numCache>
            </c:numRef>
          </c:cat>
          <c:val>
            <c:numRef>
              <c:f>Sheet3!$B$3:$M$3</c:f>
              <c:numCache>
                <c:formatCode>0.0%</c:formatCode>
                <c:ptCount val="12"/>
                <c:pt idx="0">
                  <c:v>0.25422138836772901</c:v>
                </c:pt>
                <c:pt idx="1">
                  <c:v>7.6415094339622597E-2</c:v>
                </c:pt>
                <c:pt idx="2">
                  <c:v>0.16080402010050199</c:v>
                </c:pt>
                <c:pt idx="3">
                  <c:v>-7.0336391437308798E-2</c:v>
                </c:pt>
                <c:pt idx="4">
                  <c:v>3.1425364758697998E-2</c:v>
                </c:pt>
                <c:pt idx="5">
                  <c:v>0.202393906420021</c:v>
                </c:pt>
                <c:pt idx="6">
                  <c:v>0.14602803738317699</c:v>
                </c:pt>
                <c:pt idx="7">
                  <c:v>0.16466346153846101</c:v>
                </c:pt>
                <c:pt idx="8">
                  <c:v>3.7304452466907299E-2</c:v>
                </c:pt>
                <c:pt idx="9">
                  <c:v>0.14919852034525199</c:v>
                </c:pt>
                <c:pt idx="10">
                  <c:v>0.205533596837944</c:v>
                </c:pt>
                <c:pt idx="11">
                  <c:v>0.10456062291434901</c:v>
                </c:pt>
              </c:numCache>
            </c:numRef>
          </c:val>
          <c:smooth val="0"/>
          <c:extLst>
            <c:ext xmlns:c16="http://schemas.microsoft.com/office/drawing/2014/chart" uri="{C3380CC4-5D6E-409C-BE32-E72D297353CC}">
              <c16:uniqueId val="{00000001-DAA1-421E-9AE2-1E85FF2BB26D}"/>
            </c:ext>
          </c:extLst>
        </c:ser>
        <c:dLbls>
          <c:showLegendKey val="0"/>
          <c:showVal val="0"/>
          <c:showCatName val="0"/>
          <c:showSerName val="0"/>
          <c:showPercent val="0"/>
          <c:showBubbleSize val="0"/>
        </c:dLbls>
        <c:smooth val="0"/>
        <c:axId val="498746048"/>
        <c:axId val="498752280"/>
      </c:lineChart>
      <c:dateAx>
        <c:axId val="498746048"/>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a:t>Month</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752280"/>
        <c:crosses val="autoZero"/>
        <c:auto val="1"/>
        <c:lblOffset val="100"/>
        <c:baseTimeUnit val="months"/>
      </c:dateAx>
      <c:valAx>
        <c:axId val="498752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a:t>% of Terminations</a:t>
                </a: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746048"/>
        <c:crosses val="autoZero"/>
        <c:crossBetween val="between"/>
      </c:valAx>
      <c:spPr>
        <a:noFill/>
        <a:ln>
          <a:noFill/>
        </a:ln>
        <a:effectLst/>
      </c:spPr>
    </c:plotArea>
    <c:legend>
      <c:legendPos val="b"/>
      <c:layout>
        <c:manualLayout>
          <c:xMode val="edge"/>
          <c:yMode val="edge"/>
          <c:x val="6.4510691622062521E-2"/>
          <c:y val="0.84369148923649129"/>
          <c:w val="0.87097856389312855"/>
          <c:h val="0.129227546108305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June 14, 2018</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14, 2018</dc:title>
  <dc:subject/>
  <dc:creator>ACooper</dc:creator>
  <cp:keywords/>
  <dc:description/>
  <cp:lastModifiedBy>ACooper</cp:lastModifiedBy>
  <cp:revision>5</cp:revision>
  <cp:lastPrinted>2018-06-14T17:28:00Z</cp:lastPrinted>
  <dcterms:created xsi:type="dcterms:W3CDTF">2018-06-14T16:04:00Z</dcterms:created>
  <dcterms:modified xsi:type="dcterms:W3CDTF">2018-06-14T17:29:00Z</dcterms:modified>
</cp:coreProperties>
</file>